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E4" w:rsidRPr="00E360D1" w:rsidRDefault="00E21DE4" w:rsidP="00E21DE4">
      <w:pPr>
        <w:pStyle w:val="ListParagraph"/>
        <w:autoSpaceDE w:val="0"/>
        <w:autoSpaceDN w:val="0"/>
        <w:adjustRightInd w:val="0"/>
        <w:ind w:left="0"/>
        <w:rPr>
          <w:rFonts w:ascii="Times New Roman" w:hAnsi="Times New Roman" w:cs="Times New Roman"/>
          <w:i/>
        </w:rPr>
      </w:pPr>
      <w:r w:rsidRPr="00E360D1">
        <w:rPr>
          <w:rFonts w:ascii="Times New Roman" w:hAnsi="Times New Roman" w:cs="Times New Roman"/>
          <w:i/>
        </w:rPr>
        <w:t xml:space="preserve">The NSP </w:t>
      </w:r>
      <w:r>
        <w:rPr>
          <w:rFonts w:ascii="Times New Roman" w:hAnsi="Times New Roman" w:cs="Times New Roman"/>
          <w:i/>
        </w:rPr>
        <w:t>Companies’ Annual True-up, Information Exchange and Challenge Procedures (P</w:t>
      </w:r>
      <w:r w:rsidRPr="00E360D1">
        <w:rPr>
          <w:rFonts w:ascii="Times New Roman" w:hAnsi="Times New Roman" w:cs="Times New Roman"/>
          <w:i/>
        </w:rPr>
        <w:t>rotocols</w:t>
      </w:r>
      <w:r>
        <w:rPr>
          <w:rFonts w:ascii="Times New Roman" w:hAnsi="Times New Roman" w:cs="Times New Roman"/>
          <w:i/>
        </w:rPr>
        <w:t>)</w:t>
      </w:r>
      <w:r w:rsidRPr="00E360D1">
        <w:rPr>
          <w:rFonts w:ascii="Times New Roman" w:hAnsi="Times New Roman" w:cs="Times New Roman"/>
          <w:i/>
        </w:rPr>
        <w:t xml:space="preserve"> provide interested parties the opportunity to request information related to the calculation of the actual net revenue requirement, true-up adjustment and projected net revenue requirement.  </w:t>
      </w:r>
      <w:r>
        <w:rPr>
          <w:rFonts w:ascii="Times New Roman" w:hAnsi="Times New Roman" w:cs="Times New Roman"/>
          <w:i/>
        </w:rPr>
        <w:t xml:space="preserve">Section </w:t>
      </w:r>
      <w:proofErr w:type="gramStart"/>
      <w:r>
        <w:rPr>
          <w:rFonts w:ascii="Times New Roman" w:hAnsi="Times New Roman" w:cs="Times New Roman"/>
          <w:i/>
        </w:rPr>
        <w:t>III(</w:t>
      </w:r>
      <w:proofErr w:type="gramEnd"/>
      <w:r>
        <w:rPr>
          <w:rFonts w:ascii="Times New Roman" w:hAnsi="Times New Roman" w:cs="Times New Roman"/>
          <w:i/>
        </w:rPr>
        <w:t xml:space="preserve">A) sets forth limitations on the scope of information requests.  </w:t>
      </w:r>
      <w:r w:rsidRPr="00E360D1">
        <w:rPr>
          <w:rFonts w:ascii="Times New Roman" w:hAnsi="Times New Roman" w:cs="Times New Roman"/>
          <w:i/>
        </w:rPr>
        <w:t>To the extent that the questions below are unrelated to the 2016 rate year or do not impact these calculations, the questions have been identified as being out</w:t>
      </w:r>
      <w:r>
        <w:rPr>
          <w:rFonts w:ascii="Times New Roman" w:hAnsi="Times New Roman" w:cs="Times New Roman"/>
          <w:i/>
        </w:rPr>
        <w:t>side</w:t>
      </w:r>
      <w:r w:rsidRPr="00E360D1">
        <w:rPr>
          <w:rFonts w:ascii="Times New Roman" w:hAnsi="Times New Roman" w:cs="Times New Roman"/>
          <w:i/>
        </w:rPr>
        <w:t xml:space="preserve"> of </w:t>
      </w:r>
      <w:r>
        <w:rPr>
          <w:rFonts w:ascii="Times New Roman" w:hAnsi="Times New Roman" w:cs="Times New Roman"/>
          <w:i/>
        </w:rPr>
        <w:t xml:space="preserve">the  Review Period or scope in accordance with Section III of the  Protocols. </w:t>
      </w:r>
      <w:r w:rsidRPr="00E360D1">
        <w:rPr>
          <w:rFonts w:ascii="Times New Roman" w:hAnsi="Times New Roman" w:cs="Times New Roman"/>
          <w:i/>
        </w:rPr>
        <w:t xml:space="preserve">  </w:t>
      </w:r>
    </w:p>
    <w:p w:rsidR="00E21DE4" w:rsidRPr="0087691C" w:rsidRDefault="00E21DE4" w:rsidP="0087691C">
      <w:pPr>
        <w:rPr>
          <w:rFonts w:ascii="Times New Roman" w:eastAsiaTheme="minorHAnsi" w:hAnsi="Times New Roman" w:cs="Times New Roman"/>
          <w:sz w:val="22"/>
          <w:szCs w:val="22"/>
        </w:rPr>
      </w:pPr>
    </w:p>
    <w:p w:rsidR="0087691C" w:rsidRPr="0087691C" w:rsidRDefault="0087691C" w:rsidP="0087691C">
      <w:pPr>
        <w:rPr>
          <w:rFonts w:ascii="Times New Roman" w:eastAsiaTheme="minorHAnsi" w:hAnsi="Times New Roman" w:cs="Times New Roman"/>
          <w:sz w:val="22"/>
          <w:szCs w:val="22"/>
        </w:rPr>
      </w:pPr>
    </w:p>
    <w:p w:rsidR="0087691C" w:rsidRPr="00CA13EE" w:rsidRDefault="0087691C" w:rsidP="00CA13EE">
      <w:pPr>
        <w:pStyle w:val="ListParagraph"/>
        <w:numPr>
          <w:ilvl w:val="0"/>
          <w:numId w:val="1"/>
        </w:numPr>
        <w:rPr>
          <w:rFonts w:ascii="Times New Roman" w:eastAsiaTheme="minorHAnsi" w:hAnsi="Times New Roman" w:cs="Times New Roman"/>
          <w:sz w:val="22"/>
          <w:szCs w:val="22"/>
        </w:rPr>
      </w:pPr>
      <w:r w:rsidRPr="00CA13EE">
        <w:rPr>
          <w:rFonts w:ascii="Times New Roman" w:eastAsiaTheme="minorHAnsi" w:hAnsi="Times New Roman" w:cs="Times New Roman"/>
          <w:sz w:val="22"/>
          <w:szCs w:val="22"/>
        </w:rPr>
        <w:t>Please confirm there is no additional behind the meter generation serving NSP load other than the load reported on question 1, wholesale or retail, excluded from the NSP network load values.  If there is additional load, please respond to the questions posed in 2.b.</w:t>
      </w:r>
    </w:p>
    <w:p w:rsidR="0087691C" w:rsidRDefault="0087691C" w:rsidP="0087691C">
      <w:pPr>
        <w:rPr>
          <w:rFonts w:ascii="Times New Roman" w:eastAsiaTheme="minorHAnsi" w:hAnsi="Times New Roman" w:cs="Times New Roman"/>
          <w:sz w:val="22"/>
          <w:szCs w:val="22"/>
        </w:rPr>
      </w:pPr>
    </w:p>
    <w:p w:rsidR="0087691C" w:rsidRPr="0087691C" w:rsidRDefault="0087691C" w:rsidP="00CA13EE">
      <w:pPr>
        <w:ind w:left="36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Answer: There is no additional </w:t>
      </w:r>
      <w:r w:rsidR="00CA13EE">
        <w:rPr>
          <w:rFonts w:ascii="Times New Roman" w:eastAsiaTheme="minorHAnsi" w:hAnsi="Times New Roman" w:cs="Times New Roman"/>
          <w:sz w:val="22"/>
          <w:szCs w:val="22"/>
        </w:rPr>
        <w:t xml:space="preserve">behind the meter generation </w:t>
      </w:r>
      <w:r>
        <w:rPr>
          <w:rFonts w:ascii="Times New Roman" w:eastAsiaTheme="minorHAnsi" w:hAnsi="Times New Roman" w:cs="Times New Roman"/>
          <w:sz w:val="22"/>
          <w:szCs w:val="22"/>
        </w:rPr>
        <w:t>serving NSP load</w:t>
      </w:r>
      <w:r w:rsidR="00CA13EE">
        <w:rPr>
          <w:rFonts w:ascii="Times New Roman" w:eastAsiaTheme="minorHAnsi" w:hAnsi="Times New Roman" w:cs="Times New Roman"/>
          <w:sz w:val="22"/>
          <w:szCs w:val="22"/>
        </w:rPr>
        <w:t xml:space="preserve"> other than the load reported in the FERC Form 1.  </w:t>
      </w:r>
      <w:r w:rsidR="00532C7B">
        <w:rPr>
          <w:rFonts w:ascii="Times New Roman" w:eastAsiaTheme="minorHAnsi" w:hAnsi="Times New Roman" w:cs="Times New Roman"/>
          <w:sz w:val="22"/>
          <w:szCs w:val="22"/>
        </w:rPr>
        <w:t>Note that r</w:t>
      </w:r>
      <w:r>
        <w:rPr>
          <w:rFonts w:ascii="Times New Roman" w:eastAsiaTheme="minorHAnsi" w:hAnsi="Times New Roman" w:cs="Times New Roman"/>
          <w:sz w:val="22"/>
          <w:szCs w:val="22"/>
        </w:rPr>
        <w:t xml:space="preserve">etail </w:t>
      </w:r>
      <w:r w:rsidR="00CA13EE">
        <w:rPr>
          <w:rFonts w:ascii="Times New Roman" w:eastAsiaTheme="minorHAnsi" w:hAnsi="Times New Roman" w:cs="Times New Roman"/>
          <w:sz w:val="22"/>
          <w:szCs w:val="22"/>
        </w:rPr>
        <w:t xml:space="preserve">solar </w:t>
      </w:r>
      <w:r>
        <w:rPr>
          <w:rFonts w:ascii="Times New Roman" w:eastAsiaTheme="minorHAnsi" w:hAnsi="Times New Roman" w:cs="Times New Roman"/>
          <w:sz w:val="22"/>
          <w:szCs w:val="22"/>
        </w:rPr>
        <w:t>c</w:t>
      </w:r>
      <w:r w:rsidR="00CA13EE">
        <w:rPr>
          <w:rFonts w:ascii="Times New Roman" w:eastAsiaTheme="minorHAnsi" w:hAnsi="Times New Roman" w:cs="Times New Roman"/>
          <w:sz w:val="22"/>
          <w:szCs w:val="22"/>
        </w:rPr>
        <w:t>u</w:t>
      </w:r>
      <w:r>
        <w:rPr>
          <w:rFonts w:ascii="Times New Roman" w:eastAsiaTheme="minorHAnsi" w:hAnsi="Times New Roman" w:cs="Times New Roman"/>
          <w:sz w:val="22"/>
          <w:szCs w:val="22"/>
        </w:rPr>
        <w:t>st</w:t>
      </w:r>
      <w:r w:rsidR="00CA13EE">
        <w:rPr>
          <w:rFonts w:ascii="Times New Roman" w:eastAsiaTheme="minorHAnsi" w:hAnsi="Times New Roman" w:cs="Times New Roman"/>
          <w:sz w:val="22"/>
          <w:szCs w:val="22"/>
        </w:rPr>
        <w:t>o</w:t>
      </w:r>
      <w:r>
        <w:rPr>
          <w:rFonts w:ascii="Times New Roman" w:eastAsiaTheme="minorHAnsi" w:hAnsi="Times New Roman" w:cs="Times New Roman"/>
          <w:sz w:val="22"/>
          <w:szCs w:val="22"/>
        </w:rPr>
        <w:t>mer</w:t>
      </w:r>
      <w:r w:rsidR="00CA13EE">
        <w:rPr>
          <w:rFonts w:ascii="Times New Roman" w:eastAsiaTheme="minorHAnsi" w:hAnsi="Times New Roman" w:cs="Times New Roman"/>
          <w:sz w:val="22"/>
          <w:szCs w:val="22"/>
        </w:rPr>
        <w:t>s</w:t>
      </w:r>
      <w:r>
        <w:rPr>
          <w:rFonts w:ascii="Times New Roman" w:eastAsiaTheme="minorHAnsi" w:hAnsi="Times New Roman" w:cs="Times New Roman"/>
          <w:sz w:val="22"/>
          <w:szCs w:val="22"/>
        </w:rPr>
        <w:t xml:space="preserve"> </w:t>
      </w:r>
      <w:r w:rsidR="0015419A">
        <w:rPr>
          <w:rFonts w:ascii="Times New Roman" w:eastAsiaTheme="minorHAnsi" w:hAnsi="Times New Roman" w:cs="Times New Roman"/>
          <w:sz w:val="22"/>
          <w:szCs w:val="22"/>
        </w:rPr>
        <w:t xml:space="preserve">with rooftop or other behind the retail meter solar installations </w:t>
      </w:r>
      <w:r>
        <w:rPr>
          <w:rFonts w:ascii="Times New Roman" w:eastAsiaTheme="minorHAnsi" w:hAnsi="Times New Roman" w:cs="Times New Roman"/>
          <w:sz w:val="22"/>
          <w:szCs w:val="22"/>
        </w:rPr>
        <w:t xml:space="preserve">are not captured </w:t>
      </w:r>
      <w:r w:rsidR="00532C7B">
        <w:rPr>
          <w:rFonts w:ascii="Times New Roman" w:eastAsiaTheme="minorHAnsi" w:hAnsi="Times New Roman" w:cs="Times New Roman"/>
          <w:sz w:val="22"/>
          <w:szCs w:val="22"/>
        </w:rPr>
        <w:t>as behind the meter generation serving NSP Load</w:t>
      </w:r>
      <w:r w:rsidR="0058271E">
        <w:rPr>
          <w:rFonts w:ascii="Times New Roman" w:eastAsiaTheme="minorHAnsi" w:hAnsi="Times New Roman" w:cs="Times New Roman"/>
          <w:sz w:val="22"/>
          <w:szCs w:val="22"/>
        </w:rPr>
        <w:t>.</w:t>
      </w:r>
      <w:r w:rsidR="0015419A">
        <w:rPr>
          <w:rFonts w:ascii="Times New Roman" w:eastAsiaTheme="minorHAnsi" w:hAnsi="Times New Roman" w:cs="Times New Roman"/>
          <w:sz w:val="22"/>
          <w:szCs w:val="22"/>
        </w:rPr>
        <w:t xml:space="preserve">  </w:t>
      </w:r>
      <w:r w:rsidR="0058271E">
        <w:rPr>
          <w:rFonts w:ascii="Times New Roman" w:eastAsiaTheme="minorHAnsi" w:hAnsi="Times New Roman" w:cs="Times New Roman"/>
          <w:sz w:val="22"/>
          <w:szCs w:val="22"/>
        </w:rPr>
        <w:t xml:space="preserve"> </w:t>
      </w:r>
    </w:p>
    <w:p w:rsidR="0087691C" w:rsidRPr="00CA13EE" w:rsidRDefault="0087691C" w:rsidP="0087691C">
      <w:pPr>
        <w:rPr>
          <w:rFonts w:ascii="Times New Roman" w:eastAsiaTheme="minorHAnsi" w:hAnsi="Times New Roman" w:cs="Times New Roman"/>
          <w:sz w:val="22"/>
          <w:szCs w:val="22"/>
        </w:rPr>
      </w:pPr>
    </w:p>
    <w:p w:rsidR="0087691C" w:rsidRPr="00CA13EE" w:rsidRDefault="0087691C" w:rsidP="00CA13EE">
      <w:pPr>
        <w:pStyle w:val="ListParagraph"/>
        <w:numPr>
          <w:ilvl w:val="0"/>
          <w:numId w:val="1"/>
        </w:numPr>
        <w:rPr>
          <w:rFonts w:ascii="Times New Roman" w:eastAsiaTheme="minorHAnsi" w:hAnsi="Times New Roman" w:cs="Times New Roman"/>
          <w:sz w:val="22"/>
          <w:szCs w:val="22"/>
        </w:rPr>
      </w:pPr>
      <w:r w:rsidRPr="00CA13EE">
        <w:rPr>
          <w:rFonts w:ascii="Times New Roman" w:eastAsiaTheme="minorHAnsi" w:hAnsi="Times New Roman" w:cs="Times New Roman"/>
          <w:sz w:val="22"/>
          <w:szCs w:val="22"/>
        </w:rPr>
        <w:t xml:space="preserve">With regard to the East River GFAs 389 and 391, have these GFAs been terminated?  </w:t>
      </w:r>
    </w:p>
    <w:p w:rsidR="0087691C" w:rsidRDefault="0087691C" w:rsidP="0087691C">
      <w:pPr>
        <w:rPr>
          <w:rFonts w:ascii="Times New Roman" w:eastAsiaTheme="minorHAnsi" w:hAnsi="Times New Roman" w:cs="Times New Roman"/>
          <w:sz w:val="22"/>
          <w:szCs w:val="22"/>
        </w:rPr>
      </w:pPr>
    </w:p>
    <w:p w:rsidR="00CA13EE" w:rsidRDefault="0087691C" w:rsidP="00CA13EE">
      <w:pPr>
        <w:ind w:left="36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Answer:  The </w:t>
      </w:r>
      <w:r w:rsidR="00CA13EE">
        <w:rPr>
          <w:rFonts w:ascii="Times New Roman" w:eastAsiaTheme="minorHAnsi" w:hAnsi="Times New Roman" w:cs="Times New Roman"/>
          <w:sz w:val="22"/>
          <w:szCs w:val="22"/>
        </w:rPr>
        <w:t>expected termination date for both GFA</w:t>
      </w:r>
      <w:r w:rsidR="0034727F">
        <w:rPr>
          <w:rFonts w:ascii="Times New Roman" w:eastAsiaTheme="minorHAnsi" w:hAnsi="Times New Roman" w:cs="Times New Roman"/>
          <w:sz w:val="22"/>
          <w:szCs w:val="22"/>
        </w:rPr>
        <w:t xml:space="preserve"> 389 and GFA 391 </w:t>
      </w:r>
      <w:r w:rsidR="00CA13EE">
        <w:rPr>
          <w:rFonts w:ascii="Times New Roman" w:eastAsiaTheme="minorHAnsi" w:hAnsi="Times New Roman" w:cs="Times New Roman"/>
          <w:sz w:val="22"/>
          <w:szCs w:val="22"/>
        </w:rPr>
        <w:t>is October 31, 2017.</w:t>
      </w:r>
    </w:p>
    <w:p w:rsidR="0087691C" w:rsidRPr="0087691C" w:rsidRDefault="00CA13EE" w:rsidP="0087691C">
      <w:pPr>
        <w:rPr>
          <w:rFonts w:ascii="Times New Roman" w:eastAsiaTheme="minorHAnsi" w:hAnsi="Times New Roman" w:cs="Times New Roman"/>
          <w:sz w:val="22"/>
          <w:szCs w:val="22"/>
        </w:rPr>
      </w:pPr>
      <w:r w:rsidRPr="0087691C">
        <w:rPr>
          <w:rFonts w:ascii="Times New Roman" w:eastAsiaTheme="minorHAnsi" w:hAnsi="Times New Roman" w:cs="Times New Roman"/>
          <w:sz w:val="22"/>
          <w:szCs w:val="22"/>
        </w:rPr>
        <w:t xml:space="preserve"> </w:t>
      </w:r>
    </w:p>
    <w:p w:rsidR="0087691C" w:rsidRPr="00CA13EE" w:rsidRDefault="0087691C" w:rsidP="00CA13EE">
      <w:pPr>
        <w:pStyle w:val="ListParagraph"/>
        <w:numPr>
          <w:ilvl w:val="0"/>
          <w:numId w:val="1"/>
        </w:numPr>
        <w:rPr>
          <w:rFonts w:ascii="Times New Roman" w:eastAsiaTheme="minorHAnsi" w:hAnsi="Times New Roman" w:cs="Times New Roman"/>
          <w:sz w:val="22"/>
          <w:szCs w:val="22"/>
        </w:rPr>
      </w:pPr>
      <w:r w:rsidRPr="00CA13EE">
        <w:rPr>
          <w:rFonts w:ascii="Times New Roman" w:eastAsiaTheme="minorHAnsi" w:hAnsi="Times New Roman" w:cs="Times New Roman"/>
          <w:sz w:val="22"/>
          <w:szCs w:val="22"/>
        </w:rPr>
        <w:t>With regard to GFAs 431, 365, 360, 363, 364, 373; please provide us with the 12 CP for each GFA, detail if the GFAs have a definitive termination date set at this time.   </w:t>
      </w:r>
    </w:p>
    <w:p w:rsidR="00CF669B" w:rsidRDefault="00CF669B">
      <w:pPr>
        <w:rPr>
          <w:rFonts w:ascii="Times New Roman" w:hAnsi="Times New Roman" w:cs="Times New Roman"/>
          <w:sz w:val="22"/>
          <w:szCs w:val="22"/>
        </w:rPr>
      </w:pPr>
    </w:p>
    <w:p w:rsidR="006274D3" w:rsidRDefault="00E21DE4" w:rsidP="006274D3">
      <w:pPr>
        <w:ind w:left="36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Answer: </w:t>
      </w:r>
      <w:r w:rsidR="0065450F">
        <w:rPr>
          <w:rFonts w:ascii="Times New Roman" w:eastAsiaTheme="minorHAnsi" w:hAnsi="Times New Roman" w:cs="Times New Roman"/>
          <w:sz w:val="22"/>
          <w:szCs w:val="22"/>
        </w:rPr>
        <w:t xml:space="preserve"> </w:t>
      </w:r>
      <w:r w:rsidR="0076200B">
        <w:rPr>
          <w:rFonts w:ascii="Times New Roman" w:eastAsiaTheme="minorHAnsi" w:hAnsi="Times New Roman" w:cs="Times New Roman"/>
          <w:sz w:val="22"/>
          <w:szCs w:val="22"/>
        </w:rPr>
        <w:t xml:space="preserve">Table </w:t>
      </w:r>
      <w:r w:rsidR="006274D3">
        <w:rPr>
          <w:rFonts w:ascii="Times New Roman" w:eastAsiaTheme="minorHAnsi" w:hAnsi="Times New Roman" w:cs="Times New Roman"/>
          <w:sz w:val="22"/>
          <w:szCs w:val="22"/>
        </w:rPr>
        <w:t xml:space="preserve">No. 1 </w:t>
      </w:r>
      <w:r w:rsidR="0076200B">
        <w:rPr>
          <w:rFonts w:ascii="Times New Roman" w:eastAsiaTheme="minorHAnsi" w:hAnsi="Times New Roman" w:cs="Times New Roman"/>
          <w:sz w:val="22"/>
          <w:szCs w:val="22"/>
        </w:rPr>
        <w:t xml:space="preserve">shows </w:t>
      </w:r>
      <w:r w:rsidR="0065450F" w:rsidRPr="00D868AE">
        <w:rPr>
          <w:rFonts w:ascii="Times New Roman" w:eastAsiaTheme="minorHAnsi" w:hAnsi="Times New Roman" w:cs="Times New Roman"/>
          <w:sz w:val="22"/>
          <w:szCs w:val="22"/>
        </w:rPr>
        <w:t>12 CP</w:t>
      </w:r>
      <w:r w:rsidR="0065450F">
        <w:rPr>
          <w:rFonts w:ascii="Times New Roman" w:eastAsiaTheme="minorHAnsi" w:hAnsi="Times New Roman" w:cs="Times New Roman"/>
          <w:sz w:val="22"/>
          <w:szCs w:val="22"/>
        </w:rPr>
        <w:t>s</w:t>
      </w:r>
      <w:r w:rsidR="0065450F" w:rsidRPr="00D868AE">
        <w:rPr>
          <w:rFonts w:ascii="Times New Roman" w:eastAsiaTheme="minorHAnsi" w:hAnsi="Times New Roman" w:cs="Times New Roman"/>
          <w:sz w:val="22"/>
          <w:szCs w:val="22"/>
        </w:rPr>
        <w:t xml:space="preserve"> for </w:t>
      </w:r>
      <w:r w:rsidR="001E069B">
        <w:rPr>
          <w:rFonts w:ascii="Times New Roman" w:eastAsiaTheme="minorHAnsi" w:hAnsi="Times New Roman" w:cs="Times New Roman"/>
          <w:sz w:val="22"/>
          <w:szCs w:val="22"/>
        </w:rPr>
        <w:t xml:space="preserve">the </w:t>
      </w:r>
      <w:r w:rsidR="0065450F" w:rsidRPr="00D868AE">
        <w:rPr>
          <w:rFonts w:ascii="Times New Roman" w:eastAsiaTheme="minorHAnsi" w:hAnsi="Times New Roman" w:cs="Times New Roman"/>
          <w:sz w:val="22"/>
          <w:szCs w:val="22"/>
        </w:rPr>
        <w:t>GFA</w:t>
      </w:r>
      <w:r w:rsidR="001E069B">
        <w:rPr>
          <w:rFonts w:ascii="Times New Roman" w:eastAsiaTheme="minorHAnsi" w:hAnsi="Times New Roman" w:cs="Times New Roman"/>
          <w:sz w:val="22"/>
          <w:szCs w:val="22"/>
        </w:rPr>
        <w:t xml:space="preserve">s associated with </w:t>
      </w:r>
      <w:r w:rsidR="0076200B">
        <w:rPr>
          <w:rFonts w:ascii="Times New Roman" w:eastAsiaTheme="minorHAnsi" w:hAnsi="Times New Roman" w:cs="Times New Roman"/>
          <w:sz w:val="22"/>
          <w:szCs w:val="22"/>
        </w:rPr>
        <w:t>load</w:t>
      </w:r>
      <w:r w:rsidR="001E069B">
        <w:rPr>
          <w:rFonts w:ascii="Times New Roman" w:eastAsiaTheme="minorHAnsi" w:hAnsi="Times New Roman" w:cs="Times New Roman"/>
          <w:sz w:val="22"/>
          <w:szCs w:val="22"/>
        </w:rPr>
        <w:t>s</w:t>
      </w:r>
      <w:r w:rsidR="0076200B">
        <w:rPr>
          <w:rFonts w:ascii="Times New Roman" w:eastAsiaTheme="minorHAnsi" w:hAnsi="Times New Roman" w:cs="Times New Roman"/>
          <w:sz w:val="22"/>
          <w:szCs w:val="22"/>
        </w:rPr>
        <w:t xml:space="preserve"> located </w:t>
      </w:r>
      <w:r w:rsidR="001E069B">
        <w:rPr>
          <w:rFonts w:ascii="Times New Roman" w:eastAsiaTheme="minorHAnsi" w:hAnsi="Times New Roman" w:cs="Times New Roman"/>
          <w:sz w:val="22"/>
          <w:szCs w:val="22"/>
        </w:rPr>
        <w:t xml:space="preserve">in </w:t>
      </w:r>
      <w:r w:rsidR="0076200B">
        <w:rPr>
          <w:rFonts w:ascii="Times New Roman" w:eastAsiaTheme="minorHAnsi" w:hAnsi="Times New Roman" w:cs="Times New Roman"/>
          <w:sz w:val="22"/>
          <w:szCs w:val="22"/>
        </w:rPr>
        <w:t>NSP’s Local Balancing Authority</w:t>
      </w:r>
      <w:r w:rsidR="001E069B">
        <w:rPr>
          <w:rFonts w:ascii="Times New Roman" w:eastAsiaTheme="minorHAnsi" w:hAnsi="Times New Roman" w:cs="Times New Roman"/>
          <w:sz w:val="22"/>
          <w:szCs w:val="22"/>
        </w:rPr>
        <w:t xml:space="preserve"> (“LBA”)</w:t>
      </w:r>
      <w:r w:rsidR="0076200B">
        <w:rPr>
          <w:rFonts w:ascii="Times New Roman" w:eastAsiaTheme="minorHAnsi" w:hAnsi="Times New Roman" w:cs="Times New Roman"/>
          <w:sz w:val="22"/>
          <w:szCs w:val="22"/>
        </w:rPr>
        <w:t xml:space="preserve">.  Table </w:t>
      </w:r>
      <w:r w:rsidR="006274D3">
        <w:rPr>
          <w:rFonts w:ascii="Times New Roman" w:eastAsiaTheme="minorHAnsi" w:hAnsi="Times New Roman" w:cs="Times New Roman"/>
          <w:sz w:val="22"/>
          <w:szCs w:val="22"/>
        </w:rPr>
        <w:t xml:space="preserve">No. </w:t>
      </w:r>
      <w:r w:rsidR="0076200B">
        <w:rPr>
          <w:rFonts w:ascii="Times New Roman" w:eastAsiaTheme="minorHAnsi" w:hAnsi="Times New Roman" w:cs="Times New Roman"/>
          <w:sz w:val="22"/>
          <w:szCs w:val="22"/>
        </w:rPr>
        <w:t>2 shows 12 CP</w:t>
      </w:r>
      <w:r w:rsidR="001E069B">
        <w:rPr>
          <w:rFonts w:ascii="Times New Roman" w:eastAsiaTheme="minorHAnsi" w:hAnsi="Times New Roman" w:cs="Times New Roman"/>
          <w:sz w:val="22"/>
          <w:szCs w:val="22"/>
        </w:rPr>
        <w:t>s</w:t>
      </w:r>
      <w:r w:rsidR="0076200B">
        <w:rPr>
          <w:rFonts w:ascii="Times New Roman" w:eastAsiaTheme="minorHAnsi" w:hAnsi="Times New Roman" w:cs="Times New Roman"/>
          <w:sz w:val="22"/>
          <w:szCs w:val="22"/>
        </w:rPr>
        <w:t xml:space="preserve"> for the GFAs </w:t>
      </w:r>
      <w:r w:rsidR="001E069B">
        <w:rPr>
          <w:rFonts w:ascii="Times New Roman" w:eastAsiaTheme="minorHAnsi" w:hAnsi="Times New Roman" w:cs="Times New Roman"/>
          <w:sz w:val="22"/>
          <w:szCs w:val="22"/>
        </w:rPr>
        <w:t xml:space="preserve">associated </w:t>
      </w:r>
      <w:r w:rsidR="0065450F">
        <w:rPr>
          <w:rFonts w:ascii="Times New Roman" w:eastAsiaTheme="minorHAnsi" w:hAnsi="Times New Roman" w:cs="Times New Roman"/>
          <w:sz w:val="22"/>
          <w:szCs w:val="22"/>
        </w:rPr>
        <w:t xml:space="preserve">with loads located </w:t>
      </w:r>
      <w:r w:rsidR="00ED3874">
        <w:rPr>
          <w:rFonts w:ascii="Times New Roman" w:eastAsiaTheme="minorHAnsi" w:hAnsi="Times New Roman" w:cs="Times New Roman"/>
          <w:sz w:val="22"/>
          <w:szCs w:val="22"/>
        </w:rPr>
        <w:t>in Otter Tail Power Company’s</w:t>
      </w:r>
      <w:r w:rsidR="00045216">
        <w:rPr>
          <w:rFonts w:ascii="Times New Roman" w:eastAsiaTheme="minorHAnsi" w:hAnsi="Times New Roman" w:cs="Times New Roman"/>
          <w:sz w:val="22"/>
          <w:szCs w:val="22"/>
        </w:rPr>
        <w:t xml:space="preserve"> (</w:t>
      </w:r>
      <w:r w:rsidR="001B25FA">
        <w:rPr>
          <w:rFonts w:ascii="Times New Roman" w:eastAsiaTheme="minorHAnsi" w:hAnsi="Times New Roman" w:cs="Times New Roman"/>
          <w:sz w:val="22"/>
          <w:szCs w:val="22"/>
        </w:rPr>
        <w:t xml:space="preserve">“OTP”) </w:t>
      </w:r>
      <w:r w:rsidR="00D75972">
        <w:rPr>
          <w:rFonts w:ascii="Times New Roman" w:eastAsiaTheme="minorHAnsi" w:hAnsi="Times New Roman" w:cs="Times New Roman"/>
          <w:sz w:val="22"/>
          <w:szCs w:val="22"/>
        </w:rPr>
        <w:t>LBA</w:t>
      </w:r>
      <w:r w:rsidR="001E069B">
        <w:rPr>
          <w:rFonts w:ascii="Times New Roman" w:eastAsiaTheme="minorHAnsi" w:hAnsi="Times New Roman" w:cs="Times New Roman"/>
          <w:sz w:val="22"/>
          <w:szCs w:val="22"/>
        </w:rPr>
        <w:t xml:space="preserve">.  </w:t>
      </w:r>
      <w:r w:rsidR="009A3888" w:rsidRPr="009A3888">
        <w:rPr>
          <w:rFonts w:ascii="Times New Roman" w:eastAsiaTheme="minorHAnsi" w:hAnsi="Times New Roman" w:cs="Times New Roman"/>
          <w:sz w:val="22"/>
          <w:szCs w:val="22"/>
        </w:rPr>
        <w:t>The loads for all GFAs are excluded from the load data used in the development of the NSP Companies Annual Transmission Revenue Requirements</w:t>
      </w:r>
      <w:r w:rsidR="001E069B">
        <w:rPr>
          <w:rFonts w:ascii="Times New Roman" w:eastAsiaTheme="minorHAnsi" w:hAnsi="Times New Roman" w:cs="Times New Roman"/>
          <w:sz w:val="22"/>
          <w:szCs w:val="22"/>
        </w:rPr>
        <w:t xml:space="preserve"> </w:t>
      </w:r>
      <w:r w:rsidR="009A3888" w:rsidRPr="009A3888">
        <w:rPr>
          <w:rFonts w:ascii="Times New Roman" w:eastAsiaTheme="minorHAnsi" w:hAnsi="Times New Roman" w:cs="Times New Roman"/>
          <w:sz w:val="22"/>
          <w:szCs w:val="22"/>
        </w:rPr>
        <w:t xml:space="preserve">on Attachment O.  </w:t>
      </w:r>
      <w:r w:rsidR="006274D3">
        <w:rPr>
          <w:rFonts w:ascii="Times New Roman" w:eastAsiaTheme="minorHAnsi" w:hAnsi="Times New Roman" w:cs="Times New Roman"/>
          <w:sz w:val="22"/>
          <w:szCs w:val="22"/>
        </w:rPr>
        <w:t xml:space="preserve">The GFAs termination date is outside of the scope of the 2016 rate year. </w:t>
      </w:r>
    </w:p>
    <w:p w:rsidR="006274D3" w:rsidRDefault="006274D3" w:rsidP="0065450F">
      <w:pPr>
        <w:ind w:left="360"/>
        <w:rPr>
          <w:rFonts w:ascii="Times New Roman" w:eastAsiaTheme="minorHAnsi" w:hAnsi="Times New Roman" w:cs="Times New Roman"/>
          <w:sz w:val="22"/>
          <w:szCs w:val="22"/>
        </w:rPr>
      </w:pPr>
    </w:p>
    <w:p w:rsidR="008B6610" w:rsidRPr="001E069B" w:rsidRDefault="0076200B" w:rsidP="00B072E4">
      <w:pPr>
        <w:rPr>
          <w:rFonts w:ascii="Times New Roman" w:eastAsiaTheme="minorHAnsi" w:hAnsi="Times New Roman" w:cs="Times New Roman"/>
          <w:b/>
          <w:sz w:val="22"/>
          <w:szCs w:val="22"/>
        </w:rPr>
      </w:pPr>
      <w:r w:rsidRPr="001E069B">
        <w:rPr>
          <w:rFonts w:ascii="Times New Roman" w:eastAsiaTheme="minorHAnsi" w:hAnsi="Times New Roman" w:cs="Times New Roman"/>
          <w:b/>
          <w:sz w:val="22"/>
          <w:szCs w:val="22"/>
        </w:rPr>
        <w:t xml:space="preserve">Table </w:t>
      </w:r>
      <w:r w:rsidR="006274D3">
        <w:rPr>
          <w:rFonts w:ascii="Times New Roman" w:eastAsiaTheme="minorHAnsi" w:hAnsi="Times New Roman" w:cs="Times New Roman"/>
          <w:b/>
          <w:sz w:val="22"/>
          <w:szCs w:val="22"/>
        </w:rPr>
        <w:t xml:space="preserve">No. </w:t>
      </w:r>
      <w:r w:rsidRPr="001E069B">
        <w:rPr>
          <w:rFonts w:ascii="Times New Roman" w:eastAsiaTheme="minorHAnsi" w:hAnsi="Times New Roman" w:cs="Times New Roman"/>
          <w:b/>
          <w:sz w:val="22"/>
          <w:szCs w:val="22"/>
        </w:rPr>
        <w:t>1</w:t>
      </w:r>
      <w:r w:rsidR="007D2C48">
        <w:rPr>
          <w:rFonts w:ascii="Times New Roman" w:hAnsi="Times New Roman" w:cs="Times New Roman"/>
          <w:b/>
          <w:sz w:val="22"/>
          <w:szCs w:val="22"/>
          <w:u w:val="single"/>
        </w:rPr>
        <w:fldChar w:fldCharType="begin"/>
      </w:r>
      <w:r w:rsidR="007D2C48" w:rsidRPr="001E069B">
        <w:rPr>
          <w:rFonts w:ascii="Times New Roman" w:hAnsi="Times New Roman" w:cs="Times New Roman"/>
          <w:b/>
          <w:sz w:val="22"/>
          <w:szCs w:val="22"/>
          <w:u w:val="single"/>
        </w:rPr>
        <w:instrText xml:space="preserve"> LINK Excel.Sheet.12 "C:\\Users\\brnm22\\AppData\\Local\\Microsoft\\Windows\\Temporary Internet Files\\Content.Outlook\\8K3QQOKW\\MRES follow up request.xlsx" "Sheet1!R1C1:R13C6" \a \f 5 \h  \* MERGEFORMAT </w:instrText>
      </w:r>
      <w:r w:rsidR="007D2C48">
        <w:rPr>
          <w:rFonts w:ascii="Times New Roman" w:hAnsi="Times New Roman" w:cs="Times New Roman"/>
          <w:b/>
          <w:sz w:val="22"/>
          <w:szCs w:val="22"/>
          <w:u w:val="single"/>
        </w:rPr>
        <w:fldChar w:fldCharType="separate"/>
      </w:r>
    </w:p>
    <w:tbl>
      <w:tblPr>
        <w:tblStyle w:val="TableGrid"/>
        <w:tblW w:w="9360" w:type="dxa"/>
        <w:tblInd w:w="108" w:type="dxa"/>
        <w:tblLayout w:type="fixed"/>
        <w:tblLook w:val="04A0" w:firstRow="1" w:lastRow="0" w:firstColumn="1" w:lastColumn="0" w:noHBand="0" w:noVBand="1"/>
      </w:tblPr>
      <w:tblGrid>
        <w:gridCol w:w="1260"/>
        <w:gridCol w:w="900"/>
        <w:gridCol w:w="1800"/>
        <w:gridCol w:w="1800"/>
        <w:gridCol w:w="1800"/>
        <w:gridCol w:w="1800"/>
      </w:tblGrid>
      <w:tr w:rsidR="007D2C48" w:rsidRPr="007D2C48" w:rsidTr="004200BB">
        <w:trPr>
          <w:trHeight w:val="800"/>
        </w:trPr>
        <w:tc>
          <w:tcPr>
            <w:tcW w:w="1260" w:type="dxa"/>
            <w:noWrap/>
            <w:hideMark/>
          </w:tcPr>
          <w:p w:rsidR="00F9103F" w:rsidRDefault="008B6610">
            <w:pPr>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NSP </w:t>
            </w:r>
          </w:p>
          <w:p w:rsidR="007D2C48" w:rsidRPr="007D2C48" w:rsidRDefault="008B6610">
            <w:pPr>
              <w:rPr>
                <w:rFonts w:ascii="Times New Roman" w:hAnsi="Times New Roman" w:cs="Times New Roman"/>
                <w:sz w:val="22"/>
                <w:szCs w:val="22"/>
              </w:rPr>
            </w:pPr>
            <w:r>
              <w:rPr>
                <w:rFonts w:ascii="Times New Roman" w:hAnsi="Times New Roman" w:cs="Times New Roman"/>
                <w:sz w:val="22"/>
                <w:szCs w:val="22"/>
              </w:rPr>
              <w:t xml:space="preserve">Peak </w:t>
            </w:r>
            <w:r w:rsidR="007D2C48" w:rsidRPr="007D2C48">
              <w:rPr>
                <w:rFonts w:ascii="Times New Roman" w:hAnsi="Times New Roman" w:cs="Times New Roman"/>
                <w:sz w:val="22"/>
                <w:szCs w:val="22"/>
              </w:rPr>
              <w:t>Date</w:t>
            </w:r>
          </w:p>
        </w:tc>
        <w:tc>
          <w:tcPr>
            <w:tcW w:w="900" w:type="dxa"/>
            <w:noWrap/>
            <w:hideMark/>
          </w:tcPr>
          <w:p w:rsid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Hour-ending</w:t>
            </w:r>
          </w:p>
          <w:p w:rsidR="008B6610" w:rsidRPr="007D2C48" w:rsidRDefault="008B6610" w:rsidP="00F9103F">
            <w:pPr>
              <w:jc w:val="center"/>
              <w:rPr>
                <w:rFonts w:ascii="Times New Roman" w:hAnsi="Times New Roman" w:cs="Times New Roman"/>
                <w:sz w:val="22"/>
                <w:szCs w:val="22"/>
              </w:rPr>
            </w:pPr>
            <w:r>
              <w:rPr>
                <w:rFonts w:ascii="Times New Roman" w:hAnsi="Times New Roman" w:cs="Times New Roman"/>
                <w:sz w:val="22"/>
                <w:szCs w:val="22"/>
              </w:rPr>
              <w:t>(CPT)</w:t>
            </w:r>
          </w:p>
        </w:tc>
        <w:tc>
          <w:tcPr>
            <w:tcW w:w="1800" w:type="dxa"/>
            <w:hideMark/>
          </w:tcPr>
          <w:p w:rsid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Granite Falls GFA-portion Demand (in MW)</w:t>
            </w:r>
          </w:p>
          <w:p w:rsidR="0065450F" w:rsidRPr="007D2C48" w:rsidRDefault="0065450F" w:rsidP="0065450F">
            <w:pPr>
              <w:jc w:val="right"/>
              <w:rPr>
                <w:rFonts w:ascii="Times New Roman" w:hAnsi="Times New Roman" w:cs="Times New Roman"/>
                <w:sz w:val="22"/>
                <w:szCs w:val="22"/>
              </w:rPr>
            </w:pPr>
            <w:r>
              <w:rPr>
                <w:rFonts w:ascii="Times New Roman" w:hAnsi="Times New Roman" w:cs="Times New Roman"/>
                <w:sz w:val="22"/>
                <w:szCs w:val="22"/>
              </w:rPr>
              <w:t>GFA 365</w:t>
            </w:r>
          </w:p>
        </w:tc>
        <w:tc>
          <w:tcPr>
            <w:tcW w:w="1800" w:type="dxa"/>
            <w:hideMark/>
          </w:tcPr>
          <w:p w:rsid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Sioux Falls Demand (in MW)</w:t>
            </w:r>
          </w:p>
          <w:p w:rsidR="00045216" w:rsidRDefault="00045216" w:rsidP="0034727F">
            <w:pPr>
              <w:jc w:val="right"/>
              <w:rPr>
                <w:rFonts w:ascii="Times New Roman" w:hAnsi="Times New Roman" w:cs="Times New Roman"/>
                <w:sz w:val="22"/>
                <w:szCs w:val="22"/>
              </w:rPr>
            </w:pPr>
          </w:p>
          <w:p w:rsidR="0065450F" w:rsidRPr="007D2C48" w:rsidRDefault="0065450F" w:rsidP="0034727F">
            <w:pPr>
              <w:jc w:val="right"/>
              <w:rPr>
                <w:rFonts w:ascii="Times New Roman" w:hAnsi="Times New Roman" w:cs="Times New Roman"/>
                <w:sz w:val="22"/>
                <w:szCs w:val="22"/>
              </w:rPr>
            </w:pPr>
            <w:r>
              <w:rPr>
                <w:rFonts w:ascii="Times New Roman" w:hAnsi="Times New Roman" w:cs="Times New Roman"/>
                <w:sz w:val="22"/>
                <w:szCs w:val="22"/>
              </w:rPr>
              <w:t>GFA 360</w:t>
            </w:r>
          </w:p>
        </w:tc>
        <w:tc>
          <w:tcPr>
            <w:tcW w:w="1800" w:type="dxa"/>
            <w:hideMark/>
          </w:tcPr>
          <w:p w:rsid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S</w:t>
            </w:r>
            <w:r w:rsidR="00864BDD">
              <w:rPr>
                <w:rFonts w:ascii="Times New Roman" w:hAnsi="Times New Roman" w:cs="Times New Roman"/>
                <w:sz w:val="22"/>
                <w:szCs w:val="22"/>
              </w:rPr>
              <w:t>tate of South Dakota</w:t>
            </w:r>
            <w:r w:rsidRPr="007D2C48">
              <w:rPr>
                <w:rFonts w:ascii="Times New Roman" w:hAnsi="Times New Roman" w:cs="Times New Roman"/>
                <w:sz w:val="22"/>
                <w:szCs w:val="22"/>
              </w:rPr>
              <w:t xml:space="preserve"> Demand (in MW)</w:t>
            </w:r>
          </w:p>
          <w:p w:rsidR="0065450F" w:rsidRPr="007D2C48" w:rsidRDefault="0065450F" w:rsidP="0065450F">
            <w:pPr>
              <w:jc w:val="right"/>
              <w:rPr>
                <w:rFonts w:ascii="Times New Roman" w:hAnsi="Times New Roman" w:cs="Times New Roman"/>
                <w:sz w:val="22"/>
                <w:szCs w:val="22"/>
              </w:rPr>
            </w:pPr>
            <w:r>
              <w:rPr>
                <w:rFonts w:ascii="Times New Roman" w:hAnsi="Times New Roman" w:cs="Times New Roman"/>
                <w:sz w:val="22"/>
                <w:szCs w:val="22"/>
              </w:rPr>
              <w:t>GFA 363</w:t>
            </w:r>
          </w:p>
        </w:tc>
        <w:tc>
          <w:tcPr>
            <w:tcW w:w="1800" w:type="dxa"/>
            <w:hideMark/>
          </w:tcPr>
          <w:p w:rsid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WPPI Demand (in MW)</w:t>
            </w:r>
          </w:p>
          <w:p w:rsidR="00045216" w:rsidRDefault="00045216" w:rsidP="0065450F">
            <w:pPr>
              <w:jc w:val="right"/>
              <w:rPr>
                <w:rFonts w:ascii="Times New Roman" w:hAnsi="Times New Roman" w:cs="Times New Roman"/>
                <w:sz w:val="22"/>
                <w:szCs w:val="22"/>
              </w:rPr>
            </w:pPr>
          </w:p>
          <w:p w:rsidR="0065450F" w:rsidRPr="007D2C48" w:rsidRDefault="0065450F" w:rsidP="0065450F">
            <w:pPr>
              <w:jc w:val="right"/>
              <w:rPr>
                <w:rFonts w:ascii="Times New Roman" w:hAnsi="Times New Roman" w:cs="Times New Roman"/>
                <w:sz w:val="22"/>
                <w:szCs w:val="22"/>
              </w:rPr>
            </w:pPr>
            <w:r>
              <w:rPr>
                <w:rFonts w:ascii="Times New Roman" w:hAnsi="Times New Roman" w:cs="Times New Roman"/>
                <w:sz w:val="22"/>
                <w:szCs w:val="22"/>
              </w:rPr>
              <w:t>GFA 373</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1/18/2016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2.048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12.15795</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0.76037</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48.3031</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2/8/2016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19</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2.048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11.80126</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0.73818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51.28649</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3/1/2016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11</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1.024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11.97819</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0.96418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48.91694</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4/18/2016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1.024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11.73663</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1.00498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46.03588</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5/24/2016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17</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1.024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12.2846</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0.97224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52.89065</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6/10/2016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1.024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16.48494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1.49801</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61.7403</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7/20/2016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17</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2.048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17.28819</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1.05319</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71.05924</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8/10/2016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16</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1.024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18.52342</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1.34437</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72.04738</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9/6/2016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16</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1.024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13.31592</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1.06461</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57.37092</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10/3/2016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1.024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12.83018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1.15514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48.04176</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11/30/2016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2.048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12.46283</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0.73285</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48.08145</w:t>
            </w:r>
          </w:p>
        </w:tc>
      </w:tr>
      <w:tr w:rsidR="007D2C48" w:rsidRPr="007D2C48" w:rsidTr="00D868AE">
        <w:trPr>
          <w:trHeight w:val="300"/>
        </w:trPr>
        <w:tc>
          <w:tcPr>
            <w:tcW w:w="1260" w:type="dxa"/>
            <w:noWrap/>
            <w:hideMark/>
          </w:tcPr>
          <w:p w:rsidR="007D2C48" w:rsidRPr="007D2C48" w:rsidRDefault="007D2C48" w:rsidP="007D2C48">
            <w:pPr>
              <w:rPr>
                <w:rFonts w:ascii="Times New Roman" w:hAnsi="Times New Roman" w:cs="Times New Roman"/>
                <w:sz w:val="22"/>
                <w:szCs w:val="22"/>
              </w:rPr>
            </w:pPr>
            <w:r w:rsidRPr="007D2C48">
              <w:rPr>
                <w:rFonts w:ascii="Times New Roman" w:hAnsi="Times New Roman" w:cs="Times New Roman"/>
                <w:sz w:val="22"/>
                <w:szCs w:val="22"/>
              </w:rPr>
              <w:t>12/14/2016</w:t>
            </w:r>
          </w:p>
        </w:tc>
        <w:tc>
          <w:tcPr>
            <w:tcW w:w="900" w:type="dxa"/>
            <w:noWrap/>
            <w:hideMark/>
          </w:tcPr>
          <w:p w:rsidR="007D2C48" w:rsidRPr="007D2C48" w:rsidRDefault="007D2C48" w:rsidP="00F9103F">
            <w:pPr>
              <w:jc w:val="center"/>
              <w:rPr>
                <w:rFonts w:ascii="Times New Roman" w:hAnsi="Times New Roman" w:cs="Times New Roman"/>
                <w:sz w:val="22"/>
                <w:szCs w:val="22"/>
              </w:rPr>
            </w:pPr>
            <w:r w:rsidRPr="007D2C48">
              <w:rPr>
                <w:rFonts w:ascii="Times New Roman" w:hAnsi="Times New Roman" w:cs="Times New Roman"/>
                <w:sz w:val="22"/>
                <w:szCs w:val="22"/>
              </w:rPr>
              <w:t>18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2.048</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13.91264</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0.77039</w:t>
            </w:r>
          </w:p>
        </w:tc>
        <w:tc>
          <w:tcPr>
            <w:tcW w:w="1800" w:type="dxa"/>
            <w:noWrap/>
            <w:hideMark/>
          </w:tcPr>
          <w:p w:rsidR="007D2C48" w:rsidRPr="007D2C48" w:rsidRDefault="007D2C48" w:rsidP="0034727F">
            <w:pPr>
              <w:jc w:val="right"/>
              <w:rPr>
                <w:rFonts w:ascii="Times New Roman" w:hAnsi="Times New Roman" w:cs="Times New Roman"/>
                <w:sz w:val="22"/>
                <w:szCs w:val="22"/>
              </w:rPr>
            </w:pPr>
            <w:r w:rsidRPr="007D2C48">
              <w:rPr>
                <w:rFonts w:ascii="Times New Roman" w:hAnsi="Times New Roman" w:cs="Times New Roman"/>
                <w:sz w:val="22"/>
                <w:szCs w:val="22"/>
              </w:rPr>
              <w:t>56.00641</w:t>
            </w:r>
          </w:p>
        </w:tc>
      </w:tr>
    </w:tbl>
    <w:p w:rsidR="006274D3" w:rsidRDefault="007D2C48">
      <w:pPr>
        <w:rPr>
          <w:rFonts w:ascii="Times New Roman" w:hAnsi="Times New Roman" w:cs="Times New Roman"/>
          <w:sz w:val="22"/>
          <w:szCs w:val="22"/>
        </w:rPr>
      </w:pPr>
      <w:r>
        <w:rPr>
          <w:rFonts w:ascii="Times New Roman" w:hAnsi="Times New Roman" w:cs="Times New Roman"/>
          <w:sz w:val="22"/>
          <w:szCs w:val="22"/>
        </w:rPr>
        <w:fldChar w:fldCharType="end"/>
      </w:r>
    </w:p>
    <w:p w:rsidR="006274D3" w:rsidRDefault="006274D3">
      <w:pPr>
        <w:rPr>
          <w:rFonts w:ascii="Times New Roman" w:eastAsiaTheme="minorHAnsi" w:hAnsi="Times New Roman" w:cs="Times New Roman"/>
          <w:b/>
          <w:sz w:val="22"/>
          <w:szCs w:val="22"/>
        </w:rPr>
      </w:pPr>
    </w:p>
    <w:p w:rsidR="001E069B" w:rsidRPr="00B072E4" w:rsidRDefault="00B072E4">
      <w:pPr>
        <w:rPr>
          <w:rFonts w:ascii="Times New Roman" w:eastAsiaTheme="minorHAnsi" w:hAnsi="Times New Roman" w:cs="Times New Roman"/>
          <w:b/>
          <w:sz w:val="22"/>
          <w:szCs w:val="22"/>
        </w:rPr>
      </w:pPr>
      <w:r w:rsidRPr="00B072E4">
        <w:rPr>
          <w:rFonts w:ascii="Times New Roman" w:eastAsiaTheme="minorHAnsi" w:hAnsi="Times New Roman" w:cs="Times New Roman"/>
          <w:b/>
          <w:sz w:val="22"/>
          <w:szCs w:val="22"/>
        </w:rPr>
        <w:lastRenderedPageBreak/>
        <w:t xml:space="preserve">Table </w:t>
      </w:r>
      <w:r w:rsidR="006274D3">
        <w:rPr>
          <w:rFonts w:ascii="Times New Roman" w:eastAsiaTheme="minorHAnsi" w:hAnsi="Times New Roman" w:cs="Times New Roman"/>
          <w:b/>
          <w:sz w:val="22"/>
          <w:szCs w:val="22"/>
        </w:rPr>
        <w:t xml:space="preserve">No. </w:t>
      </w:r>
      <w:r w:rsidRPr="00B072E4">
        <w:rPr>
          <w:rFonts w:ascii="Times New Roman" w:eastAsiaTheme="minorHAnsi" w:hAnsi="Times New Roman" w:cs="Times New Roman"/>
          <w:b/>
          <w:sz w:val="22"/>
          <w:szCs w:val="22"/>
        </w:rPr>
        <w:t>2</w:t>
      </w:r>
    </w:p>
    <w:tbl>
      <w:tblPr>
        <w:tblW w:w="5775" w:type="dxa"/>
        <w:tblInd w:w="93" w:type="dxa"/>
        <w:tblLook w:val="04A0" w:firstRow="1" w:lastRow="0" w:firstColumn="1" w:lastColumn="0" w:noHBand="0" w:noVBand="1"/>
      </w:tblPr>
      <w:tblGrid>
        <w:gridCol w:w="1275"/>
        <w:gridCol w:w="900"/>
        <w:gridCol w:w="1800"/>
        <w:gridCol w:w="1800"/>
      </w:tblGrid>
      <w:tr w:rsidR="001E069B" w:rsidRPr="001E069B" w:rsidTr="00B072E4">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OTP</w:t>
            </w:r>
          </w:p>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Peak Date</w:t>
            </w:r>
          </w:p>
        </w:tc>
        <w:tc>
          <w:tcPr>
            <w:tcW w:w="900" w:type="dxa"/>
            <w:tcBorders>
              <w:top w:val="single" w:sz="4" w:space="0" w:color="auto"/>
              <w:left w:val="nil"/>
              <w:bottom w:val="single" w:sz="4" w:space="0" w:color="auto"/>
              <w:right w:val="single" w:sz="4" w:space="0" w:color="auto"/>
            </w:tcBorders>
            <w:shd w:val="clear" w:color="auto" w:fill="auto"/>
            <w:noWrap/>
            <w:hideMark/>
          </w:tcPr>
          <w:p w:rsidR="001E069B" w:rsidRDefault="001E069B" w:rsidP="00B072E4">
            <w:pPr>
              <w:jc w:val="center"/>
              <w:rPr>
                <w:rFonts w:ascii="Times New Roman" w:hAnsi="Times New Roman" w:cs="Times New Roman"/>
                <w:sz w:val="22"/>
                <w:szCs w:val="22"/>
              </w:rPr>
            </w:pPr>
            <w:r w:rsidRPr="001E069B">
              <w:rPr>
                <w:rFonts w:ascii="Times New Roman" w:hAnsi="Times New Roman" w:cs="Times New Roman"/>
                <w:sz w:val="22"/>
                <w:szCs w:val="22"/>
              </w:rPr>
              <w:t>Hour-ending</w:t>
            </w:r>
          </w:p>
          <w:p w:rsidR="001E069B" w:rsidRPr="001E069B" w:rsidRDefault="001E069B" w:rsidP="00B072E4">
            <w:pPr>
              <w:jc w:val="center"/>
              <w:rPr>
                <w:rFonts w:ascii="Times New Roman" w:hAnsi="Times New Roman" w:cs="Times New Roman"/>
                <w:sz w:val="22"/>
                <w:szCs w:val="22"/>
              </w:rPr>
            </w:pPr>
            <w:r w:rsidRPr="001E069B">
              <w:rPr>
                <w:rFonts w:ascii="Times New Roman" w:hAnsi="Times New Roman" w:cs="Times New Roman"/>
                <w:sz w:val="22"/>
                <w:szCs w:val="22"/>
              </w:rPr>
              <w:t>(CPT)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 xml:space="preserve">EGF </w:t>
            </w:r>
          </w:p>
          <w:p w:rsid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GFA-portion Demand (</w:t>
            </w:r>
            <w:r>
              <w:rPr>
                <w:rFonts w:ascii="Times New Roman" w:hAnsi="Times New Roman" w:cs="Times New Roman"/>
                <w:sz w:val="22"/>
                <w:szCs w:val="22"/>
              </w:rPr>
              <w:t xml:space="preserve">in </w:t>
            </w:r>
            <w:r w:rsidRPr="001E069B">
              <w:rPr>
                <w:rFonts w:ascii="Times New Roman" w:hAnsi="Times New Roman" w:cs="Times New Roman"/>
                <w:sz w:val="22"/>
                <w:szCs w:val="22"/>
              </w:rPr>
              <w:t>MW)</w:t>
            </w:r>
          </w:p>
          <w:p w:rsidR="001E069B" w:rsidRPr="001E069B" w:rsidRDefault="001E069B" w:rsidP="00040E93">
            <w:pPr>
              <w:jc w:val="right"/>
              <w:rPr>
                <w:rFonts w:ascii="Times New Roman" w:hAnsi="Times New Roman" w:cs="Times New Roman"/>
                <w:sz w:val="22"/>
                <w:szCs w:val="22"/>
              </w:rPr>
            </w:pPr>
            <w:r>
              <w:rPr>
                <w:rFonts w:ascii="Times New Roman" w:hAnsi="Times New Roman" w:cs="Times New Roman"/>
                <w:sz w:val="22"/>
                <w:szCs w:val="22"/>
              </w:rPr>
              <w:t>GFA</w:t>
            </w:r>
            <w:r w:rsidR="00B56DBA">
              <w:rPr>
                <w:rFonts w:ascii="Times New Roman" w:hAnsi="Times New Roman" w:cs="Times New Roman"/>
                <w:sz w:val="22"/>
                <w:szCs w:val="22"/>
              </w:rPr>
              <w:t xml:space="preserve"> </w:t>
            </w:r>
            <w:r w:rsidR="00040E93">
              <w:rPr>
                <w:rFonts w:ascii="Times New Roman" w:hAnsi="Times New Roman" w:cs="Times New Roman"/>
                <w:sz w:val="22"/>
                <w:szCs w:val="22"/>
              </w:rPr>
              <w:t>431</w:t>
            </w:r>
          </w:p>
        </w:tc>
        <w:tc>
          <w:tcPr>
            <w:tcW w:w="1800" w:type="dxa"/>
            <w:tcBorders>
              <w:top w:val="single" w:sz="4" w:space="0" w:color="auto"/>
              <w:left w:val="nil"/>
              <w:bottom w:val="single" w:sz="4" w:space="0" w:color="auto"/>
              <w:right w:val="single" w:sz="4" w:space="0" w:color="auto"/>
            </w:tcBorders>
            <w:shd w:val="clear" w:color="auto" w:fill="auto"/>
            <w:hideMark/>
          </w:tcPr>
          <w:p w:rsid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UND</w:t>
            </w:r>
          </w:p>
          <w:p w:rsid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(in MW)</w:t>
            </w:r>
          </w:p>
          <w:p w:rsidR="001E069B" w:rsidRDefault="001E069B" w:rsidP="001E069B">
            <w:pPr>
              <w:jc w:val="right"/>
              <w:rPr>
                <w:rFonts w:ascii="Times New Roman" w:hAnsi="Times New Roman" w:cs="Times New Roman"/>
                <w:sz w:val="22"/>
                <w:szCs w:val="22"/>
              </w:rPr>
            </w:pPr>
          </w:p>
          <w:p w:rsidR="001E069B" w:rsidRPr="001E069B" w:rsidRDefault="001E069B" w:rsidP="001E069B">
            <w:pPr>
              <w:jc w:val="right"/>
              <w:rPr>
                <w:rFonts w:ascii="Times New Roman" w:hAnsi="Times New Roman" w:cs="Times New Roman"/>
                <w:sz w:val="22"/>
                <w:szCs w:val="22"/>
              </w:rPr>
            </w:pPr>
            <w:r>
              <w:rPr>
                <w:rFonts w:ascii="Times New Roman" w:hAnsi="Times New Roman" w:cs="Times New Roman"/>
                <w:sz w:val="22"/>
                <w:szCs w:val="22"/>
              </w:rPr>
              <w:t>GFA</w:t>
            </w:r>
            <w:r w:rsidR="00B56DBA">
              <w:rPr>
                <w:rFonts w:ascii="Times New Roman" w:hAnsi="Times New Roman" w:cs="Times New Roman"/>
                <w:sz w:val="22"/>
                <w:szCs w:val="22"/>
              </w:rPr>
              <w:t xml:space="preserve"> 364</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1/12/2016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HE08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3.115</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4.000</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2/12/2016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HE08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3.115</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6.000</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3/1/2016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HE08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0</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4.000</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4/11/2016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HE08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1.038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6.000</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5/24/2016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HE16</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7.269</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6.000</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6/19/2016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HE18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2.077</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7.000</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7/22/2016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HE14</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2.077</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6.000</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8/3/2016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HE17</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4.154</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7.000</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9/1/2016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HE17</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1.038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7.000</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10/24/2016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HE08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2.077</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6.000</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11/21/2016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HE08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1.038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5.000</w:t>
            </w:r>
          </w:p>
        </w:tc>
      </w:tr>
      <w:tr w:rsidR="001E069B" w:rsidRPr="001E069B" w:rsidTr="001E069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12/15/2016</w:t>
            </w:r>
          </w:p>
        </w:tc>
        <w:tc>
          <w:tcPr>
            <w:tcW w:w="9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rPr>
                <w:rFonts w:ascii="Times New Roman" w:hAnsi="Times New Roman" w:cs="Times New Roman"/>
                <w:sz w:val="22"/>
                <w:szCs w:val="22"/>
              </w:rPr>
            </w:pPr>
            <w:r w:rsidRPr="001E069B">
              <w:rPr>
                <w:rFonts w:ascii="Times New Roman" w:hAnsi="Times New Roman" w:cs="Times New Roman"/>
                <w:sz w:val="22"/>
                <w:szCs w:val="22"/>
              </w:rPr>
              <w:t>HE08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1.038</w:t>
            </w:r>
          </w:p>
        </w:tc>
        <w:tc>
          <w:tcPr>
            <w:tcW w:w="1800" w:type="dxa"/>
            <w:tcBorders>
              <w:top w:val="nil"/>
              <w:left w:val="nil"/>
              <w:bottom w:val="single" w:sz="4" w:space="0" w:color="auto"/>
              <w:right w:val="single" w:sz="4" w:space="0" w:color="auto"/>
            </w:tcBorders>
            <w:shd w:val="clear" w:color="auto" w:fill="auto"/>
            <w:noWrap/>
            <w:vAlign w:val="bottom"/>
            <w:hideMark/>
          </w:tcPr>
          <w:p w:rsidR="001E069B" w:rsidRPr="001E069B" w:rsidRDefault="001E069B" w:rsidP="001E069B">
            <w:pPr>
              <w:jc w:val="right"/>
              <w:rPr>
                <w:rFonts w:ascii="Times New Roman" w:hAnsi="Times New Roman" w:cs="Times New Roman"/>
                <w:sz w:val="22"/>
                <w:szCs w:val="22"/>
              </w:rPr>
            </w:pPr>
            <w:r w:rsidRPr="001E069B">
              <w:rPr>
                <w:rFonts w:ascii="Times New Roman" w:hAnsi="Times New Roman" w:cs="Times New Roman"/>
                <w:sz w:val="22"/>
                <w:szCs w:val="22"/>
              </w:rPr>
              <w:t>5.000</w:t>
            </w:r>
          </w:p>
        </w:tc>
      </w:tr>
    </w:tbl>
    <w:p w:rsidR="00F9103F" w:rsidRPr="001E069B" w:rsidRDefault="00F9103F">
      <w:pPr>
        <w:rPr>
          <w:rFonts w:ascii="Times New Roman" w:hAnsi="Times New Roman" w:cs="Times New Roman"/>
          <w:sz w:val="22"/>
          <w:szCs w:val="22"/>
        </w:rPr>
      </w:pPr>
    </w:p>
    <w:sectPr w:rsidR="00F9103F" w:rsidRPr="001E069B" w:rsidSect="006274D3">
      <w:headerReference w:type="default" r:id="rId8"/>
      <w:footerReference w:type="default" r:id="rId9"/>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BB" w:rsidRDefault="004200BB" w:rsidP="00E21DE4">
      <w:r>
        <w:separator/>
      </w:r>
    </w:p>
  </w:endnote>
  <w:endnote w:type="continuationSeparator" w:id="0">
    <w:p w:rsidR="004200BB" w:rsidRDefault="004200BB" w:rsidP="00E2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974021"/>
      <w:docPartObj>
        <w:docPartGallery w:val="Page Numbers (Bottom of Page)"/>
        <w:docPartUnique/>
      </w:docPartObj>
    </w:sdtPr>
    <w:sdtEndPr/>
    <w:sdtContent>
      <w:sdt>
        <w:sdtPr>
          <w:id w:val="98381352"/>
          <w:docPartObj>
            <w:docPartGallery w:val="Page Numbers (Top of Page)"/>
            <w:docPartUnique/>
          </w:docPartObj>
        </w:sdtPr>
        <w:sdtEndPr/>
        <w:sdtContent>
          <w:p w:rsidR="006274D3" w:rsidRDefault="006274D3" w:rsidP="006274D3">
            <w:pPr>
              <w:pStyle w:val="Footer"/>
              <w:jc w:val="center"/>
            </w:pPr>
            <w:r w:rsidRPr="006274D3">
              <w:rPr>
                <w:rFonts w:ascii="Times New Roman" w:hAnsi="Times New Roman" w:cs="Times New Roman"/>
                <w:sz w:val="22"/>
                <w:szCs w:val="22"/>
              </w:rPr>
              <w:t xml:space="preserve">Page </w:t>
            </w:r>
            <w:r w:rsidRPr="006274D3">
              <w:rPr>
                <w:rFonts w:ascii="Times New Roman" w:hAnsi="Times New Roman" w:cs="Times New Roman"/>
                <w:bCs/>
                <w:sz w:val="22"/>
                <w:szCs w:val="22"/>
              </w:rPr>
              <w:fldChar w:fldCharType="begin"/>
            </w:r>
            <w:r w:rsidRPr="006274D3">
              <w:rPr>
                <w:rFonts w:ascii="Times New Roman" w:hAnsi="Times New Roman" w:cs="Times New Roman"/>
                <w:bCs/>
                <w:sz w:val="22"/>
                <w:szCs w:val="22"/>
              </w:rPr>
              <w:instrText xml:space="preserve"> PAGE </w:instrText>
            </w:r>
            <w:r w:rsidRPr="006274D3">
              <w:rPr>
                <w:rFonts w:ascii="Times New Roman" w:hAnsi="Times New Roman" w:cs="Times New Roman"/>
                <w:bCs/>
                <w:sz w:val="22"/>
                <w:szCs w:val="22"/>
              </w:rPr>
              <w:fldChar w:fldCharType="separate"/>
            </w:r>
            <w:r w:rsidR="001B488A">
              <w:rPr>
                <w:rFonts w:ascii="Times New Roman" w:hAnsi="Times New Roman" w:cs="Times New Roman"/>
                <w:bCs/>
                <w:noProof/>
                <w:sz w:val="22"/>
                <w:szCs w:val="22"/>
              </w:rPr>
              <w:t>1</w:t>
            </w:r>
            <w:r w:rsidRPr="006274D3">
              <w:rPr>
                <w:rFonts w:ascii="Times New Roman" w:hAnsi="Times New Roman" w:cs="Times New Roman"/>
                <w:bCs/>
                <w:sz w:val="22"/>
                <w:szCs w:val="22"/>
              </w:rPr>
              <w:fldChar w:fldCharType="end"/>
            </w:r>
            <w:r w:rsidRPr="006274D3">
              <w:rPr>
                <w:rFonts w:ascii="Times New Roman" w:hAnsi="Times New Roman" w:cs="Times New Roman"/>
                <w:sz w:val="22"/>
                <w:szCs w:val="22"/>
              </w:rPr>
              <w:t xml:space="preserve"> of </w:t>
            </w:r>
            <w:r w:rsidRPr="006274D3">
              <w:rPr>
                <w:rFonts w:ascii="Times New Roman" w:hAnsi="Times New Roman" w:cs="Times New Roman"/>
                <w:bCs/>
                <w:sz w:val="22"/>
                <w:szCs w:val="22"/>
              </w:rPr>
              <w:fldChar w:fldCharType="begin"/>
            </w:r>
            <w:r w:rsidRPr="006274D3">
              <w:rPr>
                <w:rFonts w:ascii="Times New Roman" w:hAnsi="Times New Roman" w:cs="Times New Roman"/>
                <w:bCs/>
                <w:sz w:val="22"/>
                <w:szCs w:val="22"/>
              </w:rPr>
              <w:instrText xml:space="preserve"> NUMPAGES  </w:instrText>
            </w:r>
            <w:r w:rsidRPr="006274D3">
              <w:rPr>
                <w:rFonts w:ascii="Times New Roman" w:hAnsi="Times New Roman" w:cs="Times New Roman"/>
                <w:bCs/>
                <w:sz w:val="22"/>
                <w:szCs w:val="22"/>
              </w:rPr>
              <w:fldChar w:fldCharType="separate"/>
            </w:r>
            <w:r w:rsidR="001B488A">
              <w:rPr>
                <w:rFonts w:ascii="Times New Roman" w:hAnsi="Times New Roman" w:cs="Times New Roman"/>
                <w:bCs/>
                <w:noProof/>
                <w:sz w:val="22"/>
                <w:szCs w:val="22"/>
              </w:rPr>
              <w:t>2</w:t>
            </w:r>
            <w:r w:rsidRPr="006274D3">
              <w:rPr>
                <w:rFonts w:ascii="Times New Roman" w:hAnsi="Times New Roman" w:cs="Times New Roman"/>
                <w:bCs/>
                <w:sz w:val="22"/>
                <w:szCs w:val="22"/>
              </w:rPr>
              <w:fldChar w:fldCharType="end"/>
            </w:r>
          </w:p>
        </w:sdtContent>
      </w:sdt>
    </w:sdtContent>
  </w:sdt>
  <w:p w:rsidR="006274D3" w:rsidRDefault="00627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BB" w:rsidRDefault="004200BB" w:rsidP="00E21DE4">
      <w:r>
        <w:separator/>
      </w:r>
    </w:p>
  </w:footnote>
  <w:footnote w:type="continuationSeparator" w:id="0">
    <w:p w:rsidR="004200BB" w:rsidRDefault="004200BB" w:rsidP="00E2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D3" w:rsidRPr="0034727F" w:rsidRDefault="006274D3" w:rsidP="006274D3">
    <w:pPr>
      <w:jc w:val="center"/>
      <w:rPr>
        <w:rFonts w:ascii="Times New Roman" w:eastAsiaTheme="minorHAnsi" w:hAnsi="Times New Roman" w:cs="Times New Roman"/>
        <w:b/>
        <w:sz w:val="22"/>
        <w:szCs w:val="22"/>
      </w:rPr>
    </w:pPr>
    <w:r w:rsidRPr="0034727F">
      <w:rPr>
        <w:rFonts w:ascii="Times New Roman" w:eastAsiaTheme="minorHAnsi" w:hAnsi="Times New Roman" w:cs="Times New Roman"/>
        <w:b/>
        <w:sz w:val="22"/>
        <w:szCs w:val="22"/>
      </w:rPr>
      <w:t>NSP’s Responses to MRES’s 8/23/17 Follow-up Questions</w:t>
    </w:r>
  </w:p>
  <w:p w:rsidR="006274D3" w:rsidRPr="00E21DE4" w:rsidRDefault="006274D3" w:rsidP="006274D3">
    <w:pPr>
      <w:jc w:val="center"/>
      <w:rPr>
        <w:rFonts w:ascii="Times New Roman" w:eastAsiaTheme="minorHAnsi" w:hAnsi="Times New Roman" w:cs="Times New Roman"/>
        <w:b/>
        <w:sz w:val="22"/>
        <w:szCs w:val="22"/>
      </w:rPr>
    </w:pPr>
    <w:r>
      <w:rPr>
        <w:rFonts w:ascii="Times New Roman" w:eastAsiaTheme="minorHAnsi" w:hAnsi="Times New Roman" w:cs="Times New Roman"/>
        <w:b/>
        <w:sz w:val="22"/>
        <w:szCs w:val="22"/>
      </w:rPr>
      <w:t xml:space="preserve">September </w:t>
    </w:r>
    <w:r w:rsidR="009975EE">
      <w:rPr>
        <w:rFonts w:ascii="Times New Roman" w:eastAsiaTheme="minorHAnsi" w:hAnsi="Times New Roman" w:cs="Times New Roman"/>
        <w:b/>
        <w:sz w:val="22"/>
        <w:szCs w:val="22"/>
      </w:rPr>
      <w:t>7</w:t>
    </w:r>
    <w:r w:rsidRPr="00E21DE4">
      <w:rPr>
        <w:rFonts w:ascii="Times New Roman" w:eastAsiaTheme="minorHAnsi" w:hAnsi="Times New Roman" w:cs="Times New Roman"/>
        <w:b/>
        <w:sz w:val="22"/>
        <w:szCs w:val="22"/>
      </w:rPr>
      <w:t>, 2017</w:t>
    </w:r>
  </w:p>
  <w:p w:rsidR="006274D3" w:rsidRDefault="00627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7FF4"/>
    <w:multiLevelType w:val="hybridMultilevel"/>
    <w:tmpl w:val="0032CC68"/>
    <w:lvl w:ilvl="0" w:tplc="A30692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C26FFE"/>
    <w:multiLevelType w:val="hybridMultilevel"/>
    <w:tmpl w:val="421CA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1C"/>
    <w:rsid w:val="00016CF9"/>
    <w:rsid w:val="00035F42"/>
    <w:rsid w:val="00040E93"/>
    <w:rsid w:val="00045216"/>
    <w:rsid w:val="000C40A9"/>
    <w:rsid w:val="0015419A"/>
    <w:rsid w:val="001B25FA"/>
    <w:rsid w:val="001B488A"/>
    <w:rsid w:val="001E069B"/>
    <w:rsid w:val="002E4406"/>
    <w:rsid w:val="002F2A5D"/>
    <w:rsid w:val="002F3A82"/>
    <w:rsid w:val="0034727F"/>
    <w:rsid w:val="004200BB"/>
    <w:rsid w:val="00444290"/>
    <w:rsid w:val="004F2290"/>
    <w:rsid w:val="005319FA"/>
    <w:rsid w:val="00532C7B"/>
    <w:rsid w:val="0058271E"/>
    <w:rsid w:val="006274D3"/>
    <w:rsid w:val="0065450F"/>
    <w:rsid w:val="00660782"/>
    <w:rsid w:val="0076200B"/>
    <w:rsid w:val="00794137"/>
    <w:rsid w:val="007D2C48"/>
    <w:rsid w:val="00817DFC"/>
    <w:rsid w:val="00864BDD"/>
    <w:rsid w:val="00876184"/>
    <w:rsid w:val="0087691C"/>
    <w:rsid w:val="008B6610"/>
    <w:rsid w:val="00964009"/>
    <w:rsid w:val="00967EF2"/>
    <w:rsid w:val="009975EE"/>
    <w:rsid w:val="009A3888"/>
    <w:rsid w:val="00A15E99"/>
    <w:rsid w:val="00B072E4"/>
    <w:rsid w:val="00B56DBA"/>
    <w:rsid w:val="00C92327"/>
    <w:rsid w:val="00C977C0"/>
    <w:rsid w:val="00CA13EE"/>
    <w:rsid w:val="00CF669B"/>
    <w:rsid w:val="00D0113A"/>
    <w:rsid w:val="00D53915"/>
    <w:rsid w:val="00D75972"/>
    <w:rsid w:val="00D770FB"/>
    <w:rsid w:val="00D868AE"/>
    <w:rsid w:val="00E21DE4"/>
    <w:rsid w:val="00E96EBD"/>
    <w:rsid w:val="00ED3874"/>
    <w:rsid w:val="00F9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1C"/>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EE"/>
    <w:pPr>
      <w:ind w:left="720"/>
      <w:contextualSpacing/>
    </w:pPr>
  </w:style>
  <w:style w:type="paragraph" w:styleId="Header">
    <w:name w:val="header"/>
    <w:basedOn w:val="Normal"/>
    <w:link w:val="HeaderChar"/>
    <w:uiPriority w:val="99"/>
    <w:unhideWhenUsed/>
    <w:rsid w:val="00E21DE4"/>
    <w:pPr>
      <w:tabs>
        <w:tab w:val="center" w:pos="4680"/>
        <w:tab w:val="right" w:pos="9360"/>
      </w:tabs>
    </w:pPr>
  </w:style>
  <w:style w:type="character" w:customStyle="1" w:styleId="HeaderChar">
    <w:name w:val="Header Char"/>
    <w:basedOn w:val="DefaultParagraphFont"/>
    <w:link w:val="Header"/>
    <w:uiPriority w:val="99"/>
    <w:rsid w:val="00E21DE4"/>
    <w:rPr>
      <w:rFonts w:ascii="Calibri" w:eastAsia="Times New Roman" w:hAnsi="Calibri" w:cs="Calibri"/>
      <w:sz w:val="20"/>
      <w:szCs w:val="20"/>
    </w:rPr>
  </w:style>
  <w:style w:type="paragraph" w:styleId="Footer">
    <w:name w:val="footer"/>
    <w:basedOn w:val="Normal"/>
    <w:link w:val="FooterChar"/>
    <w:uiPriority w:val="99"/>
    <w:unhideWhenUsed/>
    <w:rsid w:val="00E21DE4"/>
    <w:pPr>
      <w:tabs>
        <w:tab w:val="center" w:pos="4680"/>
        <w:tab w:val="right" w:pos="9360"/>
      </w:tabs>
    </w:pPr>
  </w:style>
  <w:style w:type="character" w:customStyle="1" w:styleId="FooterChar">
    <w:name w:val="Footer Char"/>
    <w:basedOn w:val="DefaultParagraphFont"/>
    <w:link w:val="Footer"/>
    <w:uiPriority w:val="99"/>
    <w:rsid w:val="00E21DE4"/>
    <w:rPr>
      <w:rFonts w:ascii="Calibri" w:eastAsia="Times New Roman" w:hAnsi="Calibri" w:cs="Calibri"/>
      <w:sz w:val="20"/>
      <w:szCs w:val="20"/>
    </w:rPr>
  </w:style>
  <w:style w:type="table" w:styleId="TableGrid">
    <w:name w:val="Table Grid"/>
    <w:basedOn w:val="TableNormal"/>
    <w:uiPriority w:val="59"/>
    <w:rsid w:val="007D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610"/>
    <w:rPr>
      <w:rFonts w:ascii="Tahoma" w:hAnsi="Tahoma" w:cs="Tahoma"/>
      <w:sz w:val="16"/>
      <w:szCs w:val="16"/>
    </w:rPr>
  </w:style>
  <w:style w:type="character" w:customStyle="1" w:styleId="BalloonTextChar">
    <w:name w:val="Balloon Text Char"/>
    <w:basedOn w:val="DefaultParagraphFont"/>
    <w:link w:val="BalloonText"/>
    <w:uiPriority w:val="99"/>
    <w:semiHidden/>
    <w:rsid w:val="008B66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1C"/>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EE"/>
    <w:pPr>
      <w:ind w:left="720"/>
      <w:contextualSpacing/>
    </w:pPr>
  </w:style>
  <w:style w:type="paragraph" w:styleId="Header">
    <w:name w:val="header"/>
    <w:basedOn w:val="Normal"/>
    <w:link w:val="HeaderChar"/>
    <w:uiPriority w:val="99"/>
    <w:unhideWhenUsed/>
    <w:rsid w:val="00E21DE4"/>
    <w:pPr>
      <w:tabs>
        <w:tab w:val="center" w:pos="4680"/>
        <w:tab w:val="right" w:pos="9360"/>
      </w:tabs>
    </w:pPr>
  </w:style>
  <w:style w:type="character" w:customStyle="1" w:styleId="HeaderChar">
    <w:name w:val="Header Char"/>
    <w:basedOn w:val="DefaultParagraphFont"/>
    <w:link w:val="Header"/>
    <w:uiPriority w:val="99"/>
    <w:rsid w:val="00E21DE4"/>
    <w:rPr>
      <w:rFonts w:ascii="Calibri" w:eastAsia="Times New Roman" w:hAnsi="Calibri" w:cs="Calibri"/>
      <w:sz w:val="20"/>
      <w:szCs w:val="20"/>
    </w:rPr>
  </w:style>
  <w:style w:type="paragraph" w:styleId="Footer">
    <w:name w:val="footer"/>
    <w:basedOn w:val="Normal"/>
    <w:link w:val="FooterChar"/>
    <w:uiPriority w:val="99"/>
    <w:unhideWhenUsed/>
    <w:rsid w:val="00E21DE4"/>
    <w:pPr>
      <w:tabs>
        <w:tab w:val="center" w:pos="4680"/>
        <w:tab w:val="right" w:pos="9360"/>
      </w:tabs>
    </w:pPr>
  </w:style>
  <w:style w:type="character" w:customStyle="1" w:styleId="FooterChar">
    <w:name w:val="Footer Char"/>
    <w:basedOn w:val="DefaultParagraphFont"/>
    <w:link w:val="Footer"/>
    <w:uiPriority w:val="99"/>
    <w:rsid w:val="00E21DE4"/>
    <w:rPr>
      <w:rFonts w:ascii="Calibri" w:eastAsia="Times New Roman" w:hAnsi="Calibri" w:cs="Calibri"/>
      <w:sz w:val="20"/>
      <w:szCs w:val="20"/>
    </w:rPr>
  </w:style>
  <w:style w:type="table" w:styleId="TableGrid">
    <w:name w:val="Table Grid"/>
    <w:basedOn w:val="TableNormal"/>
    <w:uiPriority w:val="59"/>
    <w:rsid w:val="007D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610"/>
    <w:rPr>
      <w:rFonts w:ascii="Tahoma" w:hAnsi="Tahoma" w:cs="Tahoma"/>
      <w:sz w:val="16"/>
      <w:szCs w:val="16"/>
    </w:rPr>
  </w:style>
  <w:style w:type="character" w:customStyle="1" w:styleId="BalloonTextChar">
    <w:name w:val="Balloon Text Char"/>
    <w:basedOn w:val="DefaultParagraphFont"/>
    <w:link w:val="BalloonText"/>
    <w:uiPriority w:val="99"/>
    <w:semiHidden/>
    <w:rsid w:val="008B66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9793">
      <w:bodyDiv w:val="1"/>
      <w:marLeft w:val="0"/>
      <w:marRight w:val="0"/>
      <w:marTop w:val="0"/>
      <w:marBottom w:val="0"/>
      <w:divBdr>
        <w:top w:val="none" w:sz="0" w:space="0" w:color="auto"/>
        <w:left w:val="none" w:sz="0" w:space="0" w:color="auto"/>
        <w:bottom w:val="none" w:sz="0" w:space="0" w:color="auto"/>
        <w:right w:val="none" w:sz="0" w:space="0" w:color="auto"/>
      </w:divBdr>
    </w:div>
    <w:div w:id="652682317">
      <w:bodyDiv w:val="1"/>
      <w:marLeft w:val="0"/>
      <w:marRight w:val="0"/>
      <w:marTop w:val="0"/>
      <w:marBottom w:val="0"/>
      <w:divBdr>
        <w:top w:val="none" w:sz="0" w:space="0" w:color="auto"/>
        <w:left w:val="none" w:sz="0" w:space="0" w:color="auto"/>
        <w:bottom w:val="none" w:sz="0" w:space="0" w:color="auto"/>
        <w:right w:val="none" w:sz="0" w:space="0" w:color="auto"/>
      </w:divBdr>
    </w:div>
    <w:div w:id="972295883">
      <w:bodyDiv w:val="1"/>
      <w:marLeft w:val="0"/>
      <w:marRight w:val="0"/>
      <w:marTop w:val="0"/>
      <w:marBottom w:val="0"/>
      <w:divBdr>
        <w:top w:val="none" w:sz="0" w:space="0" w:color="auto"/>
        <w:left w:val="none" w:sz="0" w:space="0" w:color="auto"/>
        <w:bottom w:val="none" w:sz="0" w:space="0" w:color="auto"/>
        <w:right w:val="none" w:sz="0" w:space="0" w:color="auto"/>
      </w:divBdr>
    </w:div>
    <w:div w:id="1168326344">
      <w:bodyDiv w:val="1"/>
      <w:marLeft w:val="0"/>
      <w:marRight w:val="0"/>
      <w:marTop w:val="0"/>
      <w:marBottom w:val="0"/>
      <w:divBdr>
        <w:top w:val="none" w:sz="0" w:space="0" w:color="auto"/>
        <w:left w:val="none" w:sz="0" w:space="0" w:color="auto"/>
        <w:bottom w:val="none" w:sz="0" w:space="0" w:color="auto"/>
        <w:right w:val="none" w:sz="0" w:space="0" w:color="auto"/>
      </w:divBdr>
    </w:div>
    <w:div w:id="1870411104">
      <w:bodyDiv w:val="1"/>
      <w:marLeft w:val="0"/>
      <w:marRight w:val="0"/>
      <w:marTop w:val="0"/>
      <w:marBottom w:val="0"/>
      <w:divBdr>
        <w:top w:val="none" w:sz="0" w:space="0" w:color="auto"/>
        <w:left w:val="none" w:sz="0" w:space="0" w:color="auto"/>
        <w:bottom w:val="none" w:sz="0" w:space="0" w:color="auto"/>
        <w:right w:val="none" w:sz="0" w:space="0" w:color="auto"/>
      </w:divBdr>
    </w:div>
    <w:div w:id="1949120110">
      <w:bodyDiv w:val="1"/>
      <w:marLeft w:val="0"/>
      <w:marRight w:val="0"/>
      <w:marTop w:val="0"/>
      <w:marBottom w:val="0"/>
      <w:divBdr>
        <w:top w:val="none" w:sz="0" w:space="0" w:color="auto"/>
        <w:left w:val="none" w:sz="0" w:space="0" w:color="auto"/>
        <w:bottom w:val="none" w:sz="0" w:space="0" w:color="auto"/>
        <w:right w:val="none" w:sz="0" w:space="0" w:color="auto"/>
      </w:divBdr>
    </w:div>
    <w:div w:id="20360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Xcel Energy</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 Bruning</dc:creator>
  <cp:lastModifiedBy>Michele B. Bruning</cp:lastModifiedBy>
  <cp:revision>2</cp:revision>
  <dcterms:created xsi:type="dcterms:W3CDTF">2017-09-07T15:12:00Z</dcterms:created>
  <dcterms:modified xsi:type="dcterms:W3CDTF">2017-09-07T15:12:00Z</dcterms:modified>
</cp:coreProperties>
</file>