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36" w:rsidRPr="00B73BFE" w:rsidRDefault="00B73BFE" w:rsidP="00B73BFE">
      <w:pPr>
        <w:spacing w:line="240" w:lineRule="auto"/>
        <w:contextualSpacing/>
        <w:jc w:val="center"/>
        <w:rPr>
          <w:rFonts w:ascii="Times New Roman" w:hAnsi="Times New Roman" w:cs="Times New Roman"/>
          <w:sz w:val="24"/>
          <w:szCs w:val="24"/>
        </w:rPr>
      </w:pPr>
      <w:bookmarkStart w:id="0" w:name="_GoBack"/>
      <w:bookmarkEnd w:id="0"/>
      <w:r w:rsidRPr="00B73BFE">
        <w:rPr>
          <w:rFonts w:ascii="Times New Roman" w:hAnsi="Times New Roman" w:cs="Times New Roman"/>
          <w:sz w:val="24"/>
          <w:szCs w:val="24"/>
        </w:rPr>
        <w:t>MidAmerican 201</w:t>
      </w:r>
      <w:r w:rsidR="004226A1">
        <w:rPr>
          <w:rFonts w:ascii="Times New Roman" w:hAnsi="Times New Roman" w:cs="Times New Roman"/>
          <w:sz w:val="24"/>
          <w:szCs w:val="24"/>
        </w:rPr>
        <w:t>5</w:t>
      </w:r>
      <w:r w:rsidRPr="00B73BFE">
        <w:rPr>
          <w:rFonts w:ascii="Times New Roman" w:hAnsi="Times New Roman" w:cs="Times New Roman"/>
          <w:sz w:val="24"/>
          <w:szCs w:val="24"/>
        </w:rPr>
        <w:t xml:space="preserve"> </w:t>
      </w:r>
      <w:r w:rsidR="00BD2B34">
        <w:rPr>
          <w:rFonts w:ascii="Times New Roman" w:hAnsi="Times New Roman" w:cs="Times New Roman"/>
          <w:sz w:val="24"/>
          <w:szCs w:val="24"/>
        </w:rPr>
        <w:t xml:space="preserve">Projected </w:t>
      </w:r>
      <w:r w:rsidRPr="00B73BFE">
        <w:rPr>
          <w:rFonts w:ascii="Times New Roman" w:hAnsi="Times New Roman" w:cs="Times New Roman"/>
          <w:sz w:val="24"/>
          <w:szCs w:val="24"/>
        </w:rPr>
        <w:t>Formula Transmission Rate Template</w:t>
      </w:r>
    </w:p>
    <w:p w:rsidR="00B73BFE" w:rsidRPr="00B73BFE" w:rsidRDefault="00B73BFE" w:rsidP="00B73BFE">
      <w:pPr>
        <w:spacing w:line="240" w:lineRule="auto"/>
        <w:contextualSpacing/>
        <w:jc w:val="center"/>
        <w:rPr>
          <w:rFonts w:ascii="Times New Roman" w:hAnsi="Times New Roman" w:cs="Times New Roman"/>
          <w:sz w:val="24"/>
          <w:szCs w:val="24"/>
        </w:rPr>
      </w:pPr>
      <w:r w:rsidRPr="00B73BFE">
        <w:rPr>
          <w:rFonts w:ascii="Times New Roman" w:hAnsi="Times New Roman" w:cs="Times New Roman"/>
          <w:sz w:val="24"/>
          <w:szCs w:val="24"/>
        </w:rPr>
        <w:t>Answers to Frequently Asked Questions</w:t>
      </w:r>
    </w:p>
    <w:p w:rsidR="00B73BFE" w:rsidRDefault="0085510B" w:rsidP="00B73BF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November 2</w:t>
      </w:r>
      <w:r w:rsidR="004226A1">
        <w:rPr>
          <w:rFonts w:ascii="Times New Roman" w:hAnsi="Times New Roman" w:cs="Times New Roman"/>
          <w:sz w:val="24"/>
          <w:szCs w:val="24"/>
        </w:rPr>
        <w:t>5</w:t>
      </w:r>
      <w:r>
        <w:rPr>
          <w:rFonts w:ascii="Times New Roman" w:hAnsi="Times New Roman" w:cs="Times New Roman"/>
          <w:sz w:val="24"/>
          <w:szCs w:val="24"/>
        </w:rPr>
        <w:t>, 201</w:t>
      </w:r>
      <w:r w:rsidR="00E039E1">
        <w:rPr>
          <w:rFonts w:ascii="Times New Roman" w:hAnsi="Times New Roman" w:cs="Times New Roman"/>
          <w:sz w:val="24"/>
          <w:szCs w:val="24"/>
        </w:rPr>
        <w:t>4</w:t>
      </w:r>
    </w:p>
    <w:p w:rsidR="00E039E1" w:rsidRDefault="00E039E1" w:rsidP="00B73BF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Appended January 12, 2015 </w:t>
      </w:r>
    </w:p>
    <w:p w:rsidR="00B73BFE" w:rsidRPr="00B73BFE" w:rsidRDefault="00B73BFE" w:rsidP="00B73BFE">
      <w:pPr>
        <w:spacing w:line="240" w:lineRule="auto"/>
        <w:contextualSpacing/>
        <w:rPr>
          <w:rFonts w:ascii="Times New Roman" w:hAnsi="Times New Roman" w:cs="Times New Roman"/>
          <w:sz w:val="24"/>
          <w:szCs w:val="24"/>
        </w:rPr>
      </w:pPr>
    </w:p>
    <w:p w:rsidR="00B73BFE" w:rsidRDefault="00B73BFE" w:rsidP="00B73BFE">
      <w:pPr>
        <w:spacing w:line="240" w:lineRule="auto"/>
        <w:contextualSpacing/>
        <w:rPr>
          <w:rFonts w:ascii="Times New Roman" w:hAnsi="Times New Roman" w:cs="Times New Roman"/>
          <w:sz w:val="24"/>
          <w:szCs w:val="24"/>
        </w:rPr>
      </w:pPr>
    </w:p>
    <w:p w:rsidR="008B4485" w:rsidRDefault="008B4485" w:rsidP="008B4485">
      <w:pPr>
        <w:spacing w:line="240" w:lineRule="auto"/>
        <w:contextualSpacing/>
        <w:rPr>
          <w:rFonts w:ascii="Times New Roman" w:hAnsi="Times New Roman" w:cs="Times New Roman"/>
          <w:sz w:val="24"/>
          <w:szCs w:val="24"/>
        </w:rPr>
      </w:pPr>
      <w:r w:rsidRPr="00A75AD2">
        <w:rPr>
          <w:rFonts w:ascii="Times New Roman" w:hAnsi="Times New Roman" w:cs="Times New Roman"/>
          <w:b/>
          <w:sz w:val="24"/>
          <w:szCs w:val="24"/>
        </w:rPr>
        <w:t>Question:</w:t>
      </w:r>
      <w:r>
        <w:rPr>
          <w:rFonts w:ascii="Times New Roman" w:hAnsi="Times New Roman" w:cs="Times New Roman"/>
          <w:sz w:val="24"/>
          <w:szCs w:val="24"/>
        </w:rPr>
        <w:t xml:space="preserve">  </w:t>
      </w:r>
      <w:r w:rsidR="004226A1">
        <w:rPr>
          <w:rFonts w:ascii="Times New Roman" w:hAnsi="Times New Roman" w:cs="Times New Roman"/>
          <w:sz w:val="24"/>
          <w:szCs w:val="24"/>
        </w:rPr>
        <w:t>What are MISO Attachment GG and Attachment MM</w:t>
      </w:r>
      <w:r>
        <w:rPr>
          <w:rFonts w:ascii="Times New Roman" w:hAnsi="Times New Roman" w:cs="Times New Roman"/>
          <w:sz w:val="24"/>
          <w:szCs w:val="24"/>
        </w:rPr>
        <w:t>?</w:t>
      </w:r>
    </w:p>
    <w:p w:rsidR="008B4485" w:rsidRDefault="008B4485" w:rsidP="008B4485">
      <w:pPr>
        <w:spacing w:line="240" w:lineRule="auto"/>
        <w:contextualSpacing/>
        <w:rPr>
          <w:rFonts w:ascii="Times New Roman" w:hAnsi="Times New Roman" w:cs="Times New Roman"/>
          <w:sz w:val="24"/>
          <w:szCs w:val="24"/>
        </w:rPr>
      </w:pPr>
    </w:p>
    <w:p w:rsidR="00B236A6" w:rsidRDefault="008B4485" w:rsidP="004226A1">
      <w:pPr>
        <w:tabs>
          <w:tab w:val="left" w:pos="1170"/>
        </w:tabs>
        <w:spacing w:line="240" w:lineRule="auto"/>
        <w:ind w:left="1170" w:hanging="1170"/>
        <w:contextualSpacing/>
        <w:rPr>
          <w:rFonts w:ascii="Times New Roman" w:hAnsi="Times New Roman" w:cs="Times New Roman"/>
          <w:sz w:val="24"/>
          <w:szCs w:val="24"/>
        </w:rPr>
      </w:pPr>
      <w:r w:rsidRPr="00A75AD2">
        <w:rPr>
          <w:rFonts w:ascii="Times New Roman" w:hAnsi="Times New Roman" w:cs="Times New Roman"/>
          <w:b/>
          <w:sz w:val="24"/>
          <w:szCs w:val="24"/>
        </w:rPr>
        <w:t>Response:</w:t>
      </w:r>
      <w:r>
        <w:rPr>
          <w:rFonts w:ascii="Times New Roman" w:hAnsi="Times New Roman" w:cs="Times New Roman"/>
          <w:sz w:val="24"/>
          <w:szCs w:val="24"/>
        </w:rPr>
        <w:tab/>
      </w:r>
      <w:r w:rsidR="004226A1">
        <w:rPr>
          <w:rFonts w:ascii="Times New Roman" w:hAnsi="Times New Roman" w:cs="Times New Roman"/>
          <w:sz w:val="24"/>
          <w:szCs w:val="24"/>
        </w:rPr>
        <w:t xml:space="preserve">Attachment GG is the vehicle that is used to recover a transmission owner’s revenue requirements for investments in </w:t>
      </w:r>
      <w:r w:rsidR="0089233C">
        <w:rPr>
          <w:rFonts w:ascii="Times New Roman" w:hAnsi="Times New Roman" w:cs="Times New Roman"/>
          <w:sz w:val="24"/>
          <w:szCs w:val="24"/>
        </w:rPr>
        <w:t xml:space="preserve">certain </w:t>
      </w:r>
      <w:r w:rsidR="004226A1">
        <w:rPr>
          <w:rFonts w:ascii="Times New Roman" w:hAnsi="Times New Roman" w:cs="Times New Roman"/>
          <w:sz w:val="24"/>
          <w:szCs w:val="24"/>
        </w:rPr>
        <w:t>reliability projects that are authorized in the MISO Transmission Expansion Plan (</w:t>
      </w:r>
      <w:r w:rsidR="0089233C">
        <w:rPr>
          <w:rFonts w:ascii="Times New Roman" w:hAnsi="Times New Roman" w:cs="Times New Roman"/>
          <w:sz w:val="24"/>
          <w:szCs w:val="24"/>
        </w:rPr>
        <w:t>“</w:t>
      </w:r>
      <w:r w:rsidR="004226A1">
        <w:rPr>
          <w:rFonts w:ascii="Times New Roman" w:hAnsi="Times New Roman" w:cs="Times New Roman"/>
          <w:sz w:val="24"/>
          <w:szCs w:val="24"/>
        </w:rPr>
        <w:t>MTEP</w:t>
      </w:r>
      <w:r w:rsidR="0089233C">
        <w:rPr>
          <w:rFonts w:ascii="Times New Roman" w:hAnsi="Times New Roman" w:cs="Times New Roman"/>
          <w:sz w:val="24"/>
          <w:szCs w:val="24"/>
        </w:rPr>
        <w:t>”</w:t>
      </w:r>
      <w:r w:rsidR="004226A1">
        <w:rPr>
          <w:rFonts w:ascii="Times New Roman" w:hAnsi="Times New Roman" w:cs="Times New Roman"/>
          <w:sz w:val="24"/>
          <w:szCs w:val="24"/>
        </w:rPr>
        <w:t xml:space="preserve">). </w:t>
      </w:r>
      <w:r w:rsidR="0089233C">
        <w:rPr>
          <w:rFonts w:ascii="Times New Roman" w:hAnsi="Times New Roman" w:cs="Times New Roman"/>
          <w:sz w:val="24"/>
          <w:szCs w:val="24"/>
        </w:rPr>
        <w:t xml:space="preserve">For example, </w:t>
      </w:r>
      <w:r w:rsidR="004226A1">
        <w:rPr>
          <w:rFonts w:ascii="Times New Roman" w:hAnsi="Times New Roman" w:cs="Times New Roman"/>
          <w:sz w:val="24"/>
          <w:szCs w:val="24"/>
        </w:rPr>
        <w:t xml:space="preserve">10% of the </w:t>
      </w:r>
      <w:r w:rsidR="0089233C">
        <w:rPr>
          <w:rFonts w:ascii="Times New Roman" w:hAnsi="Times New Roman" w:cs="Times New Roman"/>
          <w:sz w:val="24"/>
          <w:szCs w:val="24"/>
        </w:rPr>
        <w:t xml:space="preserve">cost of generator interconnection projects at 345 kV </w:t>
      </w:r>
      <w:r w:rsidR="004226A1">
        <w:rPr>
          <w:rFonts w:ascii="Times New Roman" w:hAnsi="Times New Roman" w:cs="Times New Roman"/>
          <w:sz w:val="24"/>
          <w:szCs w:val="24"/>
        </w:rPr>
        <w:t>is allocated across the MISO footprint and is recovered by Schedule 26.</w:t>
      </w: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r>
        <w:rPr>
          <w:rFonts w:ascii="Times New Roman" w:hAnsi="Times New Roman" w:cs="Times New Roman"/>
          <w:sz w:val="24"/>
          <w:szCs w:val="24"/>
        </w:rPr>
        <w:tab/>
        <w:t>Attachment MM is the vehicle that is used to recover a transmission owner’s revenue requirements for investments in multi value projects (</w:t>
      </w:r>
      <w:r w:rsidR="0089233C">
        <w:rPr>
          <w:rFonts w:ascii="Times New Roman" w:hAnsi="Times New Roman" w:cs="Times New Roman"/>
          <w:sz w:val="24"/>
          <w:szCs w:val="24"/>
        </w:rPr>
        <w:t>“</w:t>
      </w:r>
      <w:r>
        <w:rPr>
          <w:rFonts w:ascii="Times New Roman" w:hAnsi="Times New Roman" w:cs="Times New Roman"/>
          <w:sz w:val="24"/>
          <w:szCs w:val="24"/>
        </w:rPr>
        <w:t>MVP</w:t>
      </w:r>
      <w:r w:rsidR="0089233C">
        <w:rPr>
          <w:rFonts w:ascii="Times New Roman" w:hAnsi="Times New Roman" w:cs="Times New Roman"/>
          <w:sz w:val="24"/>
          <w:szCs w:val="24"/>
        </w:rPr>
        <w:t>s”</w:t>
      </w:r>
      <w:r>
        <w:rPr>
          <w:rFonts w:ascii="Times New Roman" w:hAnsi="Times New Roman" w:cs="Times New Roman"/>
          <w:sz w:val="24"/>
          <w:szCs w:val="24"/>
        </w:rPr>
        <w:t>) that are approved in the MTEP. These revenue requirements are recovered by Schedule 26</w:t>
      </w:r>
      <w:r w:rsidR="0089233C">
        <w:rPr>
          <w:rFonts w:ascii="Times New Roman" w:hAnsi="Times New Roman" w:cs="Times New Roman"/>
          <w:sz w:val="24"/>
          <w:szCs w:val="24"/>
        </w:rPr>
        <w:t>-</w:t>
      </w:r>
      <w:r>
        <w:rPr>
          <w:rFonts w:ascii="Times New Roman" w:hAnsi="Times New Roman" w:cs="Times New Roman"/>
          <w:sz w:val="24"/>
          <w:szCs w:val="24"/>
        </w:rPr>
        <w:t>A.</w:t>
      </w: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b/>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r w:rsidRPr="004226A1">
        <w:rPr>
          <w:rFonts w:ascii="Times New Roman" w:hAnsi="Times New Roman" w:cs="Times New Roman"/>
          <w:b/>
          <w:sz w:val="24"/>
          <w:szCs w:val="24"/>
        </w:rPr>
        <w:t>Question:</w:t>
      </w:r>
      <w:r>
        <w:rPr>
          <w:rFonts w:ascii="Times New Roman" w:hAnsi="Times New Roman" w:cs="Times New Roman"/>
          <w:sz w:val="24"/>
          <w:szCs w:val="24"/>
        </w:rPr>
        <w:tab/>
        <w:t>Attachment O revenue requirements are used in the calculation of which rates?</w:t>
      </w: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r w:rsidRPr="004226A1">
        <w:rPr>
          <w:rFonts w:ascii="Times New Roman" w:hAnsi="Times New Roman" w:cs="Times New Roman"/>
          <w:b/>
          <w:sz w:val="24"/>
          <w:szCs w:val="24"/>
        </w:rPr>
        <w:t>Response:</w:t>
      </w:r>
      <w:r>
        <w:rPr>
          <w:rFonts w:ascii="Times New Roman" w:hAnsi="Times New Roman" w:cs="Times New Roman"/>
          <w:sz w:val="24"/>
          <w:szCs w:val="24"/>
        </w:rPr>
        <w:tab/>
        <w:t>The MidAmerican Attachment O revenue requirements are used in the calculation of MidAmerican’s portion of the MidAmerican Zonal Schedules 7, 8 and 9 rates.</w:t>
      </w:r>
      <w:r w:rsidR="0089233C">
        <w:rPr>
          <w:rFonts w:ascii="Times New Roman" w:hAnsi="Times New Roman" w:cs="Times New Roman"/>
          <w:sz w:val="24"/>
          <w:szCs w:val="24"/>
        </w:rPr>
        <w:t xml:space="preserve">  Revenue requirements of other transmission owners such as municipal utilities are also included in MidAmerican’s Zonal rates.</w:t>
      </w: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b/>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r w:rsidRPr="004226A1">
        <w:rPr>
          <w:rFonts w:ascii="Times New Roman" w:hAnsi="Times New Roman" w:cs="Times New Roman"/>
          <w:b/>
          <w:sz w:val="24"/>
          <w:szCs w:val="24"/>
        </w:rPr>
        <w:t>Question:</w:t>
      </w:r>
      <w:r>
        <w:rPr>
          <w:rFonts w:ascii="Times New Roman" w:hAnsi="Times New Roman" w:cs="Times New Roman"/>
          <w:sz w:val="24"/>
          <w:szCs w:val="24"/>
        </w:rPr>
        <w:tab/>
        <w:t>How are the charges for Attachment GG and Attachment MM revenue requirements applied (Schedules 26 and 26</w:t>
      </w:r>
      <w:r w:rsidR="0089233C">
        <w:rPr>
          <w:rFonts w:ascii="Times New Roman" w:hAnsi="Times New Roman" w:cs="Times New Roman"/>
          <w:sz w:val="24"/>
          <w:szCs w:val="24"/>
        </w:rPr>
        <w:t>-</w:t>
      </w:r>
      <w:r>
        <w:rPr>
          <w:rFonts w:ascii="Times New Roman" w:hAnsi="Times New Roman" w:cs="Times New Roman"/>
          <w:sz w:val="24"/>
          <w:szCs w:val="24"/>
        </w:rPr>
        <w:t>A)?</w:t>
      </w: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r w:rsidRPr="004226A1">
        <w:rPr>
          <w:rFonts w:ascii="Times New Roman" w:hAnsi="Times New Roman" w:cs="Times New Roman"/>
          <w:b/>
          <w:sz w:val="24"/>
          <w:szCs w:val="24"/>
        </w:rPr>
        <w:t>Response:</w:t>
      </w:r>
      <w:r>
        <w:rPr>
          <w:rFonts w:ascii="Times New Roman" w:hAnsi="Times New Roman" w:cs="Times New Roman"/>
          <w:sz w:val="24"/>
          <w:szCs w:val="24"/>
        </w:rPr>
        <w:tab/>
        <w:t xml:space="preserve">Schedule 26 is a demand charge applied to the network customer’s zonal coincident peak demand and </w:t>
      </w:r>
      <w:r w:rsidR="0089233C">
        <w:rPr>
          <w:rFonts w:ascii="Times New Roman" w:hAnsi="Times New Roman" w:cs="Times New Roman"/>
          <w:sz w:val="24"/>
          <w:szCs w:val="24"/>
        </w:rPr>
        <w:t xml:space="preserve">to </w:t>
      </w:r>
      <w:r>
        <w:rPr>
          <w:rFonts w:ascii="Times New Roman" w:hAnsi="Times New Roman" w:cs="Times New Roman"/>
          <w:sz w:val="24"/>
          <w:szCs w:val="24"/>
        </w:rPr>
        <w:t>the point-to-point customer’s reservation. Schedule 26</w:t>
      </w:r>
      <w:r w:rsidR="0089233C">
        <w:rPr>
          <w:rFonts w:ascii="Times New Roman" w:hAnsi="Times New Roman" w:cs="Times New Roman"/>
          <w:sz w:val="24"/>
          <w:szCs w:val="24"/>
        </w:rPr>
        <w:t>-</w:t>
      </w:r>
      <w:r>
        <w:rPr>
          <w:rFonts w:ascii="Times New Roman" w:hAnsi="Times New Roman" w:cs="Times New Roman"/>
          <w:sz w:val="24"/>
          <w:szCs w:val="24"/>
        </w:rPr>
        <w:t>A is a megawatt hour charge that is applied to a customer’s hourly withdrawals of energy</w:t>
      </w:r>
      <w:r w:rsidR="0089233C">
        <w:rPr>
          <w:rFonts w:ascii="Times New Roman" w:hAnsi="Times New Roman" w:cs="Times New Roman"/>
          <w:sz w:val="24"/>
          <w:szCs w:val="24"/>
        </w:rPr>
        <w:t xml:space="preserve"> and to export schedules</w:t>
      </w:r>
      <w:r>
        <w:rPr>
          <w:rFonts w:ascii="Times New Roman" w:hAnsi="Times New Roman" w:cs="Times New Roman"/>
          <w:sz w:val="24"/>
          <w:szCs w:val="24"/>
        </w:rPr>
        <w:t>.</w:t>
      </w: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b/>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r w:rsidRPr="004226A1">
        <w:rPr>
          <w:rFonts w:ascii="Times New Roman" w:hAnsi="Times New Roman" w:cs="Times New Roman"/>
          <w:b/>
          <w:sz w:val="24"/>
          <w:szCs w:val="24"/>
        </w:rPr>
        <w:t>Question:</w:t>
      </w:r>
      <w:r>
        <w:rPr>
          <w:rFonts w:ascii="Times New Roman" w:hAnsi="Times New Roman" w:cs="Times New Roman"/>
          <w:sz w:val="24"/>
          <w:szCs w:val="24"/>
        </w:rPr>
        <w:tab/>
        <w:t>Is MidAmerican’s Attachment O capital structure hypothetical?</w:t>
      </w: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r w:rsidRPr="004226A1">
        <w:rPr>
          <w:rFonts w:ascii="Times New Roman" w:hAnsi="Times New Roman" w:cs="Times New Roman"/>
          <w:b/>
          <w:sz w:val="24"/>
          <w:szCs w:val="24"/>
        </w:rPr>
        <w:t>Answer:</w:t>
      </w:r>
      <w:r>
        <w:rPr>
          <w:rFonts w:ascii="Times New Roman" w:hAnsi="Times New Roman" w:cs="Times New Roman"/>
          <w:sz w:val="24"/>
          <w:szCs w:val="24"/>
        </w:rPr>
        <w:tab/>
        <w:t>No, MidAmerican’s Attachment O capital structure is its forecasted capital structure for the year.</w:t>
      </w:r>
      <w:r w:rsidR="0089233C">
        <w:rPr>
          <w:rFonts w:ascii="Times New Roman" w:hAnsi="Times New Roman" w:cs="Times New Roman"/>
          <w:sz w:val="24"/>
          <w:szCs w:val="24"/>
        </w:rPr>
        <w:t xml:space="preserve">  The actual capital structure is applied in true-ups of the rates.</w:t>
      </w: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b/>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r w:rsidRPr="004226A1">
        <w:rPr>
          <w:rFonts w:ascii="Times New Roman" w:hAnsi="Times New Roman" w:cs="Times New Roman"/>
          <w:b/>
          <w:sz w:val="24"/>
          <w:szCs w:val="24"/>
        </w:rPr>
        <w:t>Question:</w:t>
      </w:r>
      <w:r>
        <w:rPr>
          <w:rFonts w:ascii="Times New Roman" w:hAnsi="Times New Roman" w:cs="Times New Roman"/>
          <w:sz w:val="24"/>
          <w:szCs w:val="24"/>
        </w:rPr>
        <w:tab/>
        <w:t>Are the MidAmerican zone Schedule 26 and Schedule 26</w:t>
      </w:r>
      <w:r w:rsidR="0089233C">
        <w:rPr>
          <w:rFonts w:ascii="Times New Roman" w:hAnsi="Times New Roman" w:cs="Times New Roman"/>
          <w:sz w:val="24"/>
          <w:szCs w:val="24"/>
        </w:rPr>
        <w:t>-</w:t>
      </w:r>
      <w:r>
        <w:rPr>
          <w:rFonts w:ascii="Times New Roman" w:hAnsi="Times New Roman" w:cs="Times New Roman"/>
          <w:sz w:val="24"/>
          <w:szCs w:val="24"/>
        </w:rPr>
        <w:t>A charges solely based on MidAmerican’s Attachment GG and Attachment MM revenue requirements?</w:t>
      </w: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r w:rsidRPr="004226A1">
        <w:rPr>
          <w:rFonts w:ascii="Times New Roman" w:hAnsi="Times New Roman" w:cs="Times New Roman"/>
          <w:b/>
          <w:sz w:val="24"/>
          <w:szCs w:val="24"/>
        </w:rPr>
        <w:lastRenderedPageBreak/>
        <w:t>Answer:</w:t>
      </w:r>
      <w:r>
        <w:rPr>
          <w:rFonts w:ascii="Times New Roman" w:hAnsi="Times New Roman" w:cs="Times New Roman"/>
          <w:sz w:val="24"/>
          <w:szCs w:val="24"/>
        </w:rPr>
        <w:tab/>
        <w:t>No, the MidAmerican zone Schedule 26 and Schedule 26</w:t>
      </w:r>
      <w:r w:rsidR="0089233C">
        <w:rPr>
          <w:rFonts w:ascii="Times New Roman" w:hAnsi="Times New Roman" w:cs="Times New Roman"/>
          <w:sz w:val="24"/>
          <w:szCs w:val="24"/>
        </w:rPr>
        <w:t>-</w:t>
      </w:r>
      <w:r>
        <w:rPr>
          <w:rFonts w:ascii="Times New Roman" w:hAnsi="Times New Roman" w:cs="Times New Roman"/>
          <w:sz w:val="24"/>
          <w:szCs w:val="24"/>
        </w:rPr>
        <w:t>A charges are based on all Attachment GG and Attachment MM revenue requirements allocated to the MidAmerican zone.</w:t>
      </w: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b/>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r w:rsidRPr="004226A1">
        <w:rPr>
          <w:rFonts w:ascii="Times New Roman" w:hAnsi="Times New Roman" w:cs="Times New Roman"/>
          <w:b/>
          <w:sz w:val="24"/>
          <w:szCs w:val="24"/>
        </w:rPr>
        <w:t>Question:</w:t>
      </w:r>
      <w:r>
        <w:rPr>
          <w:rFonts w:ascii="Times New Roman" w:hAnsi="Times New Roman" w:cs="Times New Roman"/>
          <w:sz w:val="24"/>
          <w:szCs w:val="24"/>
        </w:rPr>
        <w:tab/>
        <w:t>What is the link to the projected MISO Schedule 26</w:t>
      </w:r>
      <w:r w:rsidR="0089233C">
        <w:rPr>
          <w:rFonts w:ascii="Times New Roman" w:hAnsi="Times New Roman" w:cs="Times New Roman"/>
          <w:sz w:val="24"/>
          <w:szCs w:val="24"/>
        </w:rPr>
        <w:t>-</w:t>
      </w:r>
      <w:r>
        <w:rPr>
          <w:rFonts w:ascii="Times New Roman" w:hAnsi="Times New Roman" w:cs="Times New Roman"/>
          <w:sz w:val="24"/>
          <w:szCs w:val="24"/>
        </w:rPr>
        <w:t>A charges?</w:t>
      </w: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p>
    <w:p w:rsidR="004226A1" w:rsidRDefault="004226A1" w:rsidP="004226A1">
      <w:pPr>
        <w:tabs>
          <w:tab w:val="left" w:pos="1170"/>
        </w:tabs>
        <w:spacing w:line="240" w:lineRule="auto"/>
        <w:ind w:left="1170" w:hanging="1170"/>
        <w:contextualSpacing/>
        <w:rPr>
          <w:rFonts w:ascii="Times New Roman" w:hAnsi="Times New Roman" w:cs="Times New Roman"/>
          <w:sz w:val="24"/>
          <w:szCs w:val="24"/>
        </w:rPr>
      </w:pPr>
      <w:r w:rsidRPr="004226A1">
        <w:rPr>
          <w:rFonts w:ascii="Times New Roman" w:hAnsi="Times New Roman" w:cs="Times New Roman"/>
          <w:b/>
          <w:sz w:val="24"/>
          <w:szCs w:val="24"/>
        </w:rPr>
        <w:t>Answer:</w:t>
      </w:r>
      <w:r>
        <w:rPr>
          <w:rFonts w:ascii="Times New Roman" w:hAnsi="Times New Roman" w:cs="Times New Roman"/>
          <w:sz w:val="24"/>
          <w:szCs w:val="24"/>
        </w:rPr>
        <w:tab/>
        <w:t>The link to the projected MISO Schedule 26</w:t>
      </w:r>
      <w:r w:rsidR="0089233C">
        <w:rPr>
          <w:rFonts w:ascii="Times New Roman" w:hAnsi="Times New Roman" w:cs="Times New Roman"/>
          <w:sz w:val="24"/>
          <w:szCs w:val="24"/>
        </w:rPr>
        <w:t>-</w:t>
      </w:r>
      <w:r>
        <w:rPr>
          <w:rFonts w:ascii="Times New Roman" w:hAnsi="Times New Roman" w:cs="Times New Roman"/>
          <w:sz w:val="24"/>
          <w:szCs w:val="24"/>
        </w:rPr>
        <w:t>A charges is:</w:t>
      </w:r>
    </w:p>
    <w:p w:rsidR="0089233C" w:rsidRDefault="0089233C" w:rsidP="004226A1">
      <w:pPr>
        <w:tabs>
          <w:tab w:val="left" w:pos="1170"/>
        </w:tabs>
        <w:spacing w:line="240" w:lineRule="auto"/>
        <w:ind w:left="1170" w:hanging="1170"/>
        <w:contextualSpacing/>
        <w:rPr>
          <w:rFonts w:ascii="Times New Roman" w:hAnsi="Times New Roman" w:cs="Times New Roman"/>
          <w:sz w:val="24"/>
          <w:szCs w:val="24"/>
        </w:rPr>
      </w:pPr>
    </w:p>
    <w:p w:rsidR="0089233C" w:rsidRDefault="0089233C" w:rsidP="0089233C">
      <w:pPr>
        <w:tabs>
          <w:tab w:val="left" w:pos="1170"/>
        </w:tabs>
        <w:spacing w:line="240" w:lineRule="auto"/>
        <w:ind w:left="1170" w:hanging="1170"/>
        <w:contextualSpacing/>
        <w:rPr>
          <w:rStyle w:val="Hyperlink"/>
          <w:rFonts w:ascii="Times New Roman" w:hAnsi="Times New Roman" w:cs="Times New Roman"/>
          <w:sz w:val="24"/>
          <w:szCs w:val="24"/>
        </w:rPr>
      </w:pPr>
      <w:r>
        <w:rPr>
          <w:rFonts w:ascii="Times New Roman" w:hAnsi="Times New Roman" w:cs="Times New Roman"/>
          <w:sz w:val="24"/>
          <w:szCs w:val="24"/>
        </w:rPr>
        <w:tab/>
      </w:r>
      <w:hyperlink r:id="rId8" w:history="1">
        <w:r w:rsidRPr="002C7481">
          <w:rPr>
            <w:rStyle w:val="Hyperlink"/>
            <w:rFonts w:ascii="Times New Roman" w:hAnsi="Times New Roman" w:cs="Times New Roman"/>
            <w:sz w:val="24"/>
            <w:szCs w:val="24"/>
          </w:rPr>
          <w:t>https://www.misoenergy.org/_layouts/MISO/ECM/Redirect.aspx?ID=177750</w:t>
        </w:r>
      </w:hyperlink>
    </w:p>
    <w:p w:rsidR="008F2550" w:rsidRDefault="008F2550" w:rsidP="0089233C">
      <w:pPr>
        <w:tabs>
          <w:tab w:val="left" w:pos="1170"/>
        </w:tabs>
        <w:spacing w:line="240" w:lineRule="auto"/>
        <w:ind w:left="1170" w:hanging="1170"/>
        <w:contextualSpacing/>
        <w:rPr>
          <w:rStyle w:val="Hyperlink"/>
          <w:rFonts w:ascii="Times New Roman" w:hAnsi="Times New Roman" w:cs="Times New Roman"/>
          <w:sz w:val="24"/>
          <w:szCs w:val="24"/>
        </w:rPr>
      </w:pPr>
    </w:p>
    <w:p w:rsidR="008F2550" w:rsidRDefault="008F2550" w:rsidP="0089233C">
      <w:pPr>
        <w:tabs>
          <w:tab w:val="left" w:pos="1170"/>
        </w:tabs>
        <w:spacing w:line="240" w:lineRule="auto"/>
        <w:ind w:left="1170" w:hanging="1170"/>
        <w:contextualSpacing/>
        <w:rPr>
          <w:rFonts w:ascii="Times New Roman" w:hAnsi="Times New Roman" w:cs="Times New Roman"/>
          <w:b/>
          <w:sz w:val="28"/>
          <w:szCs w:val="28"/>
        </w:rPr>
      </w:pPr>
    </w:p>
    <w:p w:rsidR="008F2550" w:rsidRPr="00920576" w:rsidRDefault="00E039E1" w:rsidP="0089233C">
      <w:pPr>
        <w:tabs>
          <w:tab w:val="left" w:pos="1170"/>
        </w:tabs>
        <w:spacing w:line="240" w:lineRule="auto"/>
        <w:ind w:left="1170" w:hanging="1170"/>
        <w:contextualSpacing/>
        <w:rPr>
          <w:rFonts w:ascii="Times New Roman" w:hAnsi="Times New Roman" w:cs="Times New Roman"/>
          <w:b/>
          <w:sz w:val="24"/>
          <w:szCs w:val="24"/>
        </w:rPr>
      </w:pPr>
      <w:r>
        <w:rPr>
          <w:rFonts w:ascii="Times New Roman" w:hAnsi="Times New Roman" w:cs="Times New Roman"/>
          <w:b/>
          <w:sz w:val="24"/>
          <w:szCs w:val="24"/>
        </w:rPr>
        <w:t>January 12</w:t>
      </w:r>
      <w:r w:rsidR="008F2550" w:rsidRPr="00920576">
        <w:rPr>
          <w:rFonts w:ascii="Times New Roman" w:hAnsi="Times New Roman" w:cs="Times New Roman"/>
          <w:b/>
          <w:sz w:val="24"/>
          <w:szCs w:val="24"/>
        </w:rPr>
        <w:t>, 201</w:t>
      </w:r>
      <w:r>
        <w:rPr>
          <w:rFonts w:ascii="Times New Roman" w:hAnsi="Times New Roman" w:cs="Times New Roman"/>
          <w:b/>
          <w:sz w:val="24"/>
          <w:szCs w:val="24"/>
        </w:rPr>
        <w:t>5</w:t>
      </w:r>
      <w:r w:rsidR="008F2550" w:rsidRPr="00920576">
        <w:rPr>
          <w:rFonts w:ascii="Times New Roman" w:hAnsi="Times New Roman" w:cs="Times New Roman"/>
          <w:b/>
          <w:sz w:val="24"/>
          <w:szCs w:val="24"/>
        </w:rPr>
        <w:t xml:space="preserve"> Addendum Based on MISO Pricing Staff Review</w:t>
      </w:r>
    </w:p>
    <w:p w:rsidR="008F2550" w:rsidRDefault="008F2550" w:rsidP="0089233C">
      <w:pPr>
        <w:tabs>
          <w:tab w:val="left" w:pos="1170"/>
        </w:tabs>
        <w:spacing w:line="240" w:lineRule="auto"/>
        <w:ind w:left="1170" w:hanging="1170"/>
        <w:contextualSpacing/>
        <w:rPr>
          <w:rFonts w:ascii="Times New Roman" w:hAnsi="Times New Roman" w:cs="Times New Roman"/>
          <w:b/>
          <w:sz w:val="24"/>
          <w:szCs w:val="24"/>
        </w:rPr>
      </w:pPr>
    </w:p>
    <w:p w:rsidR="00E039E1" w:rsidRPr="00920576" w:rsidRDefault="00E039E1" w:rsidP="0089233C">
      <w:pPr>
        <w:tabs>
          <w:tab w:val="left" w:pos="1170"/>
        </w:tabs>
        <w:spacing w:line="240" w:lineRule="auto"/>
        <w:ind w:left="1170" w:hanging="1170"/>
        <w:contextualSpacing/>
        <w:rPr>
          <w:rFonts w:ascii="Times New Roman" w:hAnsi="Times New Roman" w:cs="Times New Roman"/>
          <w:sz w:val="24"/>
          <w:szCs w:val="24"/>
        </w:rPr>
      </w:pPr>
      <w:r w:rsidRPr="00920576">
        <w:rPr>
          <w:rFonts w:ascii="Times New Roman" w:hAnsi="Times New Roman" w:cs="Times New Roman"/>
          <w:sz w:val="24"/>
          <w:szCs w:val="24"/>
        </w:rPr>
        <w:t>The following provides questions from MISO and MidAmerican’s answers to those questions.</w:t>
      </w:r>
    </w:p>
    <w:p w:rsidR="00E039E1" w:rsidRDefault="00E039E1" w:rsidP="008F2550">
      <w:pPr>
        <w:rPr>
          <w:rFonts w:ascii="Times New Roman" w:hAnsi="Times New Roman" w:cs="Times New Roman"/>
          <w:b/>
          <w:sz w:val="24"/>
          <w:szCs w:val="24"/>
          <w:u w:val="single"/>
        </w:rPr>
      </w:pPr>
    </w:p>
    <w:p w:rsidR="008F2550" w:rsidRPr="00920576" w:rsidRDefault="008F2550" w:rsidP="008F2550">
      <w:pPr>
        <w:rPr>
          <w:rFonts w:ascii="Times New Roman" w:hAnsi="Times New Roman" w:cs="Times New Roman"/>
          <w:b/>
          <w:sz w:val="24"/>
          <w:szCs w:val="24"/>
          <w:u w:val="single"/>
        </w:rPr>
      </w:pPr>
      <w:r w:rsidRPr="00920576">
        <w:rPr>
          <w:rFonts w:ascii="Times New Roman" w:hAnsi="Times New Roman" w:cs="Times New Roman"/>
          <w:b/>
          <w:sz w:val="24"/>
          <w:szCs w:val="24"/>
          <w:u w:val="single"/>
        </w:rPr>
        <w:t>Attachment O</w:t>
      </w:r>
    </w:p>
    <w:p w:rsidR="008F2550" w:rsidRPr="00920576" w:rsidRDefault="008F2550" w:rsidP="008F2550">
      <w:pPr>
        <w:pStyle w:val="ListParagraph"/>
        <w:numPr>
          <w:ilvl w:val="0"/>
          <w:numId w:val="6"/>
        </w:numPr>
        <w:rPr>
          <w:rFonts w:ascii="Times New Roman" w:hAnsi="Times New Roman"/>
          <w:sz w:val="24"/>
          <w:szCs w:val="24"/>
          <w:u w:val="single"/>
        </w:rPr>
      </w:pPr>
      <w:r w:rsidRPr="00920576">
        <w:rPr>
          <w:rFonts w:ascii="Times New Roman" w:hAnsi="Times New Roman"/>
          <w:sz w:val="24"/>
          <w:szCs w:val="24"/>
        </w:rPr>
        <w:t>Page 3 Line 2 – Account 565</w:t>
      </w:r>
      <w:r w:rsidRPr="00920576">
        <w:rPr>
          <w:rFonts w:ascii="Times New Roman" w:hAnsi="Times New Roman"/>
          <w:b/>
          <w:sz w:val="24"/>
          <w:szCs w:val="24"/>
        </w:rPr>
        <w:t xml:space="preserve"> - </w:t>
      </w:r>
      <w:r w:rsidRPr="00920576">
        <w:rPr>
          <w:rFonts w:ascii="Times New Roman" w:hAnsi="Times New Roman"/>
          <w:sz w:val="24"/>
          <w:szCs w:val="24"/>
        </w:rPr>
        <w:t xml:space="preserve">Please explain the driver for the 54% increase from 2014 forecast ($23,647,281) to 2015 ($36,411,425).  </w:t>
      </w:r>
    </w:p>
    <w:p w:rsidR="008F2550" w:rsidRPr="00920576" w:rsidRDefault="008F2550" w:rsidP="008F2550">
      <w:pPr>
        <w:ind w:left="360"/>
        <w:rPr>
          <w:rFonts w:ascii="Times New Roman" w:hAnsi="Times New Roman" w:cs="Times New Roman"/>
          <w:color w:val="0070C0"/>
          <w:sz w:val="24"/>
          <w:szCs w:val="24"/>
        </w:rPr>
      </w:pPr>
      <w:r w:rsidRPr="00920576">
        <w:rPr>
          <w:rFonts w:ascii="Times New Roman" w:hAnsi="Times New Roman" w:cs="Times New Roman"/>
          <w:b/>
          <w:sz w:val="24"/>
          <w:szCs w:val="24"/>
        </w:rPr>
        <w:t>MidAmerican Response:</w:t>
      </w:r>
      <w:r w:rsidRPr="00920576">
        <w:rPr>
          <w:rFonts w:ascii="Times New Roman" w:hAnsi="Times New Roman" w:cs="Times New Roman"/>
          <w:sz w:val="24"/>
          <w:szCs w:val="24"/>
        </w:rPr>
        <w:t xml:space="preserve"> The increase to the Account 565 forecast is due to an anticipated increase of 2015 MidAmerican Schedule 26-A payments to MISO as compared to 2014 payments and to a change to more explicitly account for those payments as compared to the 2014 forecast. </w:t>
      </w:r>
    </w:p>
    <w:p w:rsidR="008F2550" w:rsidRPr="00920576" w:rsidRDefault="008F2550" w:rsidP="008F2550">
      <w:pPr>
        <w:pStyle w:val="ListParagraph"/>
        <w:rPr>
          <w:rFonts w:ascii="Times New Roman" w:hAnsi="Times New Roman"/>
          <w:sz w:val="24"/>
          <w:szCs w:val="24"/>
          <w:u w:val="single"/>
        </w:rPr>
      </w:pPr>
    </w:p>
    <w:p w:rsidR="008F2550" w:rsidRPr="00920576" w:rsidRDefault="008F2550" w:rsidP="008F2550">
      <w:pPr>
        <w:pStyle w:val="ListParagraph"/>
        <w:numPr>
          <w:ilvl w:val="0"/>
          <w:numId w:val="6"/>
        </w:numPr>
        <w:rPr>
          <w:rFonts w:ascii="Times New Roman" w:hAnsi="Times New Roman"/>
          <w:sz w:val="24"/>
          <w:szCs w:val="24"/>
          <w:u w:val="single"/>
        </w:rPr>
      </w:pPr>
      <w:r w:rsidRPr="00920576">
        <w:rPr>
          <w:rFonts w:ascii="Times New Roman" w:hAnsi="Times New Roman"/>
          <w:sz w:val="24"/>
          <w:szCs w:val="24"/>
        </w:rPr>
        <w:t>Page 3 Line 18 – Other Taxes</w:t>
      </w:r>
      <w:r w:rsidRPr="00920576">
        <w:rPr>
          <w:rFonts w:ascii="Times New Roman" w:hAnsi="Times New Roman"/>
          <w:b/>
          <w:sz w:val="24"/>
          <w:szCs w:val="24"/>
        </w:rPr>
        <w:t xml:space="preserve"> - </w:t>
      </w:r>
      <w:r w:rsidRPr="00920576">
        <w:rPr>
          <w:rFonts w:ascii="Times New Roman" w:hAnsi="Times New Roman"/>
          <w:sz w:val="24"/>
          <w:szCs w:val="24"/>
        </w:rPr>
        <w:t xml:space="preserve">Please explain the driver for the 99% decrease from 2014 forecast ($1,015,324) to 2015 ($13,882).  </w:t>
      </w:r>
    </w:p>
    <w:p w:rsidR="008F2550" w:rsidRPr="00920576" w:rsidRDefault="008F2550" w:rsidP="008F2550">
      <w:pPr>
        <w:ind w:left="360"/>
        <w:rPr>
          <w:rFonts w:ascii="Times New Roman" w:hAnsi="Times New Roman" w:cs="Times New Roman"/>
          <w:sz w:val="24"/>
          <w:szCs w:val="24"/>
        </w:rPr>
      </w:pPr>
      <w:r w:rsidRPr="00920576">
        <w:rPr>
          <w:rFonts w:ascii="Times New Roman" w:hAnsi="Times New Roman" w:cs="Times New Roman"/>
          <w:b/>
          <w:sz w:val="24"/>
          <w:szCs w:val="24"/>
        </w:rPr>
        <w:t>MidAmerican Response:</w:t>
      </w:r>
      <w:r w:rsidRPr="00920576">
        <w:rPr>
          <w:rFonts w:ascii="Times New Roman" w:hAnsi="Times New Roman" w:cs="Times New Roman"/>
          <w:sz w:val="24"/>
          <w:szCs w:val="24"/>
        </w:rPr>
        <w:t xml:space="preserve"> MidAmerican’s corporate accounting group forecasts “Taxes Other Than Income Taxes” as a total amount. Transmission Services then allocates that amount over the Taxes Other Than Income Taxes components based on the prior year’s ratios of Property, Payroll and Other Taxes. The ratio for Other Taxes at year-end 2013 was less than year-end 2012.</w:t>
      </w:r>
    </w:p>
    <w:p w:rsidR="008F2550" w:rsidRPr="00920576" w:rsidRDefault="008F2550" w:rsidP="008F2550">
      <w:pPr>
        <w:ind w:left="360"/>
        <w:rPr>
          <w:rFonts w:ascii="Times New Roman" w:hAnsi="Times New Roman" w:cs="Times New Roman"/>
          <w:sz w:val="24"/>
          <w:szCs w:val="24"/>
        </w:rPr>
      </w:pPr>
    </w:p>
    <w:p w:rsidR="008F2550" w:rsidRPr="00920576" w:rsidRDefault="008F2550" w:rsidP="008F2550">
      <w:pPr>
        <w:pStyle w:val="ListParagraph"/>
        <w:numPr>
          <w:ilvl w:val="0"/>
          <w:numId w:val="6"/>
        </w:numPr>
        <w:rPr>
          <w:rFonts w:ascii="Times New Roman" w:hAnsi="Times New Roman"/>
          <w:sz w:val="24"/>
          <w:szCs w:val="24"/>
          <w:u w:val="single"/>
        </w:rPr>
      </w:pPr>
      <w:r w:rsidRPr="00920576">
        <w:rPr>
          <w:rFonts w:ascii="Times New Roman" w:hAnsi="Times New Roman"/>
          <w:sz w:val="24"/>
          <w:szCs w:val="24"/>
        </w:rPr>
        <w:t>Page 3 Line 5a – Transmission Related Regulatory Commission Expenses – please confirm MEC has no projected expenses to include on this line.</w:t>
      </w:r>
    </w:p>
    <w:p w:rsidR="008F2550" w:rsidRPr="00920576" w:rsidRDefault="008F2550" w:rsidP="008F2550">
      <w:pPr>
        <w:ind w:left="360"/>
        <w:rPr>
          <w:rFonts w:ascii="Times New Roman" w:hAnsi="Times New Roman" w:cs="Times New Roman"/>
          <w:sz w:val="24"/>
          <w:szCs w:val="24"/>
        </w:rPr>
      </w:pPr>
      <w:r w:rsidRPr="00920576">
        <w:rPr>
          <w:rFonts w:ascii="Times New Roman" w:hAnsi="Times New Roman" w:cs="Times New Roman"/>
          <w:b/>
          <w:sz w:val="24"/>
          <w:szCs w:val="24"/>
        </w:rPr>
        <w:t>MidAmerican Response:</w:t>
      </w:r>
      <w:r w:rsidRPr="00920576">
        <w:rPr>
          <w:rFonts w:ascii="Times New Roman" w:hAnsi="Times New Roman" w:cs="Times New Roman"/>
          <w:sz w:val="24"/>
          <w:szCs w:val="24"/>
        </w:rPr>
        <w:t xml:space="preserve"> MidAmerican confirms that it does not have Transmission Related Regulatory Commission Expenses forecast for 2015.</w:t>
      </w:r>
    </w:p>
    <w:p w:rsidR="008F2550" w:rsidRPr="00920576" w:rsidRDefault="008F2550" w:rsidP="008F2550">
      <w:pPr>
        <w:ind w:left="360"/>
        <w:rPr>
          <w:rFonts w:ascii="Times New Roman" w:hAnsi="Times New Roman" w:cs="Times New Roman"/>
          <w:sz w:val="24"/>
          <w:szCs w:val="24"/>
        </w:rPr>
      </w:pPr>
    </w:p>
    <w:p w:rsidR="008F2550" w:rsidRPr="00920576" w:rsidRDefault="008F2550" w:rsidP="008F2550">
      <w:pPr>
        <w:pStyle w:val="ListParagraph"/>
        <w:numPr>
          <w:ilvl w:val="0"/>
          <w:numId w:val="6"/>
        </w:numPr>
        <w:rPr>
          <w:rFonts w:ascii="Times New Roman" w:hAnsi="Times New Roman"/>
          <w:sz w:val="24"/>
          <w:szCs w:val="24"/>
        </w:rPr>
      </w:pPr>
      <w:r w:rsidRPr="00920576">
        <w:rPr>
          <w:rFonts w:ascii="Times New Roman" w:hAnsi="Times New Roman"/>
          <w:sz w:val="24"/>
          <w:szCs w:val="24"/>
        </w:rPr>
        <w:lastRenderedPageBreak/>
        <w:t>‘2013 Attachment O True-up’ tab in Attachment O workbook – this doesn’t affect the calculation but noticed Line 12 appears to be mislabeled.  It says the ‘Average Monthly MEC ST debt interest rate’.  I think this should be the FERC Interest Rate instead?</w:t>
      </w:r>
    </w:p>
    <w:p w:rsidR="008F2550" w:rsidRPr="00920576" w:rsidRDefault="008F2550" w:rsidP="008F2550">
      <w:pPr>
        <w:ind w:left="360"/>
        <w:rPr>
          <w:rFonts w:ascii="Times New Roman" w:hAnsi="Times New Roman" w:cs="Times New Roman"/>
          <w:color w:val="0070C0"/>
          <w:sz w:val="24"/>
          <w:szCs w:val="24"/>
        </w:rPr>
      </w:pPr>
      <w:r w:rsidRPr="00920576">
        <w:rPr>
          <w:rFonts w:ascii="Times New Roman" w:hAnsi="Times New Roman" w:cs="Times New Roman"/>
          <w:b/>
          <w:sz w:val="24"/>
          <w:szCs w:val="24"/>
        </w:rPr>
        <w:t>MidAmerican Response:</w:t>
      </w:r>
      <w:r w:rsidRPr="00920576">
        <w:rPr>
          <w:rFonts w:ascii="Times New Roman" w:hAnsi="Times New Roman" w:cs="Times New Roman"/>
          <w:sz w:val="24"/>
          <w:szCs w:val="24"/>
        </w:rPr>
        <w:t xml:space="preserve"> Corrections have been made and an updated work book is provided.</w:t>
      </w:r>
    </w:p>
    <w:p w:rsidR="008F2550" w:rsidRPr="00920576" w:rsidRDefault="008F2550" w:rsidP="008F2550">
      <w:pPr>
        <w:rPr>
          <w:rFonts w:ascii="Times New Roman" w:hAnsi="Times New Roman" w:cs="Times New Roman"/>
          <w:sz w:val="24"/>
          <w:szCs w:val="24"/>
        </w:rPr>
      </w:pPr>
    </w:p>
    <w:p w:rsidR="008F2550" w:rsidRPr="00920576" w:rsidRDefault="008F2550" w:rsidP="008F2550">
      <w:pPr>
        <w:rPr>
          <w:rFonts w:ascii="Times New Roman" w:hAnsi="Times New Roman" w:cs="Times New Roman"/>
          <w:b/>
          <w:sz w:val="24"/>
          <w:szCs w:val="24"/>
          <w:u w:val="single"/>
        </w:rPr>
      </w:pPr>
      <w:r w:rsidRPr="00920576">
        <w:rPr>
          <w:rFonts w:ascii="Times New Roman" w:hAnsi="Times New Roman" w:cs="Times New Roman"/>
          <w:b/>
          <w:sz w:val="24"/>
          <w:szCs w:val="24"/>
          <w:u w:val="single"/>
        </w:rPr>
        <w:t xml:space="preserve">2015 Schedule 1 Rev </w:t>
      </w:r>
      <w:proofErr w:type="spellStart"/>
      <w:r w:rsidRPr="00920576">
        <w:rPr>
          <w:rFonts w:ascii="Times New Roman" w:hAnsi="Times New Roman" w:cs="Times New Roman"/>
          <w:b/>
          <w:sz w:val="24"/>
          <w:szCs w:val="24"/>
          <w:u w:val="single"/>
        </w:rPr>
        <w:t>Req</w:t>
      </w:r>
      <w:proofErr w:type="spellEnd"/>
      <w:r w:rsidRPr="00920576">
        <w:rPr>
          <w:rFonts w:ascii="Times New Roman" w:hAnsi="Times New Roman" w:cs="Times New Roman"/>
          <w:b/>
          <w:sz w:val="24"/>
          <w:szCs w:val="24"/>
          <w:u w:val="single"/>
        </w:rPr>
        <w:t xml:space="preserve"> </w:t>
      </w:r>
      <w:proofErr w:type="spellStart"/>
      <w:r w:rsidRPr="00920576">
        <w:rPr>
          <w:rFonts w:ascii="Times New Roman" w:hAnsi="Times New Roman" w:cs="Times New Roman"/>
          <w:b/>
          <w:sz w:val="24"/>
          <w:szCs w:val="24"/>
          <w:u w:val="single"/>
        </w:rPr>
        <w:t>Calc</w:t>
      </w:r>
      <w:proofErr w:type="spellEnd"/>
    </w:p>
    <w:p w:rsidR="008F2550" w:rsidRPr="00920576" w:rsidRDefault="008F2550" w:rsidP="008F2550">
      <w:pPr>
        <w:pStyle w:val="ListParagraph"/>
        <w:numPr>
          <w:ilvl w:val="0"/>
          <w:numId w:val="6"/>
        </w:numPr>
        <w:rPr>
          <w:rFonts w:ascii="Times New Roman" w:hAnsi="Times New Roman"/>
          <w:b/>
          <w:sz w:val="24"/>
          <w:szCs w:val="24"/>
          <w:u w:val="single"/>
        </w:rPr>
      </w:pPr>
      <w:r w:rsidRPr="00920576">
        <w:rPr>
          <w:rFonts w:ascii="Times New Roman" w:hAnsi="Times New Roman"/>
          <w:sz w:val="24"/>
          <w:szCs w:val="24"/>
        </w:rPr>
        <w:t xml:space="preserve">Attachment O </w:t>
      </w:r>
      <w:proofErr w:type="spellStart"/>
      <w:r w:rsidRPr="00920576">
        <w:rPr>
          <w:rFonts w:ascii="Times New Roman" w:hAnsi="Times New Roman"/>
          <w:sz w:val="24"/>
          <w:szCs w:val="24"/>
        </w:rPr>
        <w:t>pg</w:t>
      </w:r>
      <w:proofErr w:type="spellEnd"/>
      <w:r w:rsidRPr="00920576">
        <w:rPr>
          <w:rFonts w:ascii="Times New Roman" w:hAnsi="Times New Roman"/>
          <w:sz w:val="24"/>
          <w:szCs w:val="24"/>
        </w:rPr>
        <w:t xml:space="preserve"> 4 line 7 (transmission expenses included in OATT Ancillary </w:t>
      </w:r>
      <w:proofErr w:type="spellStart"/>
      <w:r w:rsidRPr="00920576">
        <w:rPr>
          <w:rFonts w:ascii="Times New Roman" w:hAnsi="Times New Roman"/>
          <w:sz w:val="24"/>
          <w:szCs w:val="24"/>
        </w:rPr>
        <w:t>Svcs</w:t>
      </w:r>
      <w:proofErr w:type="spellEnd"/>
      <w:r w:rsidRPr="00920576">
        <w:rPr>
          <w:rFonts w:ascii="Times New Roman" w:hAnsi="Times New Roman"/>
          <w:sz w:val="24"/>
          <w:szCs w:val="24"/>
        </w:rPr>
        <w:t>)– the value reported here changed to $1,550,501 but the value reported on the Schedule 1 worksheet still reports the original submission value ($1,567,433).  Is there an updated Schedule 1 worksheet you wish to provide?</w:t>
      </w:r>
    </w:p>
    <w:p w:rsidR="008F2550" w:rsidRPr="00920576" w:rsidRDefault="008F2550" w:rsidP="008F2550">
      <w:pPr>
        <w:ind w:left="360"/>
        <w:rPr>
          <w:rFonts w:ascii="Times New Roman" w:hAnsi="Times New Roman" w:cs="Times New Roman"/>
          <w:sz w:val="24"/>
          <w:szCs w:val="24"/>
        </w:rPr>
      </w:pPr>
      <w:r w:rsidRPr="00920576">
        <w:rPr>
          <w:rFonts w:ascii="Times New Roman" w:hAnsi="Times New Roman" w:cs="Times New Roman"/>
          <w:b/>
          <w:sz w:val="24"/>
          <w:szCs w:val="24"/>
        </w:rPr>
        <w:t>MidAmerican Response:</w:t>
      </w:r>
      <w:r w:rsidRPr="00920576">
        <w:rPr>
          <w:rFonts w:ascii="Times New Roman" w:hAnsi="Times New Roman" w:cs="Times New Roman"/>
          <w:sz w:val="24"/>
          <w:szCs w:val="24"/>
        </w:rPr>
        <w:t xml:space="preserve"> The corrected current version of the Schedule 1 calculation is attached.</w:t>
      </w:r>
    </w:p>
    <w:p w:rsidR="008F2550" w:rsidRPr="00920576" w:rsidRDefault="008F2550" w:rsidP="008F2550">
      <w:pPr>
        <w:ind w:left="360"/>
        <w:rPr>
          <w:rFonts w:ascii="Times New Roman" w:hAnsi="Times New Roman" w:cs="Times New Roman"/>
          <w:sz w:val="24"/>
          <w:szCs w:val="24"/>
        </w:rPr>
      </w:pPr>
    </w:p>
    <w:p w:rsidR="008F2550" w:rsidRPr="00920576" w:rsidRDefault="008F2550" w:rsidP="008F2550">
      <w:pPr>
        <w:rPr>
          <w:rFonts w:ascii="Times New Roman" w:hAnsi="Times New Roman" w:cs="Times New Roman"/>
          <w:b/>
          <w:sz w:val="24"/>
          <w:szCs w:val="24"/>
          <w:u w:val="single"/>
        </w:rPr>
      </w:pPr>
      <w:r w:rsidRPr="00920576">
        <w:rPr>
          <w:rFonts w:ascii="Times New Roman" w:hAnsi="Times New Roman" w:cs="Times New Roman"/>
          <w:b/>
          <w:sz w:val="24"/>
          <w:szCs w:val="24"/>
          <w:u w:val="single"/>
        </w:rPr>
        <w:t>Attachment MM</w:t>
      </w:r>
    </w:p>
    <w:p w:rsidR="008F2550" w:rsidRPr="00920576" w:rsidRDefault="008F2550" w:rsidP="008F2550">
      <w:pPr>
        <w:pStyle w:val="ListParagraph"/>
        <w:numPr>
          <w:ilvl w:val="0"/>
          <w:numId w:val="6"/>
        </w:numPr>
        <w:rPr>
          <w:rFonts w:ascii="Times New Roman" w:hAnsi="Times New Roman"/>
          <w:sz w:val="24"/>
          <w:szCs w:val="24"/>
          <w:u w:val="single"/>
        </w:rPr>
      </w:pPr>
      <w:r w:rsidRPr="00920576">
        <w:rPr>
          <w:rFonts w:ascii="Times New Roman" w:hAnsi="Times New Roman"/>
          <w:sz w:val="24"/>
          <w:szCs w:val="24"/>
        </w:rPr>
        <w:t xml:space="preserve">P2248 – can you please provide a status update for this project? </w:t>
      </w:r>
    </w:p>
    <w:p w:rsidR="008F2550" w:rsidRPr="00920576" w:rsidRDefault="008F2550" w:rsidP="008F2550">
      <w:pPr>
        <w:ind w:left="360"/>
        <w:rPr>
          <w:rFonts w:ascii="Times New Roman" w:hAnsi="Times New Roman" w:cs="Times New Roman"/>
          <w:sz w:val="24"/>
          <w:szCs w:val="24"/>
        </w:rPr>
      </w:pPr>
      <w:r w:rsidRPr="00920576">
        <w:rPr>
          <w:rFonts w:ascii="Times New Roman" w:hAnsi="Times New Roman" w:cs="Times New Roman"/>
          <w:b/>
          <w:sz w:val="24"/>
          <w:szCs w:val="24"/>
        </w:rPr>
        <w:t xml:space="preserve">MidAmerican Response: </w:t>
      </w:r>
      <w:r w:rsidRPr="00920576">
        <w:rPr>
          <w:rFonts w:ascii="Times New Roman" w:hAnsi="Times New Roman" w:cs="Times New Roman"/>
          <w:sz w:val="24"/>
          <w:szCs w:val="24"/>
        </w:rPr>
        <w:t>MidAmerican is still a party to this project but does not expect to include any amounts in 2015 rates related to its facilities for this project.</w:t>
      </w:r>
    </w:p>
    <w:p w:rsidR="008F2550" w:rsidRPr="00920576" w:rsidRDefault="008F2550" w:rsidP="008F2550">
      <w:pPr>
        <w:rPr>
          <w:rFonts w:ascii="Times New Roman" w:hAnsi="Times New Roman" w:cs="Times New Roman"/>
          <w:b/>
          <w:sz w:val="24"/>
          <w:szCs w:val="24"/>
          <w:u w:val="single"/>
        </w:rPr>
      </w:pPr>
    </w:p>
    <w:p w:rsidR="008F2550" w:rsidRPr="00920576" w:rsidRDefault="008F2550" w:rsidP="008F2550">
      <w:pPr>
        <w:rPr>
          <w:rFonts w:ascii="Times New Roman" w:hAnsi="Times New Roman" w:cs="Times New Roman"/>
          <w:b/>
          <w:sz w:val="24"/>
          <w:szCs w:val="24"/>
          <w:u w:val="single"/>
        </w:rPr>
      </w:pPr>
      <w:r w:rsidRPr="00920576">
        <w:rPr>
          <w:rFonts w:ascii="Times New Roman" w:hAnsi="Times New Roman" w:cs="Times New Roman"/>
          <w:b/>
          <w:sz w:val="24"/>
          <w:szCs w:val="24"/>
          <w:u w:val="single"/>
        </w:rPr>
        <w:t>Attachment MM Reporting Form</w:t>
      </w:r>
    </w:p>
    <w:p w:rsidR="008F2550" w:rsidRPr="00920576" w:rsidRDefault="008F2550" w:rsidP="008F2550">
      <w:pPr>
        <w:ind w:left="360"/>
        <w:rPr>
          <w:rFonts w:ascii="Times New Roman" w:hAnsi="Times New Roman" w:cs="Times New Roman"/>
          <w:sz w:val="24"/>
          <w:szCs w:val="24"/>
          <w:u w:val="single"/>
        </w:rPr>
      </w:pPr>
      <w:r w:rsidRPr="00920576">
        <w:rPr>
          <w:rFonts w:ascii="Times New Roman" w:hAnsi="Times New Roman" w:cs="Times New Roman"/>
          <w:sz w:val="24"/>
          <w:szCs w:val="24"/>
        </w:rPr>
        <w:t xml:space="preserve">Ben </w:t>
      </w:r>
      <w:proofErr w:type="spellStart"/>
      <w:r w:rsidRPr="00920576">
        <w:rPr>
          <w:rFonts w:ascii="Times New Roman" w:hAnsi="Times New Roman" w:cs="Times New Roman"/>
          <w:sz w:val="24"/>
          <w:szCs w:val="24"/>
        </w:rPr>
        <w:t>Stearney</w:t>
      </w:r>
      <w:proofErr w:type="spellEnd"/>
      <w:r w:rsidRPr="00920576">
        <w:rPr>
          <w:rFonts w:ascii="Times New Roman" w:hAnsi="Times New Roman" w:cs="Times New Roman"/>
          <w:sz w:val="24"/>
          <w:szCs w:val="24"/>
        </w:rPr>
        <w:t xml:space="preserve"> from TAM has completed his review of the submitted reporting form and identified a few potential issues – please refer to the attached reporting form and related comments for items below</w:t>
      </w:r>
    </w:p>
    <w:p w:rsidR="008F2550" w:rsidRPr="00920576" w:rsidRDefault="008F2550" w:rsidP="008F2550">
      <w:pPr>
        <w:pStyle w:val="ListParagraph"/>
        <w:numPr>
          <w:ilvl w:val="0"/>
          <w:numId w:val="6"/>
        </w:numPr>
        <w:rPr>
          <w:rFonts w:ascii="Times New Roman" w:hAnsi="Times New Roman"/>
          <w:sz w:val="24"/>
          <w:szCs w:val="24"/>
          <w:u w:val="single"/>
        </w:rPr>
      </w:pPr>
      <w:r w:rsidRPr="00920576">
        <w:rPr>
          <w:rFonts w:ascii="Times New Roman" w:hAnsi="Times New Roman"/>
          <w:sz w:val="24"/>
          <w:szCs w:val="24"/>
        </w:rPr>
        <w:t>Related to TAMs review of the reporting form, please confirm no costs are being projected/included for facility ID’s #6587 (withdrawn), #6427, #6556 (withdrawn), #6586 (withdrawn)</w:t>
      </w:r>
    </w:p>
    <w:p w:rsidR="008F2550" w:rsidRPr="00920576" w:rsidRDefault="008F2550" w:rsidP="008F2550">
      <w:pPr>
        <w:ind w:left="360"/>
        <w:rPr>
          <w:rFonts w:ascii="Times New Roman" w:hAnsi="Times New Roman" w:cs="Times New Roman"/>
          <w:sz w:val="24"/>
          <w:szCs w:val="24"/>
        </w:rPr>
      </w:pPr>
      <w:r w:rsidRPr="00920576">
        <w:rPr>
          <w:rFonts w:ascii="Times New Roman" w:hAnsi="Times New Roman" w:cs="Times New Roman"/>
          <w:b/>
          <w:sz w:val="24"/>
          <w:szCs w:val="24"/>
        </w:rPr>
        <w:t>MidAmerican Response:</w:t>
      </w:r>
      <w:r w:rsidRPr="00920576">
        <w:rPr>
          <w:rFonts w:ascii="Times New Roman" w:hAnsi="Times New Roman" w:cs="Times New Roman"/>
          <w:sz w:val="24"/>
          <w:szCs w:val="24"/>
        </w:rPr>
        <w:t xml:space="preserve"> MidAmerican confirms that it is not projecting any costs in 2015 rates for the above listed Project IDs.</w:t>
      </w:r>
    </w:p>
    <w:p w:rsidR="008F2550" w:rsidRPr="00920576" w:rsidRDefault="008F2550" w:rsidP="008F2550">
      <w:pPr>
        <w:ind w:left="360"/>
        <w:rPr>
          <w:rFonts w:ascii="Times New Roman" w:hAnsi="Times New Roman" w:cs="Times New Roman"/>
          <w:color w:val="0070C0"/>
          <w:sz w:val="24"/>
          <w:szCs w:val="24"/>
        </w:rPr>
      </w:pPr>
    </w:p>
    <w:p w:rsidR="008F2550" w:rsidRPr="00920576" w:rsidRDefault="008F2550" w:rsidP="008F2550">
      <w:pPr>
        <w:pStyle w:val="ListParagraph"/>
        <w:numPr>
          <w:ilvl w:val="0"/>
          <w:numId w:val="6"/>
        </w:numPr>
        <w:rPr>
          <w:rFonts w:ascii="Times New Roman" w:hAnsi="Times New Roman"/>
          <w:sz w:val="24"/>
          <w:szCs w:val="24"/>
          <w:u w:val="single"/>
        </w:rPr>
      </w:pPr>
      <w:r w:rsidRPr="00920576">
        <w:rPr>
          <w:rFonts w:ascii="Times New Roman" w:hAnsi="Times New Roman"/>
          <w:sz w:val="24"/>
          <w:szCs w:val="24"/>
        </w:rPr>
        <w:lastRenderedPageBreak/>
        <w:t>See comments in orange on attached MM Reporting Form – facility IDs #5990 &amp; #5951 appear to have discrepancies in the facility descriptions.  Please make any necessary revisions to either the database or the reporting form to resolve these discrepancies.</w:t>
      </w:r>
    </w:p>
    <w:p w:rsidR="008F2550" w:rsidRPr="00920576" w:rsidRDefault="008F2550" w:rsidP="008F2550">
      <w:pPr>
        <w:ind w:left="360"/>
        <w:rPr>
          <w:rFonts w:ascii="Times New Roman" w:hAnsi="Times New Roman" w:cs="Times New Roman"/>
          <w:sz w:val="24"/>
          <w:szCs w:val="24"/>
        </w:rPr>
      </w:pPr>
      <w:r w:rsidRPr="00920576">
        <w:rPr>
          <w:rFonts w:ascii="Times New Roman" w:hAnsi="Times New Roman" w:cs="Times New Roman"/>
          <w:b/>
          <w:sz w:val="24"/>
          <w:szCs w:val="24"/>
        </w:rPr>
        <w:t>MidAmerican Response:</w:t>
      </w:r>
      <w:r w:rsidRPr="00920576">
        <w:rPr>
          <w:rFonts w:ascii="Times New Roman" w:hAnsi="Times New Roman" w:cs="Times New Roman"/>
          <w:sz w:val="24"/>
          <w:szCs w:val="24"/>
        </w:rPr>
        <w:t xml:space="preserve"> MidAmerican has made the necessary revisions in the attached reporting form.</w:t>
      </w:r>
    </w:p>
    <w:p w:rsidR="008F2550" w:rsidRPr="00E039E1" w:rsidRDefault="008F2550" w:rsidP="0089233C">
      <w:pPr>
        <w:tabs>
          <w:tab w:val="left" w:pos="1170"/>
        </w:tabs>
        <w:spacing w:line="240" w:lineRule="auto"/>
        <w:ind w:left="1170" w:hanging="1170"/>
        <w:contextualSpacing/>
        <w:rPr>
          <w:rFonts w:ascii="Times New Roman" w:hAnsi="Times New Roman" w:cs="Times New Roman"/>
          <w:sz w:val="24"/>
          <w:szCs w:val="24"/>
        </w:rPr>
      </w:pPr>
    </w:p>
    <w:p w:rsidR="004D40A2" w:rsidRDefault="004D40A2" w:rsidP="00B73BFE">
      <w:pPr>
        <w:spacing w:line="240" w:lineRule="auto"/>
        <w:contextualSpacing/>
        <w:rPr>
          <w:rFonts w:ascii="Times New Roman" w:hAnsi="Times New Roman" w:cs="Times New Roman"/>
          <w:sz w:val="24"/>
          <w:szCs w:val="24"/>
        </w:rPr>
      </w:pPr>
    </w:p>
    <w:sectPr w:rsidR="004D40A2" w:rsidSect="00F678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88" w:rsidRDefault="00EF7D88" w:rsidP="00B236A6">
      <w:pPr>
        <w:spacing w:after="0" w:line="240" w:lineRule="auto"/>
      </w:pPr>
      <w:r>
        <w:separator/>
      </w:r>
    </w:p>
  </w:endnote>
  <w:endnote w:type="continuationSeparator" w:id="0">
    <w:p w:rsidR="00EF7D88" w:rsidRDefault="00EF7D88" w:rsidP="00B2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56355"/>
      <w:docPartObj>
        <w:docPartGallery w:val="Page Numbers (Bottom of Page)"/>
        <w:docPartUnique/>
      </w:docPartObj>
    </w:sdtPr>
    <w:sdtEndPr/>
    <w:sdtContent>
      <w:sdt>
        <w:sdtPr>
          <w:id w:val="-1669238322"/>
          <w:docPartObj>
            <w:docPartGallery w:val="Page Numbers (Top of Page)"/>
            <w:docPartUnique/>
          </w:docPartObj>
        </w:sdtPr>
        <w:sdtEndPr/>
        <w:sdtContent>
          <w:p w:rsidR="00BE00EB" w:rsidRPr="00B236A6" w:rsidRDefault="00BE00EB">
            <w:pPr>
              <w:pStyle w:val="Footer"/>
              <w:jc w:val="center"/>
            </w:pPr>
            <w:r w:rsidRPr="00B236A6">
              <w:t xml:space="preserve">Page </w:t>
            </w:r>
            <w:r w:rsidR="00F67828" w:rsidRPr="00B236A6">
              <w:rPr>
                <w:bCs/>
                <w:sz w:val="24"/>
                <w:szCs w:val="24"/>
              </w:rPr>
              <w:fldChar w:fldCharType="begin"/>
            </w:r>
            <w:r w:rsidRPr="00B236A6">
              <w:rPr>
                <w:bCs/>
              </w:rPr>
              <w:instrText xml:space="preserve"> PAGE </w:instrText>
            </w:r>
            <w:r w:rsidR="00F67828" w:rsidRPr="00B236A6">
              <w:rPr>
                <w:bCs/>
                <w:sz w:val="24"/>
                <w:szCs w:val="24"/>
              </w:rPr>
              <w:fldChar w:fldCharType="separate"/>
            </w:r>
            <w:r w:rsidR="00920576">
              <w:rPr>
                <w:bCs/>
                <w:noProof/>
              </w:rPr>
              <w:t>1</w:t>
            </w:r>
            <w:r w:rsidR="00F67828" w:rsidRPr="00B236A6">
              <w:rPr>
                <w:bCs/>
                <w:sz w:val="24"/>
                <w:szCs w:val="24"/>
              </w:rPr>
              <w:fldChar w:fldCharType="end"/>
            </w:r>
            <w:r w:rsidRPr="00B236A6">
              <w:t xml:space="preserve"> of </w:t>
            </w:r>
            <w:r w:rsidR="00F67828" w:rsidRPr="00B236A6">
              <w:rPr>
                <w:bCs/>
                <w:sz w:val="24"/>
                <w:szCs w:val="24"/>
              </w:rPr>
              <w:fldChar w:fldCharType="begin"/>
            </w:r>
            <w:r w:rsidRPr="00B236A6">
              <w:rPr>
                <w:bCs/>
              </w:rPr>
              <w:instrText xml:space="preserve"> NUMPAGES  </w:instrText>
            </w:r>
            <w:r w:rsidR="00F67828" w:rsidRPr="00B236A6">
              <w:rPr>
                <w:bCs/>
                <w:sz w:val="24"/>
                <w:szCs w:val="24"/>
              </w:rPr>
              <w:fldChar w:fldCharType="separate"/>
            </w:r>
            <w:r w:rsidR="00920576">
              <w:rPr>
                <w:bCs/>
                <w:noProof/>
              </w:rPr>
              <w:t>4</w:t>
            </w:r>
            <w:r w:rsidR="00F67828" w:rsidRPr="00B236A6">
              <w:rPr>
                <w:bCs/>
                <w:sz w:val="24"/>
                <w:szCs w:val="24"/>
              </w:rPr>
              <w:fldChar w:fldCharType="end"/>
            </w:r>
          </w:p>
        </w:sdtContent>
      </w:sdt>
    </w:sdtContent>
  </w:sdt>
  <w:p w:rsidR="00BE00EB" w:rsidRPr="00B236A6" w:rsidRDefault="00BE0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88" w:rsidRDefault="00EF7D88" w:rsidP="00B236A6">
      <w:pPr>
        <w:spacing w:after="0" w:line="240" w:lineRule="auto"/>
      </w:pPr>
      <w:r>
        <w:separator/>
      </w:r>
    </w:p>
  </w:footnote>
  <w:footnote w:type="continuationSeparator" w:id="0">
    <w:p w:rsidR="00EF7D88" w:rsidRDefault="00EF7D88" w:rsidP="00B23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62A0"/>
    <w:multiLevelType w:val="hybridMultilevel"/>
    <w:tmpl w:val="B7D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70D08"/>
    <w:multiLevelType w:val="hybridMultilevel"/>
    <w:tmpl w:val="AE9646DA"/>
    <w:lvl w:ilvl="0" w:tplc="42F8BA82">
      <w:start w:val="2012"/>
      <w:numFmt w:val="decimal"/>
      <w:lvlText w:val="%1"/>
      <w:lvlJc w:val="left"/>
      <w:pPr>
        <w:ind w:left="600" w:hanging="6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7B5687"/>
    <w:multiLevelType w:val="hybridMultilevel"/>
    <w:tmpl w:val="DF4AC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37776"/>
    <w:multiLevelType w:val="hybridMultilevel"/>
    <w:tmpl w:val="83A8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86E3A"/>
    <w:multiLevelType w:val="multilevel"/>
    <w:tmpl w:val="255C92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6033D31"/>
    <w:multiLevelType w:val="hybridMultilevel"/>
    <w:tmpl w:val="92A64D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FE"/>
    <w:rsid w:val="000773DF"/>
    <w:rsid w:val="0029072B"/>
    <w:rsid w:val="003C4223"/>
    <w:rsid w:val="004226A1"/>
    <w:rsid w:val="004A63DA"/>
    <w:rsid w:val="004D40A2"/>
    <w:rsid w:val="004D58F6"/>
    <w:rsid w:val="00632536"/>
    <w:rsid w:val="00690AC6"/>
    <w:rsid w:val="00747DDD"/>
    <w:rsid w:val="0085510B"/>
    <w:rsid w:val="0089233C"/>
    <w:rsid w:val="008B4485"/>
    <w:rsid w:val="008F2550"/>
    <w:rsid w:val="009164E9"/>
    <w:rsid w:val="00920576"/>
    <w:rsid w:val="00A11239"/>
    <w:rsid w:val="00A21B1A"/>
    <w:rsid w:val="00A54209"/>
    <w:rsid w:val="00A75AD2"/>
    <w:rsid w:val="00AA64B9"/>
    <w:rsid w:val="00B236A6"/>
    <w:rsid w:val="00B42EBC"/>
    <w:rsid w:val="00B73BFE"/>
    <w:rsid w:val="00BD2B34"/>
    <w:rsid w:val="00BE00EB"/>
    <w:rsid w:val="00BF14BB"/>
    <w:rsid w:val="00C23405"/>
    <w:rsid w:val="00C62973"/>
    <w:rsid w:val="00CE3BE3"/>
    <w:rsid w:val="00D53819"/>
    <w:rsid w:val="00E039E1"/>
    <w:rsid w:val="00E1457B"/>
    <w:rsid w:val="00EC6802"/>
    <w:rsid w:val="00EF7D88"/>
    <w:rsid w:val="00F67828"/>
    <w:rsid w:val="00F769D1"/>
    <w:rsid w:val="00F9565D"/>
    <w:rsid w:val="00FB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536"/>
    <w:rPr>
      <w:color w:val="0000FF" w:themeColor="hyperlink"/>
      <w:u w:val="single"/>
    </w:rPr>
  </w:style>
  <w:style w:type="paragraph" w:styleId="BalloonText">
    <w:name w:val="Balloon Text"/>
    <w:basedOn w:val="Normal"/>
    <w:link w:val="BalloonTextChar"/>
    <w:uiPriority w:val="99"/>
    <w:semiHidden/>
    <w:unhideWhenUsed/>
    <w:rsid w:val="00B2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A6"/>
    <w:rPr>
      <w:rFonts w:ascii="Tahoma" w:hAnsi="Tahoma" w:cs="Tahoma"/>
      <w:sz w:val="16"/>
      <w:szCs w:val="16"/>
    </w:rPr>
  </w:style>
  <w:style w:type="paragraph" w:styleId="Header">
    <w:name w:val="header"/>
    <w:basedOn w:val="Normal"/>
    <w:link w:val="HeaderChar"/>
    <w:uiPriority w:val="99"/>
    <w:unhideWhenUsed/>
    <w:rsid w:val="00B23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6A6"/>
  </w:style>
  <w:style w:type="paragraph" w:styleId="Footer">
    <w:name w:val="footer"/>
    <w:basedOn w:val="Normal"/>
    <w:link w:val="FooterChar"/>
    <w:uiPriority w:val="99"/>
    <w:unhideWhenUsed/>
    <w:rsid w:val="00B23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6A6"/>
  </w:style>
  <w:style w:type="character" w:styleId="FollowedHyperlink">
    <w:name w:val="FollowedHyperlink"/>
    <w:basedOn w:val="DefaultParagraphFont"/>
    <w:uiPriority w:val="99"/>
    <w:semiHidden/>
    <w:unhideWhenUsed/>
    <w:rsid w:val="0085510B"/>
    <w:rPr>
      <w:color w:val="800080" w:themeColor="followedHyperlink"/>
      <w:u w:val="single"/>
    </w:rPr>
  </w:style>
  <w:style w:type="paragraph" w:styleId="ListParagraph">
    <w:name w:val="List Paragraph"/>
    <w:basedOn w:val="Normal"/>
    <w:uiPriority w:val="34"/>
    <w:qFormat/>
    <w:rsid w:val="004D40A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536"/>
    <w:rPr>
      <w:color w:val="0000FF" w:themeColor="hyperlink"/>
      <w:u w:val="single"/>
    </w:rPr>
  </w:style>
  <w:style w:type="paragraph" w:styleId="BalloonText">
    <w:name w:val="Balloon Text"/>
    <w:basedOn w:val="Normal"/>
    <w:link w:val="BalloonTextChar"/>
    <w:uiPriority w:val="99"/>
    <w:semiHidden/>
    <w:unhideWhenUsed/>
    <w:rsid w:val="00B2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A6"/>
    <w:rPr>
      <w:rFonts w:ascii="Tahoma" w:hAnsi="Tahoma" w:cs="Tahoma"/>
      <w:sz w:val="16"/>
      <w:szCs w:val="16"/>
    </w:rPr>
  </w:style>
  <w:style w:type="paragraph" w:styleId="Header">
    <w:name w:val="header"/>
    <w:basedOn w:val="Normal"/>
    <w:link w:val="HeaderChar"/>
    <w:uiPriority w:val="99"/>
    <w:unhideWhenUsed/>
    <w:rsid w:val="00B23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6A6"/>
  </w:style>
  <w:style w:type="paragraph" w:styleId="Footer">
    <w:name w:val="footer"/>
    <w:basedOn w:val="Normal"/>
    <w:link w:val="FooterChar"/>
    <w:uiPriority w:val="99"/>
    <w:unhideWhenUsed/>
    <w:rsid w:val="00B23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6A6"/>
  </w:style>
  <w:style w:type="character" w:styleId="FollowedHyperlink">
    <w:name w:val="FollowedHyperlink"/>
    <w:basedOn w:val="DefaultParagraphFont"/>
    <w:uiPriority w:val="99"/>
    <w:semiHidden/>
    <w:unhideWhenUsed/>
    <w:rsid w:val="0085510B"/>
    <w:rPr>
      <w:color w:val="800080" w:themeColor="followedHyperlink"/>
      <w:u w:val="single"/>
    </w:rPr>
  </w:style>
  <w:style w:type="paragraph" w:styleId="ListParagraph">
    <w:name w:val="List Paragraph"/>
    <w:basedOn w:val="Normal"/>
    <w:uiPriority w:val="34"/>
    <w:qFormat/>
    <w:rsid w:val="004D40A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oenergy.org/_layouts/MISO/ECM/Redirect.aspx?ID=1777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MidAmerican Energy Holdings Company</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Dehn A</dc:creator>
  <cp:lastModifiedBy>t52348</cp:lastModifiedBy>
  <cp:revision>2</cp:revision>
  <cp:lastPrinted>2014-11-25T13:51:00Z</cp:lastPrinted>
  <dcterms:created xsi:type="dcterms:W3CDTF">2015-01-12T14:08:00Z</dcterms:created>
  <dcterms:modified xsi:type="dcterms:W3CDTF">2015-01-12T14:08:00Z</dcterms:modified>
</cp:coreProperties>
</file>