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A" w:rsidRDefault="00B0729A">
      <w:r>
        <w:t>Great River Energy</w:t>
      </w:r>
    </w:p>
    <w:p w:rsidR="00B0729A" w:rsidRDefault="00DF083F">
      <w:r>
        <w:t xml:space="preserve">10/21/2009 </w:t>
      </w:r>
      <w:r w:rsidR="00DB0226">
        <w:t xml:space="preserve">Attachment O </w:t>
      </w:r>
      <w:r w:rsidR="00B0729A">
        <w:t>Customer Meeting</w:t>
      </w:r>
    </w:p>
    <w:p w:rsidR="00B0729A" w:rsidRDefault="00B0729A">
      <w:r>
        <w:t>Question and Answer</w:t>
      </w:r>
    </w:p>
    <w:p w:rsidR="00B0729A" w:rsidRDefault="00B0729A"/>
    <w:p w:rsidR="00B0729A" w:rsidRDefault="00B0729A" w:rsidP="00B0729A">
      <w:pPr>
        <w:pStyle w:val="ListParagraph"/>
        <w:numPr>
          <w:ilvl w:val="0"/>
          <w:numId w:val="1"/>
        </w:numPr>
      </w:pPr>
      <w:r>
        <w:t xml:space="preserve"> When is Attachment GG Trued-up?</w:t>
      </w:r>
    </w:p>
    <w:p w:rsidR="00DB0226" w:rsidRDefault="00DB0226" w:rsidP="00ED4F5E">
      <w:pPr>
        <w:pStyle w:val="ListParagraph"/>
        <w:rPr>
          <w:rFonts w:ascii="Calibri" w:hAnsi="Calibri"/>
          <w:color w:val="1F497D"/>
        </w:rPr>
      </w:pPr>
    </w:p>
    <w:p w:rsidR="00D36624" w:rsidRPr="004013E0" w:rsidRDefault="00DB0226" w:rsidP="00DB0226">
      <w:pPr>
        <w:pStyle w:val="ListParagraph"/>
        <w:rPr>
          <w:rFonts w:ascii="Calibri" w:hAnsi="Calibri"/>
          <w:color w:val="1F497D" w:themeColor="text2"/>
        </w:rPr>
      </w:pPr>
      <w:r w:rsidRPr="004013E0">
        <w:rPr>
          <w:rFonts w:ascii="Calibri" w:hAnsi="Calibri"/>
          <w:color w:val="1F497D" w:themeColor="text2"/>
        </w:rPr>
        <w:t>The true-up for Attachment GG is</w:t>
      </w:r>
      <w:r w:rsidR="00DF083F" w:rsidRPr="004013E0">
        <w:rPr>
          <w:rFonts w:ascii="Calibri" w:hAnsi="Calibri"/>
          <w:color w:val="1F497D" w:themeColor="text2"/>
        </w:rPr>
        <w:t xml:space="preserve"> applied in rates starting two years from the beginning date of the </w:t>
      </w:r>
      <w:r w:rsidRPr="004013E0">
        <w:rPr>
          <w:rFonts w:ascii="Calibri" w:hAnsi="Calibri"/>
          <w:color w:val="1F497D" w:themeColor="text2"/>
        </w:rPr>
        <w:t xml:space="preserve">True-Up Year.  </w:t>
      </w:r>
      <w:r w:rsidR="00504ED0" w:rsidRPr="004013E0">
        <w:rPr>
          <w:rFonts w:ascii="Calibri" w:hAnsi="Calibri"/>
          <w:color w:val="1F497D" w:themeColor="text2"/>
        </w:rPr>
        <w:t>The true-up for each project and related calculations shall be posted to the GRE page of the Transmission Provider’s OASIS no later than August 1 of the calendar year following the True-Up Year.</w:t>
      </w:r>
    </w:p>
    <w:p w:rsidR="00ED4F5E" w:rsidRPr="004013E0" w:rsidRDefault="00ED4F5E" w:rsidP="00ED4F5E">
      <w:pPr>
        <w:pStyle w:val="ListParagraph"/>
        <w:rPr>
          <w:rFonts w:ascii="Calibri" w:hAnsi="Calibri"/>
          <w:color w:val="1F497D" w:themeColor="text2"/>
        </w:rPr>
      </w:pPr>
    </w:p>
    <w:p w:rsidR="00D36624" w:rsidRPr="004013E0" w:rsidRDefault="00D36624" w:rsidP="00D36624">
      <w:pPr>
        <w:pStyle w:val="ListParagraph"/>
        <w:rPr>
          <w:rFonts w:ascii="Calibri" w:hAnsi="Calibri"/>
          <w:color w:val="1F497D" w:themeColor="text2"/>
        </w:rPr>
      </w:pPr>
      <w:r w:rsidRPr="004013E0">
        <w:rPr>
          <w:rFonts w:ascii="Calibri" w:hAnsi="Calibri"/>
          <w:color w:val="1F497D" w:themeColor="text2"/>
        </w:rPr>
        <w:t xml:space="preserve">Information Source:  </w:t>
      </w:r>
    </w:p>
    <w:p w:rsidR="00F3635A" w:rsidRPr="004013E0" w:rsidRDefault="00F3635A" w:rsidP="00D36624">
      <w:pPr>
        <w:pStyle w:val="ListParagraph"/>
        <w:rPr>
          <w:color w:val="1F497D" w:themeColor="text2"/>
        </w:rPr>
      </w:pPr>
      <w:r w:rsidRPr="004013E0">
        <w:rPr>
          <w:color w:val="1F497D" w:themeColor="text2"/>
        </w:rPr>
        <w:t xml:space="preserve">Original Sheet 3633J of the </w:t>
      </w:r>
      <w:r w:rsidR="004013E0">
        <w:rPr>
          <w:color w:val="1F497D" w:themeColor="text2"/>
        </w:rPr>
        <w:t xml:space="preserve">MISO </w:t>
      </w:r>
      <w:r w:rsidRPr="004013E0">
        <w:rPr>
          <w:color w:val="1F497D" w:themeColor="text2"/>
        </w:rPr>
        <w:t>ASM Tariff</w:t>
      </w:r>
    </w:p>
    <w:p w:rsidR="00D36624" w:rsidRPr="004013E0" w:rsidRDefault="00ED5001" w:rsidP="00D36624">
      <w:pPr>
        <w:pStyle w:val="ListParagraph"/>
        <w:rPr>
          <w:color w:val="1F497D" w:themeColor="text2"/>
        </w:rPr>
      </w:pPr>
      <w:r w:rsidRPr="004013E0">
        <w:rPr>
          <w:color w:val="1F497D" w:themeColor="text2"/>
        </w:rPr>
        <w:fldChar w:fldCharType="begin"/>
      </w:r>
      <w:r w:rsidRPr="004013E0">
        <w:rPr>
          <w:color w:val="1F497D" w:themeColor="text2"/>
        </w:rPr>
        <w:instrText>www.midwestiso.org/publish/Document/1d44c3_11e1d03fcc5_-7cf50a48324a?rev=7"</w:instrText>
      </w:r>
      <w:r w:rsidRPr="004013E0">
        <w:rPr>
          <w:color w:val="1F497D" w:themeColor="text2"/>
        </w:rPr>
        <w:fldChar w:fldCharType="separate"/>
      </w:r>
      <w:r w:rsidR="00D36624" w:rsidRPr="004013E0">
        <w:rPr>
          <w:rStyle w:val="Hyperlink"/>
          <w:rFonts w:ascii="Calibri" w:hAnsi="Calibri"/>
          <w:color w:val="1F497D" w:themeColor="text2"/>
        </w:rPr>
        <w:t>http://www.midwestiso.org/publish/Document/1d44c3_11e1d03fcc5_-7cf50a48324a?rev=7</w:t>
      </w:r>
      <w:r w:rsidRPr="004013E0">
        <w:rPr>
          <w:color w:val="1F497D" w:themeColor="text2"/>
        </w:rPr>
        <w:fldChar w:fldCharType="end"/>
      </w:r>
    </w:p>
    <w:p w:rsidR="00F0198F" w:rsidRDefault="00F0198F" w:rsidP="00D36624">
      <w:pPr>
        <w:pStyle w:val="ListParagraph"/>
      </w:pPr>
    </w:p>
    <w:p w:rsidR="00F0198F" w:rsidRDefault="00F0198F" w:rsidP="00D36624">
      <w:pPr>
        <w:pStyle w:val="ListParagraph"/>
        <w:rPr>
          <w:rFonts w:ascii="Calibri" w:hAnsi="Calibri"/>
          <w:color w:val="1F497D"/>
        </w:rPr>
      </w:pPr>
    </w:p>
    <w:p w:rsidR="00F0198F" w:rsidRDefault="00F0198F" w:rsidP="00DB0226">
      <w:pPr>
        <w:pStyle w:val="ListParagraph"/>
        <w:numPr>
          <w:ilvl w:val="0"/>
          <w:numId w:val="1"/>
        </w:numPr>
      </w:pPr>
      <w:r>
        <w:t xml:space="preserve">What would </w:t>
      </w:r>
      <w:r w:rsidR="00B54B25">
        <w:t xml:space="preserve">the </w:t>
      </w:r>
      <w:r>
        <w:t>2010 ATR</w:t>
      </w:r>
      <w:r w:rsidR="00B54B25">
        <w:t xml:space="preserve">R </w:t>
      </w:r>
      <w:r w:rsidR="0005471D">
        <w:t xml:space="preserve">Zonal </w:t>
      </w:r>
      <w:r w:rsidR="00B54B25">
        <w:t>A</w:t>
      </w:r>
      <w:r w:rsidR="00655B36">
        <w:t>llocations look like if the recent filing by the MISO Transmission Owners on October 30</w:t>
      </w:r>
      <w:r w:rsidR="00655B36" w:rsidRPr="00655B36">
        <w:rPr>
          <w:vertAlign w:val="superscript"/>
        </w:rPr>
        <w:t>th</w:t>
      </w:r>
      <w:r w:rsidR="00655B36">
        <w:t xml:space="preserve"> for revisions to the language in </w:t>
      </w:r>
      <w:r w:rsidR="00B54B25">
        <w:t>Schedule 7, 8, &amp; 9</w:t>
      </w:r>
      <w:r w:rsidR="00357263">
        <w:t xml:space="preserve"> is accepted by FERC?  The proposed </w:t>
      </w:r>
      <w:r w:rsidR="00DB0226">
        <w:t xml:space="preserve">tariff </w:t>
      </w:r>
      <w:r w:rsidR="00357263">
        <w:t xml:space="preserve">changes in the filing removes </w:t>
      </w:r>
      <w:r w:rsidR="00DB0226">
        <w:t xml:space="preserve">the </w:t>
      </w:r>
      <w:r w:rsidR="00357263">
        <w:t xml:space="preserve">Attachment GG </w:t>
      </w:r>
      <w:r w:rsidR="00DB0226">
        <w:t xml:space="preserve">gross transmission plant value </w:t>
      </w:r>
      <w:r w:rsidR="00357263">
        <w:t xml:space="preserve">before dividing up the area transmission ATRR by </w:t>
      </w:r>
      <w:r w:rsidR="00DB0226">
        <w:t xml:space="preserve">the </w:t>
      </w:r>
      <w:r w:rsidR="00357263">
        <w:t>gross</w:t>
      </w:r>
      <w:r w:rsidR="00DB0226">
        <w:t xml:space="preserve"> transmission plant value in each pricing zone relative to the gross transmission plant value in all pricing zones as reflected in Attachment O.</w:t>
      </w:r>
    </w:p>
    <w:p w:rsidR="00DB0226" w:rsidRPr="004013E0" w:rsidRDefault="00DB0226" w:rsidP="00DB0226">
      <w:pPr>
        <w:pStyle w:val="ListParagraph"/>
        <w:rPr>
          <w:color w:val="4F81BD" w:themeColor="accent1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1594"/>
        <w:gridCol w:w="1736"/>
        <w:gridCol w:w="1980"/>
      </w:tblGrid>
      <w:tr w:rsidR="00F0198F" w:rsidRPr="004013E0" w:rsidTr="00357263">
        <w:trPr>
          <w:trHeight w:val="532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Control Area</w:t>
            </w:r>
          </w:p>
        </w:tc>
        <w:tc>
          <w:tcPr>
            <w:tcW w:w="1736" w:type="dxa"/>
          </w:tcPr>
          <w:p w:rsidR="00357263" w:rsidRPr="004013E0" w:rsidRDefault="00357263" w:rsidP="00F0198F">
            <w:pPr>
              <w:rPr>
                <w:b/>
                <w:color w:val="1F497D" w:themeColor="text2"/>
              </w:rPr>
            </w:pPr>
            <w:r w:rsidRPr="004013E0">
              <w:rPr>
                <w:b/>
                <w:color w:val="1F497D" w:themeColor="text2"/>
              </w:rPr>
              <w:t>Current Method</w:t>
            </w:r>
          </w:p>
          <w:p w:rsidR="00182E96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ATRR</w:t>
            </w:r>
            <w:r w:rsidRPr="004013E0">
              <w:rPr>
                <w:i/>
                <w:color w:val="1F497D" w:themeColor="text2"/>
              </w:rPr>
              <w:t xml:space="preserve"> with</w:t>
            </w:r>
            <w:r w:rsidRPr="004013E0">
              <w:rPr>
                <w:color w:val="1F497D" w:themeColor="text2"/>
              </w:rPr>
              <w:t xml:space="preserve"> </w:t>
            </w:r>
          </w:p>
          <w:p w:rsidR="00F0198F" w:rsidRPr="004013E0" w:rsidRDefault="00357263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 xml:space="preserve">Attachment GG </w:t>
            </w:r>
            <w:r w:rsidR="00DB0226" w:rsidRPr="004013E0">
              <w:rPr>
                <w:color w:val="1F497D" w:themeColor="text2"/>
              </w:rPr>
              <w:t xml:space="preserve">GBV </w:t>
            </w:r>
            <w:r w:rsidRPr="004013E0">
              <w:rPr>
                <w:color w:val="1F497D" w:themeColor="text2"/>
              </w:rPr>
              <w:t>Assets Included</w:t>
            </w:r>
          </w:p>
        </w:tc>
        <w:tc>
          <w:tcPr>
            <w:tcW w:w="1980" w:type="dxa"/>
          </w:tcPr>
          <w:p w:rsidR="00357263" w:rsidRPr="004013E0" w:rsidRDefault="00357263" w:rsidP="00F0198F">
            <w:pPr>
              <w:rPr>
                <w:b/>
                <w:color w:val="1F497D" w:themeColor="text2"/>
              </w:rPr>
            </w:pPr>
            <w:r w:rsidRPr="004013E0">
              <w:rPr>
                <w:b/>
                <w:color w:val="1F497D" w:themeColor="text2"/>
              </w:rPr>
              <w:t>Proposed Method</w:t>
            </w:r>
          </w:p>
          <w:p w:rsidR="00182E96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 xml:space="preserve">ATRR </w:t>
            </w:r>
            <w:r w:rsidRPr="004013E0">
              <w:rPr>
                <w:i/>
                <w:color w:val="1F497D" w:themeColor="text2"/>
              </w:rPr>
              <w:t xml:space="preserve">without </w:t>
            </w:r>
          </w:p>
          <w:p w:rsidR="00F0198F" w:rsidRPr="004013E0" w:rsidRDefault="00357263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 xml:space="preserve">Attachment GG </w:t>
            </w:r>
            <w:r w:rsidR="00DB0226" w:rsidRPr="004013E0">
              <w:rPr>
                <w:color w:val="1F497D" w:themeColor="text2"/>
              </w:rPr>
              <w:t xml:space="preserve">GBV </w:t>
            </w:r>
            <w:r w:rsidRPr="004013E0">
              <w:rPr>
                <w:color w:val="1F497D" w:themeColor="text2"/>
              </w:rPr>
              <w:t>Assets Included</w:t>
            </w:r>
          </w:p>
        </w:tc>
      </w:tr>
      <w:tr w:rsidR="00F0198F" w:rsidRPr="004013E0" w:rsidTr="00357263">
        <w:trPr>
          <w:trHeight w:val="274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ITCM</w:t>
            </w:r>
          </w:p>
        </w:tc>
        <w:tc>
          <w:tcPr>
            <w:tcW w:w="1736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0198F" w:rsidRPr="004013E0">
              <w:rPr>
                <w:color w:val="1F497D" w:themeColor="text2"/>
              </w:rPr>
              <w:t>2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556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014</w:t>
            </w:r>
          </w:p>
        </w:tc>
        <w:tc>
          <w:tcPr>
            <w:tcW w:w="1980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$2,5</w:t>
            </w:r>
            <w:r w:rsidR="001268A7" w:rsidRPr="004013E0">
              <w:rPr>
                <w:color w:val="1F497D" w:themeColor="text2"/>
              </w:rPr>
              <w:t>90,661</w:t>
            </w:r>
          </w:p>
        </w:tc>
      </w:tr>
      <w:tr w:rsidR="00F0198F" w:rsidRPr="004013E0" w:rsidTr="00357263">
        <w:trPr>
          <w:trHeight w:val="258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GRE</w:t>
            </w:r>
          </w:p>
        </w:tc>
        <w:tc>
          <w:tcPr>
            <w:tcW w:w="1736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0198F" w:rsidRPr="004013E0">
              <w:rPr>
                <w:color w:val="1F497D" w:themeColor="text2"/>
              </w:rPr>
              <w:t>44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784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894</w:t>
            </w:r>
          </w:p>
        </w:tc>
        <w:tc>
          <w:tcPr>
            <w:tcW w:w="1980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$4</w:t>
            </w:r>
            <w:r w:rsidR="001268A7" w:rsidRPr="004013E0">
              <w:rPr>
                <w:color w:val="1F497D" w:themeColor="text2"/>
              </w:rPr>
              <w:t>5,297,202</w:t>
            </w:r>
          </w:p>
        </w:tc>
      </w:tr>
      <w:tr w:rsidR="00F0198F" w:rsidRPr="004013E0" w:rsidTr="00357263">
        <w:trPr>
          <w:trHeight w:val="274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MP</w:t>
            </w:r>
          </w:p>
        </w:tc>
        <w:tc>
          <w:tcPr>
            <w:tcW w:w="1736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0198F" w:rsidRPr="004013E0">
              <w:rPr>
                <w:color w:val="1F497D" w:themeColor="text2"/>
              </w:rPr>
              <w:t>11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084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150</w:t>
            </w:r>
          </w:p>
        </w:tc>
        <w:tc>
          <w:tcPr>
            <w:tcW w:w="1980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3635A" w:rsidRPr="004013E0">
              <w:rPr>
                <w:color w:val="1F497D" w:themeColor="text2"/>
              </w:rPr>
              <w:t>10,037,127</w:t>
            </w:r>
          </w:p>
        </w:tc>
      </w:tr>
      <w:tr w:rsidR="00F0198F" w:rsidRPr="004013E0" w:rsidTr="00357263">
        <w:trPr>
          <w:trHeight w:val="274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OTP</w:t>
            </w:r>
          </w:p>
        </w:tc>
        <w:tc>
          <w:tcPr>
            <w:tcW w:w="1736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0198F" w:rsidRPr="004013E0">
              <w:rPr>
                <w:color w:val="1F497D" w:themeColor="text2"/>
              </w:rPr>
              <w:t>5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689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454</w:t>
            </w:r>
          </w:p>
        </w:tc>
        <w:tc>
          <w:tcPr>
            <w:tcW w:w="1980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$5,7</w:t>
            </w:r>
            <w:r w:rsidR="00F3635A" w:rsidRPr="004013E0">
              <w:rPr>
                <w:color w:val="1F497D" w:themeColor="text2"/>
              </w:rPr>
              <w:t>91,923</w:t>
            </w:r>
          </w:p>
        </w:tc>
      </w:tr>
      <w:tr w:rsidR="00F0198F" w:rsidRPr="004013E0" w:rsidTr="00357263">
        <w:trPr>
          <w:trHeight w:val="274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Xcel</w:t>
            </w:r>
          </w:p>
        </w:tc>
        <w:tc>
          <w:tcPr>
            <w:tcW w:w="1736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0198F" w:rsidRPr="004013E0">
              <w:rPr>
                <w:color w:val="1F497D" w:themeColor="text2"/>
              </w:rPr>
              <w:t>26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894</w:t>
            </w:r>
            <w:r w:rsidRPr="004013E0">
              <w:rPr>
                <w:color w:val="1F497D" w:themeColor="text2"/>
              </w:rPr>
              <w:t>,</w:t>
            </w:r>
            <w:r w:rsidR="00F0198F" w:rsidRPr="004013E0">
              <w:rPr>
                <w:color w:val="1F497D" w:themeColor="text2"/>
              </w:rPr>
              <w:t>187</w:t>
            </w:r>
          </w:p>
        </w:tc>
        <w:tc>
          <w:tcPr>
            <w:tcW w:w="1980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$27,</w:t>
            </w:r>
            <w:r w:rsidR="00F3635A" w:rsidRPr="004013E0">
              <w:rPr>
                <w:color w:val="1F497D" w:themeColor="text2"/>
              </w:rPr>
              <w:t>291,787</w:t>
            </w:r>
          </w:p>
        </w:tc>
      </w:tr>
      <w:tr w:rsidR="00F0198F" w:rsidRPr="004013E0" w:rsidTr="00357263">
        <w:trPr>
          <w:trHeight w:val="289"/>
        </w:trPr>
        <w:tc>
          <w:tcPr>
            <w:tcW w:w="1594" w:type="dxa"/>
          </w:tcPr>
          <w:p w:rsidR="00F0198F" w:rsidRPr="004013E0" w:rsidRDefault="00F0198F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Total</w:t>
            </w:r>
          </w:p>
        </w:tc>
        <w:tc>
          <w:tcPr>
            <w:tcW w:w="1736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</w:t>
            </w:r>
            <w:r w:rsidR="00F0198F" w:rsidRPr="004013E0">
              <w:rPr>
                <w:color w:val="1F497D" w:themeColor="text2"/>
              </w:rPr>
              <w:t>91,008,700</w:t>
            </w:r>
          </w:p>
        </w:tc>
        <w:tc>
          <w:tcPr>
            <w:tcW w:w="1980" w:type="dxa"/>
          </w:tcPr>
          <w:p w:rsidR="00F0198F" w:rsidRPr="004013E0" w:rsidRDefault="00182E96" w:rsidP="00F0198F">
            <w:pPr>
              <w:rPr>
                <w:color w:val="1F497D" w:themeColor="text2"/>
              </w:rPr>
            </w:pPr>
            <w:r w:rsidRPr="004013E0">
              <w:rPr>
                <w:color w:val="1F497D" w:themeColor="text2"/>
              </w:rPr>
              <w:t>$91,008,700</w:t>
            </w:r>
          </w:p>
        </w:tc>
      </w:tr>
    </w:tbl>
    <w:p w:rsidR="00F0198F" w:rsidRPr="004013E0" w:rsidRDefault="00F0198F" w:rsidP="00F0198F">
      <w:pPr>
        <w:rPr>
          <w:color w:val="4F81BD" w:themeColor="accent1"/>
        </w:rPr>
      </w:pPr>
    </w:p>
    <w:p w:rsidR="00ED4F5E" w:rsidRDefault="00ED4F5E" w:rsidP="00D36624">
      <w:pPr>
        <w:pStyle w:val="ListParagraph"/>
        <w:rPr>
          <w:rFonts w:ascii="Calibri" w:hAnsi="Calibri"/>
          <w:color w:val="1F497D"/>
        </w:rPr>
      </w:pPr>
    </w:p>
    <w:p w:rsidR="00ED4F5E" w:rsidRPr="00ED4F5E" w:rsidRDefault="00ED4F5E" w:rsidP="00ED4F5E">
      <w:pPr>
        <w:pStyle w:val="ListParagraph"/>
        <w:rPr>
          <w:rFonts w:ascii="Calibri" w:hAnsi="Calibri"/>
          <w:color w:val="1F497D"/>
        </w:rPr>
      </w:pPr>
    </w:p>
    <w:p w:rsidR="00B0729A" w:rsidRDefault="00B0729A" w:rsidP="00B0729A">
      <w:pPr>
        <w:ind w:left="720"/>
      </w:pPr>
    </w:p>
    <w:p w:rsidR="00D065F3" w:rsidRDefault="00D065F3" w:rsidP="00B0729A"/>
    <w:sectPr w:rsidR="00D065F3" w:rsidSect="00D0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A18"/>
    <w:multiLevelType w:val="hybridMultilevel"/>
    <w:tmpl w:val="35BE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29A"/>
    <w:rsid w:val="0005471D"/>
    <w:rsid w:val="001268A7"/>
    <w:rsid w:val="00182E96"/>
    <w:rsid w:val="00357263"/>
    <w:rsid w:val="003E51D5"/>
    <w:rsid w:val="004013E0"/>
    <w:rsid w:val="00504ED0"/>
    <w:rsid w:val="00655B36"/>
    <w:rsid w:val="007F45B1"/>
    <w:rsid w:val="00AE47E8"/>
    <w:rsid w:val="00B0729A"/>
    <w:rsid w:val="00B1772E"/>
    <w:rsid w:val="00B54B25"/>
    <w:rsid w:val="00D065F3"/>
    <w:rsid w:val="00D36624"/>
    <w:rsid w:val="00DB0226"/>
    <w:rsid w:val="00DF083F"/>
    <w:rsid w:val="00E67CE6"/>
    <w:rsid w:val="00ED4F5E"/>
    <w:rsid w:val="00ED5001"/>
    <w:rsid w:val="00F0198F"/>
    <w:rsid w:val="00F3635A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624"/>
    <w:rPr>
      <w:color w:val="0000FF"/>
      <w:u w:val="single"/>
    </w:rPr>
  </w:style>
  <w:style w:type="table" w:styleId="TableGrid">
    <w:name w:val="Table Grid"/>
    <w:basedOn w:val="TableNormal"/>
    <w:uiPriority w:val="59"/>
    <w:rsid w:val="00F01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u4083</dc:creator>
  <cp:keywords/>
  <dc:description/>
  <cp:lastModifiedBy>Todd Butkowski</cp:lastModifiedBy>
  <cp:revision>5</cp:revision>
  <cp:lastPrinted>2009-11-04T17:13:00Z</cp:lastPrinted>
  <dcterms:created xsi:type="dcterms:W3CDTF">2009-11-03T21:19:00Z</dcterms:created>
  <dcterms:modified xsi:type="dcterms:W3CDTF">2009-11-04T17:15:00Z</dcterms:modified>
</cp:coreProperties>
</file>