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09" w:rsidRPr="00DF701A" w:rsidRDefault="00CA2C09" w:rsidP="00610F4C">
      <w:pPr>
        <w:spacing w:after="0"/>
        <w:rPr>
          <w:b/>
          <w:sz w:val="28"/>
          <w:szCs w:val="28"/>
        </w:rPr>
      </w:pPr>
      <w:r w:rsidRPr="00DF701A">
        <w:rPr>
          <w:b/>
          <w:sz w:val="28"/>
          <w:szCs w:val="28"/>
        </w:rPr>
        <w:t>Great River Energy</w:t>
      </w:r>
    </w:p>
    <w:p w:rsidR="00DF701A" w:rsidRDefault="00DF701A" w:rsidP="00610F4C">
      <w:pPr>
        <w:spacing w:after="0"/>
        <w:rPr>
          <w:b/>
          <w:sz w:val="28"/>
          <w:szCs w:val="28"/>
        </w:rPr>
      </w:pPr>
      <w:r>
        <w:rPr>
          <w:b/>
          <w:sz w:val="28"/>
          <w:szCs w:val="28"/>
        </w:rPr>
        <w:t>201</w:t>
      </w:r>
      <w:r w:rsidR="00544E6A">
        <w:rPr>
          <w:b/>
          <w:sz w:val="28"/>
          <w:szCs w:val="28"/>
        </w:rPr>
        <w:t>7</w:t>
      </w:r>
      <w:r>
        <w:rPr>
          <w:b/>
          <w:sz w:val="28"/>
          <w:szCs w:val="28"/>
        </w:rPr>
        <w:t xml:space="preserve"> </w:t>
      </w:r>
      <w:r w:rsidR="00CA2C09" w:rsidRPr="00DF701A">
        <w:rPr>
          <w:b/>
          <w:sz w:val="28"/>
          <w:szCs w:val="28"/>
        </w:rPr>
        <w:t>Annual True-Up</w:t>
      </w:r>
      <w:r w:rsidR="006A59AE">
        <w:rPr>
          <w:b/>
          <w:sz w:val="28"/>
          <w:szCs w:val="28"/>
        </w:rPr>
        <w:t xml:space="preserve"> Supplemental Notes</w:t>
      </w:r>
    </w:p>
    <w:p w:rsidR="00D95F10" w:rsidRDefault="0094632C" w:rsidP="00D95F10">
      <w:pPr>
        <w:spacing w:after="0"/>
      </w:pPr>
      <w:r w:rsidRPr="006A59AE">
        <w:rPr>
          <w:sz w:val="24"/>
          <w:szCs w:val="24"/>
        </w:rPr>
        <w:t>(</w:t>
      </w:r>
      <w:r w:rsidR="00CA2C09" w:rsidRPr="006A59AE">
        <w:rPr>
          <w:sz w:val="24"/>
          <w:szCs w:val="24"/>
        </w:rPr>
        <w:t xml:space="preserve">Section </w:t>
      </w:r>
      <w:r w:rsidR="00610F4C" w:rsidRPr="006A59AE">
        <w:rPr>
          <w:sz w:val="24"/>
          <w:szCs w:val="24"/>
        </w:rPr>
        <w:t>II.E.5, 6, &amp;</w:t>
      </w:r>
      <w:r w:rsidR="00DF701A" w:rsidRPr="006A59AE">
        <w:rPr>
          <w:sz w:val="24"/>
          <w:szCs w:val="24"/>
        </w:rPr>
        <w:t xml:space="preserve"> </w:t>
      </w:r>
      <w:r w:rsidR="006A59AE">
        <w:rPr>
          <w:sz w:val="24"/>
          <w:szCs w:val="24"/>
        </w:rPr>
        <w:t>8 R</w:t>
      </w:r>
      <w:r w:rsidR="00610F4C" w:rsidRPr="006A59AE">
        <w:rPr>
          <w:sz w:val="24"/>
          <w:szCs w:val="24"/>
        </w:rPr>
        <w:t>equirements</w:t>
      </w:r>
      <w:r w:rsidRPr="006A59AE">
        <w:rPr>
          <w:sz w:val="24"/>
          <w:szCs w:val="24"/>
        </w:rPr>
        <w:t>)</w:t>
      </w:r>
    </w:p>
    <w:p w:rsidR="00357342" w:rsidRPr="00610F4C" w:rsidRDefault="00357342" w:rsidP="00D95F10">
      <w:pPr>
        <w:spacing w:after="0"/>
      </w:pPr>
    </w:p>
    <w:p w:rsidR="004F0541" w:rsidRDefault="00CA2C09">
      <w:pPr>
        <w:rPr>
          <w:b/>
        </w:rPr>
      </w:pPr>
      <w:r w:rsidRPr="00CA2C09">
        <w:rPr>
          <w:b/>
        </w:rPr>
        <w:t xml:space="preserve">Section II.E.5 – Formula </w:t>
      </w:r>
      <w:r>
        <w:rPr>
          <w:b/>
        </w:rPr>
        <w:t>reference c</w:t>
      </w:r>
      <w:r w:rsidRPr="00CA2C09">
        <w:rPr>
          <w:b/>
        </w:rPr>
        <w:t>hanges to GRE’s Annual Operating Report</w:t>
      </w:r>
    </w:p>
    <w:p w:rsidR="00136142" w:rsidRPr="00CD45FC" w:rsidRDefault="00136F4F" w:rsidP="00136142">
      <w:pPr>
        <w:pStyle w:val="ListParagraph"/>
        <w:numPr>
          <w:ilvl w:val="0"/>
          <w:numId w:val="1"/>
        </w:numPr>
      </w:pPr>
      <w:r w:rsidRPr="00CD45FC">
        <w:t>GRE does not have any formula reference changes to report</w:t>
      </w:r>
    </w:p>
    <w:p w:rsidR="00CA2C09" w:rsidRDefault="00CA2C09">
      <w:pPr>
        <w:rPr>
          <w:b/>
        </w:rPr>
      </w:pPr>
      <w:r>
        <w:rPr>
          <w:b/>
        </w:rPr>
        <w:t xml:space="preserve">Section II.E.6 – Material </w:t>
      </w:r>
      <w:r w:rsidR="004F0541">
        <w:rPr>
          <w:b/>
        </w:rPr>
        <w:t>a</w:t>
      </w:r>
      <w:r w:rsidR="004938F4">
        <w:rPr>
          <w:b/>
        </w:rPr>
        <w:t>djustments</w:t>
      </w:r>
      <w:r w:rsidR="00A46D73">
        <w:rPr>
          <w:b/>
        </w:rPr>
        <w:t>, foot notes</w:t>
      </w:r>
      <w:r w:rsidR="004938F4">
        <w:rPr>
          <w:b/>
        </w:rPr>
        <w:t xml:space="preserve">, &amp; adjustments not shown in GRE’s Annual Operating Report </w:t>
      </w:r>
    </w:p>
    <w:p w:rsidR="0019793B" w:rsidRPr="00136F4F" w:rsidRDefault="006A59AE" w:rsidP="006A59AE">
      <w:pPr>
        <w:pStyle w:val="ListParagraph"/>
        <w:numPr>
          <w:ilvl w:val="0"/>
          <w:numId w:val="5"/>
        </w:numPr>
      </w:pPr>
      <w:r w:rsidRPr="00136F4F">
        <w:t xml:space="preserve">GRE </w:t>
      </w:r>
      <w:r w:rsidR="00D95F10" w:rsidRPr="00136F4F">
        <w:t xml:space="preserve">does not </w:t>
      </w:r>
      <w:r w:rsidRPr="00136F4F">
        <w:t>have any material adjustments made to GRE’s A</w:t>
      </w:r>
      <w:r w:rsidR="00933268" w:rsidRPr="00136F4F">
        <w:t>OR</w:t>
      </w:r>
      <w:r w:rsidRPr="00136F4F">
        <w:t xml:space="preserve"> data in determining formula inputs</w:t>
      </w:r>
      <w:r w:rsidR="00D95F10" w:rsidRPr="00136F4F">
        <w:t>.</w:t>
      </w:r>
    </w:p>
    <w:p w:rsidR="006A59AE" w:rsidRPr="00136F4F" w:rsidRDefault="006A59AE" w:rsidP="006A59AE">
      <w:pPr>
        <w:pStyle w:val="ListParagraph"/>
        <w:numPr>
          <w:ilvl w:val="0"/>
          <w:numId w:val="5"/>
        </w:numPr>
      </w:pPr>
      <w:r w:rsidRPr="00136F4F">
        <w:t>Notes to GRE’s A</w:t>
      </w:r>
      <w:r w:rsidR="00933268" w:rsidRPr="00136F4F">
        <w:t>OR</w:t>
      </w:r>
      <w:r w:rsidRPr="00136F4F">
        <w:t xml:space="preserve"> are in Section C on page 5 </w:t>
      </w:r>
      <w:r w:rsidR="00D554DA" w:rsidRPr="00136F4F">
        <w:t>of the report</w:t>
      </w:r>
      <w:r w:rsidR="00D95F10" w:rsidRPr="00136F4F">
        <w:t>.</w:t>
      </w:r>
    </w:p>
    <w:p w:rsidR="00FA7F9F" w:rsidRPr="008531C5" w:rsidRDefault="00FA7F9F" w:rsidP="00FA7F9F">
      <w:pPr>
        <w:pStyle w:val="ListParagraph"/>
        <w:numPr>
          <w:ilvl w:val="0"/>
          <w:numId w:val="5"/>
        </w:numPr>
        <w:spacing w:after="0" w:line="240" w:lineRule="auto"/>
        <w:contextualSpacing w:val="0"/>
      </w:pPr>
      <w:r w:rsidRPr="008531C5">
        <w:t>In addition to the existing notes on GRE’s A</w:t>
      </w:r>
      <w:r w:rsidR="00933268" w:rsidRPr="008531C5">
        <w:t>OR</w:t>
      </w:r>
      <w:r w:rsidRPr="008531C5">
        <w:t>, GRE has also classified long term interest costs of</w:t>
      </w:r>
      <w:r w:rsidRPr="00544E6A">
        <w:rPr>
          <w:color w:val="FF0000"/>
        </w:rPr>
        <w:t xml:space="preserve"> $</w:t>
      </w:r>
      <w:r w:rsidR="00C035C6">
        <w:rPr>
          <w:color w:val="FF0000"/>
        </w:rPr>
        <w:t>4,700,796</w:t>
      </w:r>
      <w:r w:rsidRPr="00544E6A">
        <w:rPr>
          <w:color w:val="FF0000"/>
        </w:rPr>
        <w:t xml:space="preserve"> </w:t>
      </w:r>
      <w:r w:rsidRPr="008531C5">
        <w:t>as an operating expense related to</w:t>
      </w:r>
      <w:r w:rsidR="00FB25F5" w:rsidRPr="008531C5">
        <w:t xml:space="preserve"> the capacity purchase agreement with Dairyland Power Cooperative pertaining to the Genoa 3 settlement.</w:t>
      </w:r>
      <w:r w:rsidRPr="008531C5">
        <w:t xml:space="preserve"> G</w:t>
      </w:r>
      <w:r w:rsidR="00D730D0" w:rsidRPr="008531C5">
        <w:t>RE reports an amount</w:t>
      </w:r>
      <w:r w:rsidRPr="008531C5">
        <w:t xml:space="preserve"> </w:t>
      </w:r>
      <w:r w:rsidR="00D730D0" w:rsidRPr="008531C5">
        <w:t>representing interest from a capital lease</w:t>
      </w:r>
      <w:r w:rsidRPr="008531C5">
        <w:t xml:space="preserve"> into its interest on long-term deb</w:t>
      </w:r>
      <w:r w:rsidR="00D730D0" w:rsidRPr="008531C5">
        <w:t>t calc</w:t>
      </w:r>
      <w:r w:rsidR="008531C5" w:rsidRPr="008531C5">
        <w:t>ulation. The amount is</w:t>
      </w:r>
      <w:r w:rsidR="008531C5">
        <w:rPr>
          <w:color w:val="FF0000"/>
        </w:rPr>
        <w:t xml:space="preserve"> $181,248</w:t>
      </w:r>
      <w:r w:rsidR="00D730D0" w:rsidRPr="00544E6A">
        <w:rPr>
          <w:color w:val="FF0000"/>
        </w:rPr>
        <w:t xml:space="preserve"> </w:t>
      </w:r>
      <w:r w:rsidR="00D730D0" w:rsidRPr="008531C5">
        <w:t>associated with</w:t>
      </w:r>
      <w:r w:rsidRPr="008531C5">
        <w:t xml:space="preserve"> railroad cars used in the operations of the Spiritwood Station ge</w:t>
      </w:r>
      <w:r w:rsidR="00D730D0" w:rsidRPr="008531C5">
        <w:t>neration facility.</w:t>
      </w:r>
    </w:p>
    <w:p w:rsidR="00FA7F9F" w:rsidRPr="00136F4F" w:rsidRDefault="00246340" w:rsidP="00FA7F9F">
      <w:pPr>
        <w:pStyle w:val="ListParagraph"/>
        <w:numPr>
          <w:ilvl w:val="0"/>
          <w:numId w:val="5"/>
        </w:numPr>
      </w:pPr>
      <w:r w:rsidRPr="00136F4F">
        <w:t>"Treatment of Plant Related to MTEP Project 2097" - to be in compliance with the MISO OATT, GRE removes 50% of the transmission plant</w:t>
      </w:r>
      <w:r w:rsidR="004938F4" w:rsidRPr="00136F4F">
        <w:t xml:space="preserve"> and related depreciation associ</w:t>
      </w:r>
      <w:r w:rsidRPr="00136F4F">
        <w:t>ated with MTEP project 2097 from the transmission plant balances and moves them to production plant balances for the purposes of MISO rates.  The amounts GRE reports on our Attachment O will not match GRE's A</w:t>
      </w:r>
      <w:r w:rsidR="00933268" w:rsidRPr="00136F4F">
        <w:t>OR</w:t>
      </w:r>
      <w:r w:rsidR="004938F4" w:rsidRPr="00136F4F">
        <w:t xml:space="preserve"> Form 12h, Section A</w:t>
      </w:r>
      <w:r w:rsidRPr="00136F4F">
        <w:t>, and Form 12h, Section B which reflect the balances GRE uses for member rate making purposes.</w:t>
      </w:r>
      <w:r w:rsidR="00513DF9" w:rsidRPr="00136F4F">
        <w:t xml:space="preserve"> </w:t>
      </w:r>
    </w:p>
    <w:p w:rsidR="00CA2C09" w:rsidRDefault="00CA2C09">
      <w:pPr>
        <w:rPr>
          <w:b/>
        </w:rPr>
      </w:pPr>
      <w:r>
        <w:rPr>
          <w:b/>
        </w:rPr>
        <w:t xml:space="preserve">Section </w:t>
      </w:r>
      <w:r w:rsidR="004F0541">
        <w:rPr>
          <w:b/>
        </w:rPr>
        <w:t>II.E.8 –</w:t>
      </w:r>
      <w:r w:rsidR="0019793B">
        <w:rPr>
          <w:b/>
        </w:rPr>
        <w:t xml:space="preserve"> Accounting C</w:t>
      </w:r>
      <w:r w:rsidR="004F0541">
        <w:rPr>
          <w:b/>
        </w:rPr>
        <w:t>hanges</w:t>
      </w:r>
    </w:p>
    <w:p w:rsidR="00CD45FC" w:rsidRPr="00CD45FC" w:rsidRDefault="00CD45FC" w:rsidP="00603E41">
      <w:pPr>
        <w:pStyle w:val="ListParagraph"/>
        <w:numPr>
          <w:ilvl w:val="0"/>
          <w:numId w:val="7"/>
        </w:numPr>
      </w:pPr>
      <w:r w:rsidRPr="00CD45FC">
        <w:t xml:space="preserve">Salvage values (negative &amp; positive) were updated for both generation and general plant. This increased depreciation expense. </w:t>
      </w:r>
    </w:p>
    <w:p w:rsidR="00CA2C09" w:rsidRPr="00544E6A" w:rsidRDefault="00603E41" w:rsidP="00603E41">
      <w:pPr>
        <w:pStyle w:val="ListParagraph"/>
        <w:numPr>
          <w:ilvl w:val="0"/>
          <w:numId w:val="7"/>
        </w:numPr>
        <w:rPr>
          <w:color w:val="FF0000"/>
        </w:rPr>
      </w:pPr>
      <w:r w:rsidRPr="00CD45FC">
        <w:t>In 2016, GRE approved the closure of Stanton Station effective May 2017.  Regulatory accounting was approved for the remaining undepreciated NBV and all closure related costs.  The resulting regulatory asset will be amortized over 12 years, beginning in 2017.</w:t>
      </w:r>
      <w:r w:rsidR="00513DF9">
        <w:rPr>
          <w:color w:val="FF0000"/>
        </w:rPr>
        <w:t xml:space="preserve"> </w:t>
      </w:r>
      <w:bookmarkStart w:id="0" w:name="_GoBack"/>
      <w:bookmarkEnd w:id="0"/>
    </w:p>
    <w:sectPr w:rsidR="00CA2C09" w:rsidRPr="00544E6A" w:rsidSect="00457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C66"/>
    <w:multiLevelType w:val="hybridMultilevel"/>
    <w:tmpl w:val="2F2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5A88"/>
    <w:multiLevelType w:val="hybridMultilevel"/>
    <w:tmpl w:val="DDD259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0A4B16"/>
    <w:multiLevelType w:val="hybridMultilevel"/>
    <w:tmpl w:val="A974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35DD0"/>
    <w:multiLevelType w:val="hybridMultilevel"/>
    <w:tmpl w:val="9B1C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167AF"/>
    <w:multiLevelType w:val="hybridMultilevel"/>
    <w:tmpl w:val="D41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37AA4"/>
    <w:multiLevelType w:val="hybridMultilevel"/>
    <w:tmpl w:val="66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A5EA1"/>
    <w:multiLevelType w:val="hybridMultilevel"/>
    <w:tmpl w:val="1C44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A2C09"/>
    <w:rsid w:val="000103A7"/>
    <w:rsid w:val="00027BFB"/>
    <w:rsid w:val="000F0BE6"/>
    <w:rsid w:val="001105EA"/>
    <w:rsid w:val="00130BEB"/>
    <w:rsid w:val="00136142"/>
    <w:rsid w:val="00136F4F"/>
    <w:rsid w:val="001405D3"/>
    <w:rsid w:val="00142EFF"/>
    <w:rsid w:val="0015471E"/>
    <w:rsid w:val="001717C9"/>
    <w:rsid w:val="001778C8"/>
    <w:rsid w:val="00186786"/>
    <w:rsid w:val="0019793B"/>
    <w:rsid w:val="001A1A7D"/>
    <w:rsid w:val="001B1155"/>
    <w:rsid w:val="001D458A"/>
    <w:rsid w:val="00211AB9"/>
    <w:rsid w:val="00246340"/>
    <w:rsid w:val="002551E1"/>
    <w:rsid w:val="0026623A"/>
    <w:rsid w:val="00267A1E"/>
    <w:rsid w:val="00271EAC"/>
    <w:rsid w:val="0027686E"/>
    <w:rsid w:val="00280230"/>
    <w:rsid w:val="002D27EF"/>
    <w:rsid w:val="002E340D"/>
    <w:rsid w:val="002F59BC"/>
    <w:rsid w:val="00357342"/>
    <w:rsid w:val="003B4843"/>
    <w:rsid w:val="003C2CB0"/>
    <w:rsid w:val="003E2523"/>
    <w:rsid w:val="00414EEF"/>
    <w:rsid w:val="0042351F"/>
    <w:rsid w:val="00443703"/>
    <w:rsid w:val="00457B34"/>
    <w:rsid w:val="004938F4"/>
    <w:rsid w:val="004C5C66"/>
    <w:rsid w:val="004F0541"/>
    <w:rsid w:val="004F7C7E"/>
    <w:rsid w:val="00513DF9"/>
    <w:rsid w:val="00544E6A"/>
    <w:rsid w:val="00547346"/>
    <w:rsid w:val="00552809"/>
    <w:rsid w:val="005620C1"/>
    <w:rsid w:val="005C2955"/>
    <w:rsid w:val="005E1EFC"/>
    <w:rsid w:val="0060051A"/>
    <w:rsid w:val="00603E41"/>
    <w:rsid w:val="00610F4C"/>
    <w:rsid w:val="00613501"/>
    <w:rsid w:val="00622C10"/>
    <w:rsid w:val="00646C16"/>
    <w:rsid w:val="00650F33"/>
    <w:rsid w:val="006865BC"/>
    <w:rsid w:val="006A59AE"/>
    <w:rsid w:val="006E44CA"/>
    <w:rsid w:val="0070134A"/>
    <w:rsid w:val="007818BB"/>
    <w:rsid w:val="007C5D7D"/>
    <w:rsid w:val="007D4D93"/>
    <w:rsid w:val="007E660C"/>
    <w:rsid w:val="007E6875"/>
    <w:rsid w:val="00804CFF"/>
    <w:rsid w:val="00827314"/>
    <w:rsid w:val="00835062"/>
    <w:rsid w:val="00845D26"/>
    <w:rsid w:val="008531C5"/>
    <w:rsid w:val="00867A36"/>
    <w:rsid w:val="00867FD1"/>
    <w:rsid w:val="008B590A"/>
    <w:rsid w:val="008D4E10"/>
    <w:rsid w:val="008E2031"/>
    <w:rsid w:val="008F5BC5"/>
    <w:rsid w:val="00933268"/>
    <w:rsid w:val="00937922"/>
    <w:rsid w:val="0094632C"/>
    <w:rsid w:val="00963800"/>
    <w:rsid w:val="009F79C1"/>
    <w:rsid w:val="00A108AC"/>
    <w:rsid w:val="00A24DE1"/>
    <w:rsid w:val="00A260A0"/>
    <w:rsid w:val="00A46D73"/>
    <w:rsid w:val="00AC7E3D"/>
    <w:rsid w:val="00B26C49"/>
    <w:rsid w:val="00B4709D"/>
    <w:rsid w:val="00B74352"/>
    <w:rsid w:val="00B774F6"/>
    <w:rsid w:val="00B85C53"/>
    <w:rsid w:val="00BA18DB"/>
    <w:rsid w:val="00BF07B8"/>
    <w:rsid w:val="00C035C6"/>
    <w:rsid w:val="00CA2C09"/>
    <w:rsid w:val="00CB3D3A"/>
    <w:rsid w:val="00CB554C"/>
    <w:rsid w:val="00CB616B"/>
    <w:rsid w:val="00CD45FC"/>
    <w:rsid w:val="00D457B6"/>
    <w:rsid w:val="00D51CEC"/>
    <w:rsid w:val="00D554DA"/>
    <w:rsid w:val="00D70009"/>
    <w:rsid w:val="00D730D0"/>
    <w:rsid w:val="00D9209F"/>
    <w:rsid w:val="00D95C11"/>
    <w:rsid w:val="00D95F10"/>
    <w:rsid w:val="00D97C24"/>
    <w:rsid w:val="00DB3EE7"/>
    <w:rsid w:val="00DB48CF"/>
    <w:rsid w:val="00DD603B"/>
    <w:rsid w:val="00DF1911"/>
    <w:rsid w:val="00DF701A"/>
    <w:rsid w:val="00E16CBE"/>
    <w:rsid w:val="00E46AFB"/>
    <w:rsid w:val="00EA00DE"/>
    <w:rsid w:val="00EA18E8"/>
    <w:rsid w:val="00EA7475"/>
    <w:rsid w:val="00EC1D4B"/>
    <w:rsid w:val="00EE48C4"/>
    <w:rsid w:val="00EF013A"/>
    <w:rsid w:val="00EF2ACD"/>
    <w:rsid w:val="00EF551D"/>
    <w:rsid w:val="00F03D7E"/>
    <w:rsid w:val="00F2292E"/>
    <w:rsid w:val="00F33079"/>
    <w:rsid w:val="00F35CFB"/>
    <w:rsid w:val="00F748A6"/>
    <w:rsid w:val="00F86F96"/>
    <w:rsid w:val="00F950A5"/>
    <w:rsid w:val="00FA7F9F"/>
    <w:rsid w:val="00FB25F5"/>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2CE7-FC21-40DA-AA09-2164907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A5"/>
    <w:pPr>
      <w:ind w:left="720"/>
      <w:contextualSpacing/>
    </w:pPr>
  </w:style>
  <w:style w:type="paragraph" w:styleId="BalloonText">
    <w:name w:val="Balloon Text"/>
    <w:basedOn w:val="Normal"/>
    <w:link w:val="BalloonTextChar"/>
    <w:uiPriority w:val="99"/>
    <w:semiHidden/>
    <w:unhideWhenUsed/>
    <w:rsid w:val="0014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6926">
      <w:bodyDiv w:val="1"/>
      <w:marLeft w:val="0"/>
      <w:marRight w:val="0"/>
      <w:marTop w:val="0"/>
      <w:marBottom w:val="0"/>
      <w:divBdr>
        <w:top w:val="none" w:sz="0" w:space="0" w:color="auto"/>
        <w:left w:val="none" w:sz="0" w:space="0" w:color="auto"/>
        <w:bottom w:val="none" w:sz="0" w:space="0" w:color="auto"/>
        <w:right w:val="none" w:sz="0" w:space="0" w:color="auto"/>
      </w:divBdr>
    </w:div>
    <w:div w:id="20733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River Energy</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Tbutkows</dc:creator>
  <cp:lastModifiedBy>Butkowski, Todd GRE-MG</cp:lastModifiedBy>
  <cp:revision>21</cp:revision>
  <cp:lastPrinted>2016-05-27T18:59:00Z</cp:lastPrinted>
  <dcterms:created xsi:type="dcterms:W3CDTF">2014-05-29T15:27:00Z</dcterms:created>
  <dcterms:modified xsi:type="dcterms:W3CDTF">2018-06-13T16:43:00Z</dcterms:modified>
</cp:coreProperties>
</file>