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EE" w:rsidRDefault="006328EA" w:rsidP="006328EA">
      <w:pPr>
        <w:jc w:val="center"/>
        <w:rPr>
          <w:b/>
        </w:rPr>
      </w:pPr>
      <w:bookmarkStart w:id="0" w:name="_GoBack"/>
      <w:bookmarkEnd w:id="0"/>
      <w:r>
        <w:rPr>
          <w:b/>
        </w:rPr>
        <w:t>WESTAR ENERGY, INC.</w:t>
      </w:r>
    </w:p>
    <w:p w:rsidR="006328EA" w:rsidRDefault="006328EA" w:rsidP="006328EA">
      <w:pPr>
        <w:jc w:val="center"/>
        <w:rPr>
          <w:b/>
        </w:rPr>
      </w:pPr>
    </w:p>
    <w:p w:rsidR="006328EA" w:rsidRDefault="00527160" w:rsidP="006328EA">
      <w:pPr>
        <w:jc w:val="center"/>
        <w:rPr>
          <w:b/>
        </w:rPr>
      </w:pPr>
      <w:r>
        <w:rPr>
          <w:b/>
        </w:rPr>
        <w:t>TRANSMISS</w:t>
      </w:r>
      <w:r w:rsidR="006328EA">
        <w:rPr>
          <w:b/>
        </w:rPr>
        <w:t>ION FORMULA RATE</w:t>
      </w:r>
    </w:p>
    <w:p w:rsidR="006328EA" w:rsidRDefault="006328EA" w:rsidP="006328EA">
      <w:pPr>
        <w:jc w:val="center"/>
        <w:rPr>
          <w:b/>
        </w:rPr>
      </w:pPr>
      <w:r>
        <w:rPr>
          <w:b/>
        </w:rPr>
        <w:t>20</w:t>
      </w:r>
      <w:r w:rsidR="0093316F">
        <w:rPr>
          <w:b/>
        </w:rPr>
        <w:t>1</w:t>
      </w:r>
      <w:r w:rsidR="004F0945">
        <w:rPr>
          <w:b/>
        </w:rPr>
        <w:t>3</w:t>
      </w:r>
      <w:r>
        <w:rPr>
          <w:b/>
        </w:rPr>
        <w:t xml:space="preserve"> </w:t>
      </w:r>
      <w:r w:rsidR="00527160">
        <w:rPr>
          <w:b/>
        </w:rPr>
        <w:t>TRUE-UP</w:t>
      </w:r>
      <w:r>
        <w:rPr>
          <w:b/>
        </w:rPr>
        <w:t xml:space="preserve"> UPDATE</w:t>
      </w:r>
    </w:p>
    <w:p w:rsidR="006328EA" w:rsidRDefault="006328EA" w:rsidP="006328EA">
      <w:pPr>
        <w:jc w:val="center"/>
        <w:rPr>
          <w:b/>
        </w:rPr>
      </w:pPr>
    </w:p>
    <w:p w:rsidR="006328EA" w:rsidRDefault="006328EA" w:rsidP="006328EA">
      <w:pPr>
        <w:jc w:val="center"/>
        <w:rPr>
          <w:b/>
        </w:rPr>
      </w:pPr>
      <w:r>
        <w:rPr>
          <w:b/>
        </w:rPr>
        <w:t xml:space="preserve">KEPCo </w:t>
      </w:r>
      <w:r w:rsidR="0018690B">
        <w:rPr>
          <w:b/>
        </w:rPr>
        <w:t>1</w:t>
      </w:r>
      <w:r w:rsidR="0018690B" w:rsidRPr="0018690B">
        <w:rPr>
          <w:b/>
          <w:vertAlign w:val="superscript"/>
        </w:rPr>
        <w:t>st</w:t>
      </w:r>
      <w:r w:rsidR="0018690B">
        <w:rPr>
          <w:b/>
        </w:rPr>
        <w:t xml:space="preserve"> Data Request</w:t>
      </w:r>
    </w:p>
    <w:p w:rsidR="006328EA" w:rsidRDefault="006328EA" w:rsidP="006328EA">
      <w:pPr>
        <w:jc w:val="center"/>
        <w:rPr>
          <w:b/>
        </w:rPr>
      </w:pPr>
      <w:r>
        <w:rPr>
          <w:b/>
        </w:rPr>
        <w:t>JU</w:t>
      </w:r>
      <w:r w:rsidR="00121B46">
        <w:rPr>
          <w:b/>
        </w:rPr>
        <w:t>LY</w:t>
      </w:r>
      <w:r w:rsidR="00420042">
        <w:rPr>
          <w:b/>
        </w:rPr>
        <w:t xml:space="preserve"> </w:t>
      </w:r>
      <w:r w:rsidR="004F0945">
        <w:rPr>
          <w:b/>
        </w:rPr>
        <w:t>1</w:t>
      </w:r>
      <w:r w:rsidR="00E26A29">
        <w:rPr>
          <w:b/>
        </w:rPr>
        <w:t>6</w:t>
      </w:r>
      <w:r>
        <w:rPr>
          <w:b/>
        </w:rPr>
        <w:t>, 201</w:t>
      </w:r>
      <w:r w:rsidR="004F0945">
        <w:rPr>
          <w:b/>
        </w:rPr>
        <w:t>3</w:t>
      </w:r>
    </w:p>
    <w:p w:rsidR="006328EA" w:rsidRDefault="006328EA" w:rsidP="006328EA">
      <w:pPr>
        <w:jc w:val="center"/>
        <w:rPr>
          <w:b/>
        </w:rPr>
      </w:pPr>
    </w:p>
    <w:p w:rsidR="00121B46" w:rsidRDefault="00121B46" w:rsidP="006328EA">
      <w:pPr>
        <w:jc w:val="center"/>
        <w:rPr>
          <w:b/>
          <w:color w:val="FF0000"/>
        </w:rPr>
      </w:pPr>
    </w:p>
    <w:p w:rsidR="00121B46" w:rsidRDefault="00121B46" w:rsidP="00121B46">
      <w:pPr>
        <w:jc w:val="center"/>
        <w:rPr>
          <w:b/>
        </w:rPr>
      </w:pPr>
    </w:p>
    <w:p w:rsidR="00C37956" w:rsidRPr="00C37956" w:rsidRDefault="00C37956" w:rsidP="00121B46">
      <w:pPr>
        <w:pStyle w:val="ListParagraph"/>
        <w:numPr>
          <w:ilvl w:val="0"/>
          <w:numId w:val="1"/>
        </w:numPr>
        <w:spacing w:after="240"/>
        <w:contextualSpacing w:val="0"/>
      </w:pPr>
      <w:r>
        <w:rPr>
          <w:b/>
          <w:u w:val="single"/>
        </w:rPr>
        <w:t>Information Request</w:t>
      </w:r>
    </w:p>
    <w:p w:rsidR="00C37956" w:rsidRPr="00EE7D8D" w:rsidRDefault="00CE0A9A" w:rsidP="00C37956">
      <w:pPr>
        <w:pStyle w:val="ListParagraph"/>
        <w:numPr>
          <w:ilvl w:val="1"/>
          <w:numId w:val="1"/>
        </w:numPr>
        <w:spacing w:after="240"/>
        <w:contextualSpacing w:val="0"/>
      </w:pPr>
      <w:r w:rsidRPr="0095098E">
        <w:t>Please provide a copy of all data requests submitted by all parties</w:t>
      </w:r>
      <w:r>
        <w:t xml:space="preserve"> on the Annual Update filings</w:t>
      </w:r>
      <w:r w:rsidRPr="0095098E">
        <w:t>, along with answers to those data requests.  Please provide this information on a continuing basis.</w:t>
      </w:r>
      <w:r w:rsidR="00FE1D5F">
        <w:t xml:space="preserve">  </w:t>
      </w:r>
    </w:p>
    <w:p w:rsidR="000D5A99" w:rsidRPr="00EE7D8D" w:rsidRDefault="00EE7D8D" w:rsidP="00EE7D8D">
      <w:pPr>
        <w:spacing w:after="240"/>
        <w:rPr>
          <w:color w:val="00B0F0"/>
        </w:rPr>
      </w:pPr>
      <w:r>
        <w:rPr>
          <w:color w:val="00B0F0"/>
        </w:rPr>
        <w:t>There ha</w:t>
      </w:r>
      <w:r w:rsidR="007B054B">
        <w:rPr>
          <w:color w:val="00B0F0"/>
        </w:rPr>
        <w:t>ve</w:t>
      </w:r>
      <w:r>
        <w:rPr>
          <w:color w:val="00B0F0"/>
        </w:rPr>
        <w:t xml:space="preserve"> been no other data requests to date related to the 2013 Westar Transmission</w:t>
      </w:r>
      <w:r w:rsidR="000D5A99">
        <w:rPr>
          <w:color w:val="00B0F0"/>
        </w:rPr>
        <w:t xml:space="preserve"> Formula Rate True-Up</w:t>
      </w:r>
      <w:r w:rsidR="007B054B">
        <w:rPr>
          <w:color w:val="00B0F0"/>
        </w:rPr>
        <w:t xml:space="preserve"> posted on June 15, 2013</w:t>
      </w:r>
      <w:r w:rsidR="000D5A99">
        <w:rPr>
          <w:color w:val="00B0F0"/>
        </w:rPr>
        <w:t xml:space="preserve">.  All data requests and responses will be posted on the Westar Oasis site.  </w:t>
      </w:r>
      <w:r w:rsidR="000D5A99">
        <w:rPr>
          <w:rFonts w:ascii="Helv" w:hAnsi="Helv" w:cs="Helv"/>
          <w:color w:val="000000"/>
          <w:sz w:val="20"/>
          <w:szCs w:val="20"/>
          <w:lang w:bidi="ar-SA"/>
        </w:rPr>
        <w:br/>
      </w:r>
    </w:p>
    <w:p w:rsidR="00121B46" w:rsidRPr="00B073F8" w:rsidRDefault="00121B46" w:rsidP="00121B46">
      <w:pPr>
        <w:pStyle w:val="ListParagraph"/>
        <w:numPr>
          <w:ilvl w:val="0"/>
          <w:numId w:val="1"/>
        </w:numPr>
        <w:spacing w:after="240"/>
        <w:contextualSpacing w:val="0"/>
        <w:rPr>
          <w:b/>
          <w:u w:val="single"/>
        </w:rPr>
      </w:pPr>
      <w:r>
        <w:rPr>
          <w:b/>
          <w:u w:val="single"/>
        </w:rPr>
        <w:t>Actual Gross Rev</w:t>
      </w:r>
      <w:r w:rsidR="00910ADC">
        <w:rPr>
          <w:b/>
          <w:u w:val="single"/>
        </w:rPr>
        <w:t>enue Requirements</w:t>
      </w:r>
    </w:p>
    <w:p w:rsidR="00F72F96" w:rsidRDefault="00F72F96" w:rsidP="00F72F96">
      <w:pPr>
        <w:pStyle w:val="ListParagraph"/>
        <w:numPr>
          <w:ilvl w:val="1"/>
          <w:numId w:val="1"/>
        </w:numPr>
        <w:spacing w:after="240"/>
        <w:contextualSpacing w:val="0"/>
      </w:pPr>
      <w:r>
        <w:t>In review of the total A&amp;G O&amp;M shown on Actual Gross Rev, p. 2, l. 3, and the respective FERC Form 1s for Westar Energy, Inc. (WEN) and Kansas Gas &amp; Electric Company (WES), p. 323, l. 192, for Miscellaneous General Expenses [Account 930.2] and the corresponding detail for “Energy Efficiency Program” expenses shown on p. 335, l. 6 which are increasing and have been approved to be recovered 100% through “retail rates” by the KCC for both WEN and WES, please provide the following:</w:t>
      </w:r>
    </w:p>
    <w:p w:rsidR="00655884" w:rsidRPr="002A1396" w:rsidRDefault="00655884" w:rsidP="00655884">
      <w:pPr>
        <w:pStyle w:val="ListParagraph"/>
        <w:numPr>
          <w:ilvl w:val="2"/>
          <w:numId w:val="1"/>
        </w:numPr>
        <w:spacing w:after="240"/>
        <w:ind w:hanging="360"/>
        <w:contextualSpacing w:val="0"/>
      </w:pPr>
      <w:r>
        <w:t>Westar’s basis for utilizing FERC Account 930.2 for the recordation of the Energy Efficiency Program costs for WEN and WES, in lieu of FERC Accounts 906, 908 and/or 909 where energy efficiency costs are more appropriately recorded.  Did Westar receive any guidance from FERC to use 930.2?</w:t>
      </w:r>
      <w:r w:rsidR="004820FA">
        <w:t xml:space="preserve">  </w:t>
      </w:r>
    </w:p>
    <w:p w:rsidR="002A1396" w:rsidRPr="002A1396" w:rsidRDefault="002A1396" w:rsidP="002A1396">
      <w:pPr>
        <w:spacing w:after="240"/>
        <w:rPr>
          <w:color w:val="00B0F0"/>
        </w:rPr>
      </w:pPr>
      <w:r w:rsidRPr="002A1396">
        <w:rPr>
          <w:color w:val="00B0F0"/>
        </w:rPr>
        <w:t xml:space="preserve">The Energy Efficiency Rider is comprised of costs from several different programs including the Energy-Efficiency Educational Program, Building Operator Certification Program, </w:t>
      </w:r>
      <w:proofErr w:type="spellStart"/>
      <w:r w:rsidRPr="002A1396">
        <w:rPr>
          <w:color w:val="00B0F0"/>
        </w:rPr>
        <w:t>WattSaver</w:t>
      </w:r>
      <w:proofErr w:type="spellEnd"/>
      <w:r w:rsidRPr="002A1396">
        <w:rPr>
          <w:color w:val="00B0F0"/>
        </w:rPr>
        <w:t xml:space="preserve"> Air Conditioner Cycling Program, and the Energy </w:t>
      </w:r>
      <w:r w:rsidR="00534BED">
        <w:rPr>
          <w:color w:val="00B0F0"/>
        </w:rPr>
        <w:t xml:space="preserve">Efficiency </w:t>
      </w:r>
      <w:r w:rsidRPr="002A1396">
        <w:rPr>
          <w:color w:val="00B0F0"/>
        </w:rPr>
        <w:t xml:space="preserve">Demand-Response Program.  The costs of these programs are accumulated and deferred in one regulatory asset account and are amortized to expense in account 930.2 over the period prescribed in Docket No. 11-WSEE-032-TAR.  Given the characteristics of these costs in total and the criteria described in the Code of Federal Regulations for the referenced accounts, Westar </w:t>
      </w:r>
      <w:r w:rsidR="00523F04">
        <w:rPr>
          <w:color w:val="00B0F0"/>
        </w:rPr>
        <w:t>began amortizing</w:t>
      </w:r>
      <w:r w:rsidRPr="002A1396">
        <w:rPr>
          <w:color w:val="00B0F0"/>
        </w:rPr>
        <w:t xml:space="preserve"> these costs to FERC account 930.2. </w:t>
      </w:r>
    </w:p>
    <w:p w:rsidR="002A1396" w:rsidRPr="001E5099" w:rsidRDefault="002A1396" w:rsidP="001E5099">
      <w:pPr>
        <w:spacing w:after="240"/>
        <w:rPr>
          <w:color w:val="00B0F0"/>
        </w:rPr>
      </w:pPr>
      <w:r w:rsidRPr="002A1396">
        <w:rPr>
          <w:color w:val="00B0F0"/>
        </w:rPr>
        <w:t xml:space="preserve"> Westar has not received any guidance from FERC regarding the appropriate account to use for the Energy Efficiency Rider.</w:t>
      </w:r>
    </w:p>
    <w:p w:rsidR="00655884" w:rsidRPr="002A1396" w:rsidRDefault="00655884" w:rsidP="00655884">
      <w:pPr>
        <w:pStyle w:val="ListParagraph"/>
        <w:numPr>
          <w:ilvl w:val="2"/>
          <w:numId w:val="1"/>
        </w:numPr>
        <w:spacing w:after="240"/>
        <w:ind w:hanging="360"/>
        <w:contextualSpacing w:val="0"/>
      </w:pPr>
      <w:r>
        <w:lastRenderedPageBreak/>
        <w:t>When did Westar begin recording the Energy Efficiency Program costs for WEN and WES in FERC Account 930.2?</w:t>
      </w:r>
      <w:r w:rsidR="004820FA">
        <w:t xml:space="preserve">  </w:t>
      </w:r>
    </w:p>
    <w:p w:rsidR="002A1396" w:rsidRPr="002A1396" w:rsidRDefault="002A1396" w:rsidP="002A1396">
      <w:pPr>
        <w:spacing w:after="240"/>
        <w:rPr>
          <w:color w:val="00B0F0"/>
        </w:rPr>
      </w:pPr>
      <w:r w:rsidRPr="002A1396">
        <w:rPr>
          <w:color w:val="00B0F0"/>
        </w:rPr>
        <w:t xml:space="preserve">Westar began recording Energy Efficiency Program costs for WEN and WES in FERC Account 930.2 in November 2010 </w:t>
      </w:r>
      <w:r w:rsidR="00534BED" w:rsidRPr="002A1396">
        <w:rPr>
          <w:color w:val="00B0F0"/>
        </w:rPr>
        <w:t>commensurate</w:t>
      </w:r>
      <w:r w:rsidRPr="002A1396">
        <w:rPr>
          <w:color w:val="00B0F0"/>
        </w:rPr>
        <w:t xml:space="preserve"> with period prescribed in Docket No. 11-WSEE-032-TAR.</w:t>
      </w:r>
    </w:p>
    <w:p w:rsidR="001E5099" w:rsidRPr="001E5099" w:rsidRDefault="00F72F96" w:rsidP="002A1396">
      <w:pPr>
        <w:pStyle w:val="ListParagraph"/>
        <w:numPr>
          <w:ilvl w:val="2"/>
          <w:numId w:val="1"/>
        </w:numPr>
        <w:spacing w:after="240"/>
        <w:ind w:hanging="360"/>
        <w:contextualSpacing w:val="0"/>
      </w:pPr>
      <w:r>
        <w:t>A detailed explanation with supporting documentation for not excluding the Energy Efficiency Program costs for WEN from the TFR, specifically in reference to the Energy Efficiency discussion reflected on the 2012 FF1, p. 123.6, where the KCC has issued an order to recover those costs through an increase in retail revenues.  Westar is currently recovering 4.466% or approximately $</w:t>
      </w:r>
      <w:r w:rsidR="00655884">
        <w:t>138,000</w:t>
      </w:r>
      <w:r>
        <w:t xml:space="preserve"> of the WEN Energy Efficiency Program costs through the </w:t>
      </w:r>
      <w:r w:rsidR="00655884">
        <w:t>T</w:t>
      </w:r>
      <w:r>
        <w:t xml:space="preserve">FR.  Therefore, the </w:t>
      </w:r>
      <w:r w:rsidR="00655884">
        <w:t>T</w:t>
      </w:r>
      <w:r>
        <w:t>FR “Customers” in total are over-paying $</w:t>
      </w:r>
      <w:r w:rsidR="00655884">
        <w:t>138,000</w:t>
      </w:r>
      <w:r>
        <w:t xml:space="preserve"> in their rates related to WEN Energy Efficiency Program costs and retail customers are being subsidized by receiving a credit of the $</w:t>
      </w:r>
      <w:r w:rsidR="00655884">
        <w:t>138,000</w:t>
      </w:r>
      <w:r>
        <w:t xml:space="preserve"> as a component of the total revenue recovered from the template and credited to retail rates</w:t>
      </w:r>
      <w:r w:rsidR="00655884">
        <w:t>.</w:t>
      </w:r>
      <w:r w:rsidR="004820FA">
        <w:t xml:space="preserve">  </w:t>
      </w:r>
    </w:p>
    <w:p w:rsidR="002A1396" w:rsidRPr="002A1396" w:rsidRDefault="00534BED" w:rsidP="001E5099">
      <w:pPr>
        <w:spacing w:after="240"/>
      </w:pPr>
      <w:r>
        <w:rPr>
          <w:color w:val="00B0F0"/>
        </w:rPr>
        <w:t xml:space="preserve">As indicated in 2.1.a, Westar’s amortization of its Energy Efficiency Program costs to FERC account 930.2 is consistent with </w:t>
      </w:r>
      <w:r w:rsidR="00523F04">
        <w:rPr>
          <w:color w:val="00B0F0"/>
        </w:rPr>
        <w:t xml:space="preserve">the </w:t>
      </w:r>
      <w:r>
        <w:rPr>
          <w:color w:val="00B0F0"/>
        </w:rPr>
        <w:t xml:space="preserve">FERC </w:t>
      </w:r>
      <w:r w:rsidR="00523F04">
        <w:rPr>
          <w:color w:val="00B0F0"/>
        </w:rPr>
        <w:t>Uniform System of Accounts</w:t>
      </w:r>
      <w:r>
        <w:rPr>
          <w:color w:val="00B0F0"/>
        </w:rPr>
        <w:t>.  Upon review, Westar has determined that the costs associated with the Building Operator Certification Program and Energy Efficiency Educational Programs could also be amortized to FERC account</w:t>
      </w:r>
      <w:r w:rsidR="00436381">
        <w:rPr>
          <w:color w:val="00B0F0"/>
        </w:rPr>
        <w:t>s 909 and 906</w:t>
      </w:r>
      <w:r w:rsidR="001E5099">
        <w:rPr>
          <w:color w:val="00B0F0"/>
        </w:rPr>
        <w:t>.</w:t>
      </w:r>
      <w:r>
        <w:rPr>
          <w:color w:val="00B0F0"/>
        </w:rPr>
        <w:t xml:space="preserve">  Beginning on January 1, 2013, Westar will amortize the expenses associated with these two energy efficiency programs to FERC account </w:t>
      </w:r>
      <w:r w:rsidR="00436381">
        <w:rPr>
          <w:color w:val="00B0F0"/>
        </w:rPr>
        <w:t>909 and 906</w:t>
      </w:r>
      <w:r>
        <w:rPr>
          <w:color w:val="00B0F0"/>
        </w:rPr>
        <w:t xml:space="preserve">.  </w:t>
      </w:r>
      <w:r w:rsidR="00523F04">
        <w:rPr>
          <w:color w:val="00B0F0"/>
        </w:rPr>
        <w:t>Based on the requirements of FERC Uniform System of Accounts, the costs associated with the other energy efficiency programs should continue to be amortized to FERC account 930.2 and Westar will continue with that practice in the future.  The Commission approved inclusion of FERC account 930.2 in the TFR formula and Westar is properly placing these costs in that account.</w:t>
      </w:r>
    </w:p>
    <w:p w:rsidR="00655884" w:rsidRPr="001E5099" w:rsidRDefault="00F72F96" w:rsidP="00655884">
      <w:pPr>
        <w:pStyle w:val="ListParagraph"/>
        <w:numPr>
          <w:ilvl w:val="2"/>
          <w:numId w:val="1"/>
        </w:numPr>
        <w:spacing w:after="240"/>
        <w:ind w:hanging="360"/>
        <w:contextualSpacing w:val="0"/>
      </w:pPr>
      <w:r>
        <w:t xml:space="preserve">A detailed explanation with supporting documentation for not excluding the Energy Efficiency Program costs for WES from the </w:t>
      </w:r>
      <w:r w:rsidR="00655884">
        <w:t>T</w:t>
      </w:r>
      <w:r>
        <w:t xml:space="preserve">FR, specifically in reference to the Energy Efficiency discussion reflected on the 2012 FF1, p. 123.7, where the KCC has issued an order to recover those costs through an increase in retail revenues.  Westar is currently recovering </w:t>
      </w:r>
      <w:r w:rsidR="00655884">
        <w:t>4</w:t>
      </w:r>
      <w:r>
        <w:t>.</w:t>
      </w:r>
      <w:r w:rsidR="00655884">
        <w:t>46</w:t>
      </w:r>
      <w:r>
        <w:t>6% or approximately $</w:t>
      </w:r>
      <w:r w:rsidR="00655884">
        <w:t>138,000</w:t>
      </w:r>
      <w:r>
        <w:t xml:space="preserve"> of the WES Energy Efficiency Program costs through the </w:t>
      </w:r>
      <w:r w:rsidR="00655884">
        <w:t>TFR.  Therefore, the T</w:t>
      </w:r>
      <w:r>
        <w:t>FR “Customers” in total are over-paying $</w:t>
      </w:r>
      <w:r w:rsidR="00655884">
        <w:t>138,000</w:t>
      </w:r>
      <w:r>
        <w:t xml:space="preserve"> in their rates related to WES Energy Efficiency Program costs and retail customers are being subsidized by receiving a credit of the $</w:t>
      </w:r>
      <w:r w:rsidR="00655884">
        <w:t>138,000</w:t>
      </w:r>
      <w:r>
        <w:t xml:space="preserve"> as a component of the total revenue recovered from the template and credited to retail rates.</w:t>
      </w:r>
      <w:r w:rsidR="004820FA">
        <w:t xml:space="preserve">  </w:t>
      </w:r>
    </w:p>
    <w:p w:rsidR="001E5099" w:rsidRDefault="001E5099" w:rsidP="001E5099">
      <w:pPr>
        <w:spacing w:after="240"/>
      </w:pPr>
      <w:r w:rsidRPr="001E5099">
        <w:rPr>
          <w:color w:val="00B0F0"/>
        </w:rPr>
        <w:t>See response in 2.1.</w:t>
      </w:r>
      <w:r w:rsidR="00523F04">
        <w:rPr>
          <w:color w:val="00B0F0"/>
        </w:rPr>
        <w:t>c</w:t>
      </w:r>
      <w:r w:rsidRPr="001E5099">
        <w:rPr>
          <w:color w:val="00B0F0"/>
        </w:rPr>
        <w:t>.</w:t>
      </w:r>
    </w:p>
    <w:p w:rsidR="00F60F28" w:rsidRDefault="00F60F28" w:rsidP="00F60F28">
      <w:pPr>
        <w:pStyle w:val="ListParagraph"/>
        <w:spacing w:after="240"/>
        <w:ind w:left="1440"/>
      </w:pPr>
    </w:p>
    <w:p w:rsidR="001E3856" w:rsidRPr="00386026" w:rsidRDefault="00AB5823" w:rsidP="001E3856">
      <w:pPr>
        <w:pStyle w:val="ListParagraph"/>
        <w:numPr>
          <w:ilvl w:val="1"/>
          <w:numId w:val="1"/>
        </w:numPr>
        <w:spacing w:after="240"/>
        <w:contextualSpacing w:val="0"/>
      </w:pPr>
      <w:r>
        <w:t xml:space="preserve">In review of Worksheet A-10 – Wages and Salaries, the amounts for Wolf Creek Form 1 354.18.b </w:t>
      </w:r>
      <w:r w:rsidR="00CD2AFC">
        <w:t xml:space="preserve">on line 1, column (c) </w:t>
      </w:r>
      <w:r>
        <w:t>appear to be identical to the 2011 amounts.  P</w:t>
      </w:r>
      <w:r w:rsidR="00F60F28">
        <w:t>lease provide</w:t>
      </w:r>
      <w:r>
        <w:t xml:space="preserve"> supporting documentation that the Wolf Creek W&amp;S amounts are truly the 2012 amounts.</w:t>
      </w:r>
      <w:r w:rsidR="00F60F28">
        <w:t xml:space="preserve"> </w:t>
      </w:r>
      <w:r w:rsidR="00453DC6">
        <w:t xml:space="preserve"> </w:t>
      </w:r>
    </w:p>
    <w:p w:rsidR="00386026" w:rsidRPr="00386026" w:rsidRDefault="00386026" w:rsidP="00386026">
      <w:pPr>
        <w:spacing w:after="240"/>
        <w:rPr>
          <w:color w:val="00B0F0"/>
        </w:rPr>
      </w:pPr>
      <w:r>
        <w:rPr>
          <w:color w:val="00B0F0"/>
        </w:rPr>
        <w:lastRenderedPageBreak/>
        <w:t>The Wolf Creek Form 1 page 354 was incorrectly filed with the 2</w:t>
      </w:r>
      <w:r w:rsidR="00DA76B4">
        <w:rPr>
          <w:color w:val="00B0F0"/>
        </w:rPr>
        <w:t xml:space="preserve">011 data.  This will be corrected in the 2014 Westar ATRR that will be filed October 15, 2013.  </w:t>
      </w:r>
      <w:r w:rsidR="005F1F8C">
        <w:rPr>
          <w:color w:val="00B0F0"/>
        </w:rPr>
        <w:t>(See the attached updated Form 1)</w:t>
      </w:r>
    </w:p>
    <w:p w:rsidR="007C4EA7" w:rsidRDefault="007C4EA7" w:rsidP="007C4EA7">
      <w:pPr>
        <w:jc w:val="center"/>
        <w:rPr>
          <w:b/>
        </w:rPr>
      </w:pPr>
    </w:p>
    <w:p w:rsidR="007C4EA7" w:rsidRPr="00B073F8" w:rsidRDefault="007C4EA7" w:rsidP="00C37956">
      <w:pPr>
        <w:pStyle w:val="ListParagraph"/>
        <w:numPr>
          <w:ilvl w:val="0"/>
          <w:numId w:val="6"/>
        </w:numPr>
        <w:spacing w:after="240"/>
        <w:contextualSpacing w:val="0"/>
        <w:rPr>
          <w:b/>
          <w:u w:val="single"/>
        </w:rPr>
      </w:pPr>
      <w:r>
        <w:rPr>
          <w:b/>
          <w:u w:val="single"/>
        </w:rPr>
        <w:t>Worksheet</w:t>
      </w:r>
      <w:r w:rsidRPr="00B073F8">
        <w:rPr>
          <w:b/>
          <w:u w:val="single"/>
        </w:rPr>
        <w:t xml:space="preserve"> </w:t>
      </w:r>
      <w:r>
        <w:rPr>
          <w:b/>
          <w:u w:val="single"/>
        </w:rPr>
        <w:t>A-9 – Actual Base Plan Funded Plant</w:t>
      </w:r>
      <w:r w:rsidRPr="007C4EA7">
        <w:rPr>
          <w:b/>
          <w:u w:val="single"/>
        </w:rPr>
        <w:t xml:space="preserve"> </w:t>
      </w:r>
    </w:p>
    <w:p w:rsidR="00C37956" w:rsidRPr="00C37956" w:rsidRDefault="00C37956" w:rsidP="00C37956">
      <w:pPr>
        <w:pStyle w:val="ListParagraph"/>
        <w:numPr>
          <w:ilvl w:val="0"/>
          <w:numId w:val="10"/>
        </w:numPr>
        <w:spacing w:after="240"/>
        <w:contextualSpacing w:val="0"/>
        <w:rPr>
          <w:vanish/>
        </w:rPr>
      </w:pPr>
    </w:p>
    <w:p w:rsidR="00C37956" w:rsidRPr="00C37956" w:rsidRDefault="00C37956" w:rsidP="00C37956">
      <w:pPr>
        <w:pStyle w:val="ListParagraph"/>
        <w:numPr>
          <w:ilvl w:val="0"/>
          <w:numId w:val="10"/>
        </w:numPr>
        <w:spacing w:after="240"/>
        <w:contextualSpacing w:val="0"/>
        <w:rPr>
          <w:vanish/>
        </w:rPr>
      </w:pPr>
    </w:p>
    <w:p w:rsidR="00C37956" w:rsidRPr="00C37956" w:rsidRDefault="00C37956" w:rsidP="00C37956">
      <w:pPr>
        <w:pStyle w:val="ListParagraph"/>
        <w:numPr>
          <w:ilvl w:val="0"/>
          <w:numId w:val="10"/>
        </w:numPr>
        <w:spacing w:after="240"/>
        <w:contextualSpacing w:val="0"/>
        <w:rPr>
          <w:vanish/>
        </w:rPr>
      </w:pPr>
    </w:p>
    <w:p w:rsidR="007C4EA7" w:rsidRPr="000D5A99" w:rsidRDefault="007C4EA7" w:rsidP="00C37956">
      <w:pPr>
        <w:pStyle w:val="ListParagraph"/>
        <w:numPr>
          <w:ilvl w:val="1"/>
          <w:numId w:val="10"/>
        </w:numPr>
        <w:spacing w:after="240"/>
        <w:contextualSpacing w:val="0"/>
      </w:pPr>
      <w:r>
        <w:t xml:space="preserve">In review of the Base Plan Funded Plant projects, Project “Line: </w:t>
      </w:r>
      <w:r w:rsidR="00A71E2C">
        <w:t xml:space="preserve">Tap </w:t>
      </w:r>
      <w:proofErr w:type="spellStart"/>
      <w:proofErr w:type="gramStart"/>
      <w:r w:rsidR="00A71E2C">
        <w:t>Str</w:t>
      </w:r>
      <w:proofErr w:type="spellEnd"/>
      <w:proofErr w:type="gramEnd"/>
      <w:r w:rsidR="00A71E2C">
        <w:t xml:space="preserve"> </w:t>
      </w:r>
      <w:proofErr w:type="spellStart"/>
      <w:r w:rsidR="00A71E2C">
        <w:t>Crk</w:t>
      </w:r>
      <w:proofErr w:type="spellEnd"/>
      <w:r w:rsidR="00A71E2C">
        <w:t>-Craig 345kV line into New 87</w:t>
      </w:r>
      <w:r w:rsidR="00A71E2C" w:rsidRPr="00A71E2C">
        <w:rPr>
          <w:vertAlign w:val="superscript"/>
        </w:rPr>
        <w:t>th</w:t>
      </w:r>
      <w:r w:rsidR="00A71E2C">
        <w:t xml:space="preserve"> Street Sub</w:t>
      </w:r>
      <w:r>
        <w:t xml:space="preserve">” PID. </w:t>
      </w:r>
      <w:r w:rsidR="00A71E2C">
        <w:t>1022</w:t>
      </w:r>
      <w:r>
        <w:t xml:space="preserve"> (UID.1</w:t>
      </w:r>
      <w:r w:rsidR="00A71E2C">
        <w:t>1344</w:t>
      </w:r>
      <w:r>
        <w:t>) P.</w:t>
      </w:r>
      <w:r w:rsidR="00A71E2C">
        <w:t>110901</w:t>
      </w:r>
      <w:r>
        <w:t>, please provide a detailed explanation for the change in the 201</w:t>
      </w:r>
      <w:r w:rsidR="00A71E2C">
        <w:t>1</w:t>
      </w:r>
      <w:r>
        <w:t xml:space="preserve"> amount </w:t>
      </w:r>
      <w:r w:rsidR="001F39FF">
        <w:t>of $</w:t>
      </w:r>
      <w:r w:rsidR="00A71E2C">
        <w:t>0</w:t>
      </w:r>
      <w:r w:rsidR="001F39FF">
        <w:t xml:space="preserve"> shown from the 201</w:t>
      </w:r>
      <w:r w:rsidR="00A71E2C">
        <w:t>1</w:t>
      </w:r>
      <w:r w:rsidR="001F39FF">
        <w:t xml:space="preserve"> amount of </w:t>
      </w:r>
      <w:r w:rsidR="00A71E2C">
        <w:t>$4,103,214</w:t>
      </w:r>
      <w:r w:rsidR="001F39FF">
        <w:t xml:space="preserve"> which was reflected in the prior year’s TFR True-Up Update</w:t>
      </w:r>
      <w:r w:rsidR="00860CED">
        <w:t xml:space="preserve"> and the change in the related Accumulated Depreciation amounts</w:t>
      </w:r>
      <w:r w:rsidR="001F39FF">
        <w:t>, including supporting documentation.</w:t>
      </w:r>
      <w:r w:rsidR="00F214EA">
        <w:t xml:space="preserve">  </w:t>
      </w:r>
    </w:p>
    <w:p w:rsidR="000D5A99" w:rsidRDefault="000D5A99" w:rsidP="000D5A99">
      <w:pPr>
        <w:spacing w:after="240"/>
        <w:rPr>
          <w:color w:val="00B0F0"/>
        </w:rPr>
      </w:pPr>
      <w:r>
        <w:rPr>
          <w:color w:val="00B0F0"/>
        </w:rPr>
        <w:t>The three projects listed below have the same Westar Project ID of 110901.  The amount of $4,103,214 was related to a work request that is associated with project “Sub/XFR:  Build new 87</w:t>
      </w:r>
      <w:r w:rsidRPr="000D5A99">
        <w:rPr>
          <w:color w:val="00B0F0"/>
          <w:vertAlign w:val="superscript"/>
        </w:rPr>
        <w:t>th</w:t>
      </w:r>
      <w:r>
        <w:rPr>
          <w:color w:val="00B0F0"/>
        </w:rPr>
        <w:t xml:space="preserve"> St. Sub and install 345/115/12 </w:t>
      </w:r>
      <w:proofErr w:type="spellStart"/>
      <w:proofErr w:type="gramStart"/>
      <w:r>
        <w:rPr>
          <w:color w:val="00B0F0"/>
        </w:rPr>
        <w:t>kv</w:t>
      </w:r>
      <w:proofErr w:type="spellEnd"/>
      <w:proofErr w:type="gramEnd"/>
      <w:r>
        <w:rPr>
          <w:color w:val="00B0F0"/>
        </w:rPr>
        <w:t xml:space="preserve">” PID.1022 (UID. 11346) P.110901.  The $4,103,214 was incorrectly applied to the project </w:t>
      </w:r>
      <w:r w:rsidRPr="000D5A99">
        <w:rPr>
          <w:color w:val="00B0F0"/>
        </w:rPr>
        <w:t xml:space="preserve">“Line: Tap </w:t>
      </w:r>
      <w:proofErr w:type="spellStart"/>
      <w:proofErr w:type="gramStart"/>
      <w:r w:rsidRPr="000D5A99">
        <w:rPr>
          <w:color w:val="00B0F0"/>
        </w:rPr>
        <w:t>Str</w:t>
      </w:r>
      <w:proofErr w:type="spellEnd"/>
      <w:proofErr w:type="gramEnd"/>
      <w:r w:rsidRPr="000D5A99">
        <w:rPr>
          <w:color w:val="00B0F0"/>
        </w:rPr>
        <w:t xml:space="preserve"> </w:t>
      </w:r>
      <w:proofErr w:type="spellStart"/>
      <w:r w:rsidRPr="000D5A99">
        <w:rPr>
          <w:color w:val="00B0F0"/>
        </w:rPr>
        <w:t>Crk</w:t>
      </w:r>
      <w:proofErr w:type="spellEnd"/>
      <w:r w:rsidRPr="000D5A99">
        <w:rPr>
          <w:color w:val="00B0F0"/>
        </w:rPr>
        <w:t>-Craig 345kV line into New 87</w:t>
      </w:r>
      <w:r w:rsidRPr="000D5A99">
        <w:rPr>
          <w:color w:val="00B0F0"/>
          <w:vertAlign w:val="superscript"/>
        </w:rPr>
        <w:t>th</w:t>
      </w:r>
      <w:r w:rsidRPr="000D5A99">
        <w:rPr>
          <w:color w:val="00B0F0"/>
        </w:rPr>
        <w:t xml:space="preserve"> Street Sub” PID. </w:t>
      </w:r>
      <w:proofErr w:type="gramStart"/>
      <w:r w:rsidRPr="000D5A99">
        <w:rPr>
          <w:color w:val="00B0F0"/>
        </w:rPr>
        <w:t>1022 (UID.11344) P.110901</w:t>
      </w:r>
      <w:r>
        <w:rPr>
          <w:color w:val="00B0F0"/>
        </w:rPr>
        <w:t>.</w:t>
      </w:r>
      <w:proofErr w:type="gramEnd"/>
      <w:r>
        <w:rPr>
          <w:color w:val="00B0F0"/>
        </w:rPr>
        <w:t xml:space="preserve">  This was corrected in the June filing.  </w:t>
      </w:r>
    </w:p>
    <w:p w:rsidR="000D5A99" w:rsidRDefault="000D5A99" w:rsidP="000D5A99">
      <w:pPr>
        <w:pStyle w:val="ListParagraph"/>
        <w:numPr>
          <w:ilvl w:val="0"/>
          <w:numId w:val="12"/>
        </w:numPr>
        <w:spacing w:after="240"/>
        <w:rPr>
          <w:color w:val="00B0F0"/>
        </w:rPr>
      </w:pPr>
      <w:r>
        <w:rPr>
          <w:color w:val="00B0F0"/>
        </w:rPr>
        <w:t xml:space="preserve">1022.11344- P.110901- </w:t>
      </w:r>
      <w:r w:rsidRPr="000D5A99">
        <w:rPr>
          <w:color w:val="00B0F0"/>
        </w:rPr>
        <w:t xml:space="preserve">“Line: Tap </w:t>
      </w:r>
      <w:proofErr w:type="spellStart"/>
      <w:r w:rsidRPr="000D5A99">
        <w:rPr>
          <w:color w:val="00B0F0"/>
        </w:rPr>
        <w:t>Str</w:t>
      </w:r>
      <w:proofErr w:type="spellEnd"/>
      <w:r w:rsidRPr="000D5A99">
        <w:rPr>
          <w:color w:val="00B0F0"/>
        </w:rPr>
        <w:t xml:space="preserve"> </w:t>
      </w:r>
      <w:proofErr w:type="spellStart"/>
      <w:r w:rsidRPr="000D5A99">
        <w:rPr>
          <w:color w:val="00B0F0"/>
        </w:rPr>
        <w:t>Crk</w:t>
      </w:r>
      <w:proofErr w:type="spellEnd"/>
      <w:r w:rsidRPr="000D5A99">
        <w:rPr>
          <w:color w:val="00B0F0"/>
        </w:rPr>
        <w:t>-Craig 345kV line into New 87</w:t>
      </w:r>
      <w:r w:rsidRPr="000D5A99">
        <w:rPr>
          <w:color w:val="00B0F0"/>
          <w:vertAlign w:val="superscript"/>
        </w:rPr>
        <w:t>th</w:t>
      </w:r>
      <w:r w:rsidRPr="000D5A99">
        <w:rPr>
          <w:color w:val="00B0F0"/>
        </w:rPr>
        <w:t xml:space="preserve"> Street Sub”</w:t>
      </w:r>
    </w:p>
    <w:p w:rsidR="000D5A99" w:rsidRPr="000D5A99" w:rsidRDefault="000D5A99" w:rsidP="000D5A99">
      <w:pPr>
        <w:pStyle w:val="ListParagraph"/>
        <w:numPr>
          <w:ilvl w:val="0"/>
          <w:numId w:val="12"/>
        </w:numPr>
        <w:spacing w:after="240"/>
        <w:rPr>
          <w:color w:val="00B0F0"/>
        </w:rPr>
      </w:pPr>
      <w:r>
        <w:rPr>
          <w:color w:val="00B0F0"/>
        </w:rPr>
        <w:t xml:space="preserve">1022.11345- P.110901- </w:t>
      </w:r>
      <w:r w:rsidRPr="000D5A99">
        <w:rPr>
          <w:color w:val="00B0F0"/>
        </w:rPr>
        <w:t>“</w:t>
      </w:r>
      <w:r w:rsidRPr="000D5A99">
        <w:rPr>
          <w:rFonts w:ascii="Arial" w:eastAsia="Times New Roman" w:hAnsi="Arial" w:cs="Arial"/>
          <w:color w:val="00B0F0"/>
          <w:sz w:val="20"/>
          <w:szCs w:val="20"/>
          <w:lang w:bidi="ar-SA"/>
        </w:rPr>
        <w:t>Line:  Tap 95th &amp; Waverly - Monticello 115 kV line into New 87th St Sub”</w:t>
      </w:r>
    </w:p>
    <w:p w:rsidR="000D5A99" w:rsidRPr="000D5A99" w:rsidRDefault="000D5A99" w:rsidP="000D5A99">
      <w:pPr>
        <w:pStyle w:val="ListParagraph"/>
        <w:numPr>
          <w:ilvl w:val="0"/>
          <w:numId w:val="12"/>
        </w:numPr>
        <w:spacing w:after="240"/>
        <w:rPr>
          <w:color w:val="00B0F0"/>
        </w:rPr>
      </w:pPr>
      <w:r>
        <w:rPr>
          <w:rFonts w:ascii="Arial" w:eastAsia="Times New Roman" w:hAnsi="Arial" w:cs="Arial"/>
          <w:color w:val="00B0F0"/>
          <w:sz w:val="20"/>
          <w:szCs w:val="20"/>
          <w:lang w:bidi="ar-SA"/>
        </w:rPr>
        <w:t xml:space="preserve">1022.11346- P.110901- </w:t>
      </w:r>
      <w:r>
        <w:rPr>
          <w:color w:val="00B0F0"/>
        </w:rPr>
        <w:t>“Sub/XFR:  Build new 87</w:t>
      </w:r>
      <w:r w:rsidRPr="000D5A99">
        <w:rPr>
          <w:color w:val="00B0F0"/>
          <w:vertAlign w:val="superscript"/>
        </w:rPr>
        <w:t>th</w:t>
      </w:r>
      <w:r>
        <w:rPr>
          <w:color w:val="00B0F0"/>
        </w:rPr>
        <w:t xml:space="preserve"> St. Sub and install 345/115/12 </w:t>
      </w:r>
      <w:proofErr w:type="spellStart"/>
      <w:r>
        <w:rPr>
          <w:color w:val="00B0F0"/>
        </w:rPr>
        <w:t>kv</w:t>
      </w:r>
      <w:proofErr w:type="spellEnd"/>
      <w:r>
        <w:rPr>
          <w:color w:val="00B0F0"/>
        </w:rPr>
        <w:t>”</w:t>
      </w:r>
    </w:p>
    <w:p w:rsidR="00CE0A9A" w:rsidRDefault="00CE0A9A" w:rsidP="00CE0A9A">
      <w:pPr>
        <w:jc w:val="center"/>
        <w:rPr>
          <w:b/>
        </w:rPr>
      </w:pPr>
    </w:p>
    <w:p w:rsidR="00CE0A9A" w:rsidRPr="00B073F8" w:rsidRDefault="00CE0A9A" w:rsidP="00CE0A9A">
      <w:pPr>
        <w:pStyle w:val="ListParagraph"/>
        <w:numPr>
          <w:ilvl w:val="0"/>
          <w:numId w:val="6"/>
        </w:numPr>
        <w:spacing w:after="240"/>
        <w:contextualSpacing w:val="0"/>
        <w:rPr>
          <w:b/>
          <w:u w:val="single"/>
        </w:rPr>
      </w:pPr>
      <w:r>
        <w:rPr>
          <w:b/>
          <w:u w:val="single"/>
        </w:rPr>
        <w:t>Worksheet</w:t>
      </w:r>
      <w:r w:rsidRPr="00B073F8">
        <w:rPr>
          <w:b/>
          <w:u w:val="single"/>
        </w:rPr>
        <w:t xml:space="preserve"> </w:t>
      </w:r>
      <w:r w:rsidR="00E26A29">
        <w:rPr>
          <w:b/>
          <w:u w:val="single"/>
        </w:rPr>
        <w:t>BPF</w:t>
      </w:r>
      <w:r>
        <w:rPr>
          <w:b/>
          <w:u w:val="single"/>
        </w:rPr>
        <w:t xml:space="preserve"> – Base Plan Funded </w:t>
      </w:r>
      <w:r w:rsidR="00E26A29">
        <w:rPr>
          <w:b/>
          <w:u w:val="single"/>
        </w:rPr>
        <w:t>(BPF) Summary</w:t>
      </w:r>
      <w:r w:rsidRPr="007C4EA7">
        <w:rPr>
          <w:b/>
          <w:u w:val="single"/>
        </w:rPr>
        <w:t xml:space="preserve"> </w:t>
      </w:r>
    </w:p>
    <w:p w:rsidR="00CE0A9A" w:rsidRPr="00CE0A9A" w:rsidRDefault="00CE0A9A" w:rsidP="00CE0A9A">
      <w:pPr>
        <w:pStyle w:val="ListParagraph"/>
        <w:numPr>
          <w:ilvl w:val="0"/>
          <w:numId w:val="10"/>
        </w:numPr>
        <w:spacing w:after="240"/>
        <w:contextualSpacing w:val="0"/>
        <w:rPr>
          <w:vanish/>
        </w:rPr>
      </w:pPr>
    </w:p>
    <w:p w:rsidR="00E26A29" w:rsidRPr="00E26A29" w:rsidRDefault="00E26A29" w:rsidP="00E26A29">
      <w:pPr>
        <w:pStyle w:val="ListParagraph"/>
        <w:numPr>
          <w:ilvl w:val="0"/>
          <w:numId w:val="1"/>
        </w:numPr>
        <w:spacing w:after="240"/>
        <w:contextualSpacing w:val="0"/>
        <w:rPr>
          <w:vanish/>
        </w:rPr>
      </w:pPr>
    </w:p>
    <w:p w:rsidR="00E26A29" w:rsidRPr="00E26A29" w:rsidRDefault="00E26A29" w:rsidP="00E26A29">
      <w:pPr>
        <w:pStyle w:val="ListParagraph"/>
        <w:numPr>
          <w:ilvl w:val="0"/>
          <w:numId w:val="1"/>
        </w:numPr>
        <w:spacing w:after="240"/>
        <w:contextualSpacing w:val="0"/>
        <w:rPr>
          <w:vanish/>
        </w:rPr>
      </w:pPr>
    </w:p>
    <w:p w:rsidR="00E26A29" w:rsidRPr="000D5A99" w:rsidRDefault="00860CED" w:rsidP="00E26A29">
      <w:pPr>
        <w:pStyle w:val="ListParagraph"/>
        <w:numPr>
          <w:ilvl w:val="1"/>
          <w:numId w:val="1"/>
        </w:numPr>
        <w:spacing w:after="240"/>
        <w:contextualSpacing w:val="0"/>
      </w:pPr>
      <w:r>
        <w:t>In review</w:t>
      </w:r>
      <w:r w:rsidR="00F63D13">
        <w:t xml:space="preserve"> </w:t>
      </w:r>
      <w:r w:rsidR="00E26A29">
        <w:t xml:space="preserve">of the Worksheet </w:t>
      </w:r>
      <w:r w:rsidR="00F63D13">
        <w:t xml:space="preserve">BPF </w:t>
      </w:r>
      <w:r w:rsidR="00E26A29">
        <w:t>– Base Plan Funded (BPF), please address the following:</w:t>
      </w:r>
      <w:r w:rsidR="00E26A29" w:rsidRPr="00E26A29">
        <w:t xml:space="preserve"> </w:t>
      </w:r>
      <w:r w:rsidR="00571F53">
        <w:t xml:space="preserve">  </w:t>
      </w:r>
    </w:p>
    <w:p w:rsidR="000D5A99" w:rsidRPr="000D5A99" w:rsidRDefault="000D5A99" w:rsidP="000D5A99">
      <w:pPr>
        <w:spacing w:after="240"/>
        <w:rPr>
          <w:color w:val="00B0F0"/>
        </w:rPr>
      </w:pPr>
      <w:r>
        <w:rPr>
          <w:color w:val="00B0F0"/>
        </w:rPr>
        <w:t>The Base Plan Funded (BPF) Summary tab is not completed until the October 15</w:t>
      </w:r>
      <w:r w:rsidRPr="000D5A99">
        <w:rPr>
          <w:color w:val="00B0F0"/>
          <w:vertAlign w:val="superscript"/>
        </w:rPr>
        <w:t>th</w:t>
      </w:r>
      <w:r>
        <w:rPr>
          <w:color w:val="00B0F0"/>
        </w:rPr>
        <w:t xml:space="preserve"> filing.  The only item that was updated for the June 15, 2013 filing was page 2 lines 52-113.</w:t>
      </w:r>
    </w:p>
    <w:p w:rsidR="00E26A29" w:rsidRDefault="00E26A29" w:rsidP="00E26A29">
      <w:pPr>
        <w:pStyle w:val="ListParagraph"/>
        <w:numPr>
          <w:ilvl w:val="2"/>
          <w:numId w:val="1"/>
        </w:numPr>
        <w:spacing w:after="240"/>
        <w:ind w:hanging="360"/>
        <w:contextualSpacing w:val="0"/>
      </w:pPr>
      <w:r>
        <w:t>Page 1, Line 24 reflects “#DIV/0!</w:t>
      </w:r>
      <w:proofErr w:type="gramStart"/>
      <w:r>
        <w:t>”;</w:t>
      </w:r>
      <w:proofErr w:type="gramEnd"/>
    </w:p>
    <w:p w:rsidR="00E26A29" w:rsidRDefault="00E26A29" w:rsidP="00E26A29">
      <w:pPr>
        <w:pStyle w:val="ListParagraph"/>
        <w:numPr>
          <w:ilvl w:val="2"/>
          <w:numId w:val="1"/>
        </w:numPr>
        <w:spacing w:after="240"/>
        <w:ind w:hanging="360"/>
        <w:contextualSpacing w:val="0"/>
      </w:pPr>
      <w:r>
        <w:t>Page</w:t>
      </w:r>
      <w:r w:rsidR="00A37941">
        <w:t>s</w:t>
      </w:r>
      <w:r>
        <w:t xml:space="preserve"> </w:t>
      </w:r>
      <w:r w:rsidR="00B20604">
        <w:t>2</w:t>
      </w:r>
      <w:r w:rsidR="005204D3">
        <w:t>,</w:t>
      </w:r>
      <w:r w:rsidR="00A37941">
        <w:t xml:space="preserve"> </w:t>
      </w:r>
      <w:r w:rsidR="005204D3">
        <w:t xml:space="preserve">3 </w:t>
      </w:r>
      <w:r w:rsidR="00A37941">
        <w:t xml:space="preserve">and </w:t>
      </w:r>
      <w:r w:rsidR="005204D3">
        <w:t>4</w:t>
      </w:r>
      <w:r w:rsidR="00B20604">
        <w:t xml:space="preserve">, Columns “p” and “q” </w:t>
      </w:r>
      <w:r w:rsidR="00A37941">
        <w:t xml:space="preserve">for all items </w:t>
      </w:r>
      <w:r w:rsidR="00B20604">
        <w:t>reflect “#DIV/0!</w:t>
      </w:r>
      <w:proofErr w:type="gramStart"/>
      <w:r w:rsidR="00B20604">
        <w:t>”</w:t>
      </w:r>
      <w:r>
        <w:t>;</w:t>
      </w:r>
      <w:proofErr w:type="gramEnd"/>
    </w:p>
    <w:p w:rsidR="00F56BB2" w:rsidRDefault="00A37941" w:rsidP="00E26A29">
      <w:pPr>
        <w:pStyle w:val="ListParagraph"/>
        <w:numPr>
          <w:ilvl w:val="2"/>
          <w:numId w:val="1"/>
        </w:numPr>
        <w:spacing w:after="240"/>
        <w:ind w:hanging="360"/>
        <w:contextualSpacing w:val="0"/>
      </w:pPr>
      <w:r>
        <w:t>Page 3, items P.021105 and P.029160 reflect “#DIV/0!” in multiple columns;</w:t>
      </w:r>
    </w:p>
    <w:p w:rsidR="00A37941" w:rsidRDefault="00A37941" w:rsidP="00E26A29">
      <w:pPr>
        <w:pStyle w:val="ListParagraph"/>
        <w:numPr>
          <w:ilvl w:val="2"/>
          <w:numId w:val="1"/>
        </w:numPr>
        <w:spacing w:after="240"/>
        <w:ind w:hanging="360"/>
        <w:contextualSpacing w:val="0"/>
      </w:pPr>
      <w:r>
        <w:t>Page 3, Lines T2 and T3 reflect</w:t>
      </w:r>
      <w:r w:rsidR="00867EAA">
        <w:t xml:space="preserve"> “#DIV/0!” in multiple columns;</w:t>
      </w:r>
    </w:p>
    <w:p w:rsidR="00867EAA" w:rsidRDefault="005204D3" w:rsidP="00E26A29">
      <w:pPr>
        <w:pStyle w:val="ListParagraph"/>
        <w:numPr>
          <w:ilvl w:val="2"/>
          <w:numId w:val="1"/>
        </w:numPr>
        <w:spacing w:after="240"/>
        <w:ind w:hanging="360"/>
        <w:contextualSpacing w:val="0"/>
      </w:pPr>
      <w:r>
        <w:t xml:space="preserve">Verify that Worksheet </w:t>
      </w:r>
      <w:r w:rsidR="00867EAA">
        <w:t xml:space="preserve">BPF </w:t>
      </w:r>
      <w:r>
        <w:t xml:space="preserve">Pages 2 and 3 are </w:t>
      </w:r>
      <w:r w:rsidR="00867EAA">
        <w:t>properly functioning; and</w:t>
      </w:r>
    </w:p>
    <w:p w:rsidR="00E26A29" w:rsidRPr="00933B57" w:rsidRDefault="00867EAA" w:rsidP="00867EAA">
      <w:pPr>
        <w:pStyle w:val="ListParagraph"/>
        <w:numPr>
          <w:ilvl w:val="2"/>
          <w:numId w:val="1"/>
        </w:numPr>
        <w:spacing w:after="240"/>
        <w:ind w:hanging="360"/>
        <w:contextualSpacing w:val="0"/>
      </w:pPr>
      <w:proofErr w:type="gramStart"/>
      <w:r>
        <w:t>Verify</w:t>
      </w:r>
      <w:proofErr w:type="gramEnd"/>
      <w:r>
        <w:t xml:space="preserve"> Worksheet P4 – Projected Transmission Plant Related to Base Plan Funded Projects is properly functioning.</w:t>
      </w:r>
    </w:p>
    <w:sectPr w:rsidR="00E26A29" w:rsidRPr="00933B57" w:rsidSect="00EB6B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E7" w:rsidRDefault="000C74E7" w:rsidP="006328EA">
      <w:r>
        <w:separator/>
      </w:r>
    </w:p>
  </w:endnote>
  <w:endnote w:type="continuationSeparator" w:id="0">
    <w:p w:rsidR="000C74E7" w:rsidRDefault="000C74E7" w:rsidP="00632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95"/>
      <w:docPartObj>
        <w:docPartGallery w:val="Page Numbers (Bottom of Page)"/>
        <w:docPartUnique/>
      </w:docPartObj>
    </w:sdtPr>
    <w:sdtContent>
      <w:p w:rsidR="000C74E7" w:rsidRDefault="00D209DB">
        <w:pPr>
          <w:pStyle w:val="Footer"/>
          <w:jc w:val="center"/>
        </w:pPr>
        <w:fldSimple w:instr=" PAGE   \* MERGEFORMAT ">
          <w:r w:rsidR="00830653">
            <w:rPr>
              <w:noProof/>
            </w:rPr>
            <w:t>1</w:t>
          </w:r>
        </w:fldSimple>
      </w:p>
    </w:sdtContent>
  </w:sdt>
  <w:p w:rsidR="000C74E7" w:rsidRDefault="000C7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E7" w:rsidRDefault="000C74E7" w:rsidP="006328EA">
      <w:r>
        <w:separator/>
      </w:r>
    </w:p>
  </w:footnote>
  <w:footnote w:type="continuationSeparator" w:id="0">
    <w:p w:rsidR="000C74E7" w:rsidRDefault="000C74E7" w:rsidP="00632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E7" w:rsidRDefault="000C7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084"/>
    <w:multiLevelType w:val="hybridMultilevel"/>
    <w:tmpl w:val="F4C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1E26"/>
    <w:multiLevelType w:val="hybridMultilevel"/>
    <w:tmpl w:val="BDF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4568A"/>
    <w:multiLevelType w:val="hybridMultilevel"/>
    <w:tmpl w:val="7146F4E0"/>
    <w:lvl w:ilvl="0" w:tplc="EF02B28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01CE8"/>
    <w:multiLevelType w:val="multilevel"/>
    <w:tmpl w:val="296690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ED3195"/>
    <w:multiLevelType w:val="hybridMultilevel"/>
    <w:tmpl w:val="C9043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801993"/>
    <w:multiLevelType w:val="hybridMultilevel"/>
    <w:tmpl w:val="4544BD7E"/>
    <w:lvl w:ilvl="0" w:tplc="092088A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1306CE"/>
    <w:multiLevelType w:val="multilevel"/>
    <w:tmpl w:val="0728C882"/>
    <w:lvl w:ilvl="0">
      <w:start w:val="2"/>
      <w:numFmt w:val="decimal"/>
      <w:lvlText w:val="%1.0"/>
      <w:lvlJc w:val="left"/>
      <w:pPr>
        <w:ind w:left="720" w:hanging="720"/>
      </w:pPr>
      <w:rPr>
        <w:rFonts w:ascii="Times New Roman Bold" w:hAnsi="Times New Roman Bold" w:hint="default"/>
        <w:b/>
        <w:i w:val="0"/>
        <w:sz w:val="24"/>
      </w:rPr>
    </w:lvl>
    <w:lvl w:ilvl="1">
      <w:start w:val="1"/>
      <w:numFmt w:val="decimal"/>
      <w:lvlText w:val="%1.%2"/>
      <w:lvlJc w:val="left"/>
      <w:pPr>
        <w:ind w:left="720" w:hanging="720"/>
      </w:pPr>
      <w:rPr>
        <w:rFonts w:ascii="Times New Roman" w:hAnsi="Times New Roman" w:hint="default"/>
        <w:b w:val="0"/>
        <w:i w:val="0"/>
        <w:sz w:val="24"/>
      </w:rPr>
    </w:lvl>
    <w:lvl w:ilvl="2">
      <w:start w:val="1"/>
      <w:numFmt w:val="lowerLetter"/>
      <w:lvlText w:val="%3."/>
      <w:lvlJc w:val="left"/>
      <w:pPr>
        <w:ind w:left="1440" w:hanging="720"/>
      </w:pPr>
      <w:rPr>
        <w:rFonts w:ascii="Times New Roman" w:hAnsi="Times New Roman" w:hint="default"/>
        <w:b w:val="0"/>
        <w:i w:val="0"/>
        <w:sz w:val="24"/>
      </w:rPr>
    </w:lvl>
    <w:lvl w:ilvl="3">
      <w:start w:val="1"/>
      <w:numFmt w:val="lowerRoman"/>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4CC5080"/>
    <w:multiLevelType w:val="multilevel"/>
    <w:tmpl w:val="4B36AEA2"/>
    <w:lvl w:ilvl="0">
      <w:start w:val="3"/>
      <w:numFmt w:val="decimal"/>
      <w:lvlText w:val="%1.0"/>
      <w:lvlJc w:val="left"/>
      <w:pPr>
        <w:ind w:left="720" w:hanging="720"/>
      </w:pPr>
      <w:rPr>
        <w:rFonts w:ascii="Times New Roman Bold" w:hAnsi="Times New Roman Bold" w:hint="default"/>
        <w:b/>
        <w:i w:val="0"/>
        <w:sz w:val="24"/>
      </w:rPr>
    </w:lvl>
    <w:lvl w:ilvl="1">
      <w:start w:val="2"/>
      <w:numFmt w:val="decimal"/>
      <w:lvlText w:val="%1.%2"/>
      <w:lvlJc w:val="left"/>
      <w:pPr>
        <w:ind w:left="720" w:hanging="720"/>
      </w:pPr>
      <w:rPr>
        <w:rFonts w:ascii="Times New Roman" w:hAnsi="Times New Roman" w:hint="default"/>
        <w:b w:val="0"/>
        <w:i w:val="0"/>
        <w:sz w:val="24"/>
      </w:rPr>
    </w:lvl>
    <w:lvl w:ilvl="2">
      <w:start w:val="1"/>
      <w:numFmt w:val="lowerLetter"/>
      <w:lvlText w:val="%3."/>
      <w:lvlJc w:val="left"/>
      <w:pPr>
        <w:ind w:left="1440" w:hanging="720"/>
      </w:pPr>
      <w:rPr>
        <w:rFonts w:ascii="Times New Roman" w:hAnsi="Times New Roman" w:hint="default"/>
        <w:b w:val="0"/>
        <w:i w:val="0"/>
        <w:sz w:val="24"/>
      </w:rPr>
    </w:lvl>
    <w:lvl w:ilvl="3">
      <w:start w:val="1"/>
      <w:numFmt w:val="lowerRoman"/>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FB53BC"/>
    <w:multiLevelType w:val="multilevel"/>
    <w:tmpl w:val="E63899B2"/>
    <w:lvl w:ilvl="0">
      <w:start w:val="1"/>
      <w:numFmt w:val="decimal"/>
      <w:lvlText w:val="%1.0"/>
      <w:lvlJc w:val="left"/>
      <w:pPr>
        <w:ind w:left="720" w:hanging="720"/>
      </w:pPr>
      <w:rPr>
        <w:rFonts w:ascii="Times New Roman Bold" w:hAnsi="Times New Roman Bold" w:hint="default"/>
        <w:b/>
        <w:i w:val="0"/>
        <w:sz w:val="24"/>
      </w:rPr>
    </w:lvl>
    <w:lvl w:ilvl="1">
      <w:start w:val="1"/>
      <w:numFmt w:val="decimal"/>
      <w:lvlText w:val="%1.%2"/>
      <w:lvlJc w:val="left"/>
      <w:pPr>
        <w:ind w:left="720" w:hanging="720"/>
      </w:pPr>
      <w:rPr>
        <w:rFonts w:ascii="Times New Roman" w:hAnsi="Times New Roman" w:hint="default"/>
        <w:b w:val="0"/>
        <w:i w:val="0"/>
        <w:sz w:val="24"/>
      </w:rPr>
    </w:lvl>
    <w:lvl w:ilvl="2">
      <w:start w:val="1"/>
      <w:numFmt w:val="lowerLetter"/>
      <w:lvlText w:val="%3."/>
      <w:lvlJc w:val="left"/>
      <w:pPr>
        <w:ind w:left="1440" w:hanging="720"/>
      </w:pPr>
      <w:rPr>
        <w:rFonts w:ascii="Times New Roman" w:hAnsi="Times New Roman" w:hint="default"/>
        <w:b w:val="0"/>
        <w:i w:val="0"/>
        <w:sz w:val="24"/>
      </w:rPr>
    </w:lvl>
    <w:lvl w:ilvl="3">
      <w:start w:val="1"/>
      <w:numFmt w:val="lowerRoman"/>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37836F4"/>
    <w:multiLevelType w:val="multilevel"/>
    <w:tmpl w:val="5CDE0E5E"/>
    <w:lvl w:ilvl="0">
      <w:start w:val="1"/>
      <w:numFmt w:val="decimal"/>
      <w:lvlText w:val="%1.0"/>
      <w:lvlJc w:val="left"/>
      <w:pPr>
        <w:ind w:left="720" w:hanging="720"/>
      </w:pPr>
      <w:rPr>
        <w:rFonts w:ascii="Times New Roman Bold" w:hAnsi="Times New Roman Bold" w:hint="default"/>
        <w:b/>
        <w:i w:val="0"/>
        <w:sz w:val="24"/>
      </w:rPr>
    </w:lvl>
    <w:lvl w:ilvl="1">
      <w:start w:val="1"/>
      <w:numFmt w:val="decimal"/>
      <w:lvlText w:val="%1.%2"/>
      <w:lvlJc w:val="left"/>
      <w:pPr>
        <w:ind w:left="720" w:hanging="720"/>
      </w:pPr>
      <w:rPr>
        <w:rFonts w:ascii="Times New Roman" w:hAnsi="Times New Roman" w:hint="default"/>
        <w:b w:val="0"/>
        <w:i w:val="0"/>
        <w:sz w:val="24"/>
      </w:rPr>
    </w:lvl>
    <w:lvl w:ilvl="2">
      <w:start w:val="1"/>
      <w:numFmt w:val="lowerLetter"/>
      <w:lvlText w:val="%3."/>
      <w:lvlJc w:val="left"/>
      <w:pPr>
        <w:ind w:left="1440" w:hanging="720"/>
      </w:pPr>
      <w:rPr>
        <w:rFonts w:ascii="Times New Roman" w:hAnsi="Times New Roman" w:hint="default"/>
        <w:b w:val="0"/>
        <w:i w:val="0"/>
        <w:sz w:val="24"/>
      </w:rPr>
    </w:lvl>
    <w:lvl w:ilvl="3">
      <w:start w:val="1"/>
      <w:numFmt w:val="lowerRoman"/>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55F06DA"/>
    <w:multiLevelType w:val="multilevel"/>
    <w:tmpl w:val="5CDE0E5E"/>
    <w:lvl w:ilvl="0">
      <w:start w:val="1"/>
      <w:numFmt w:val="decimal"/>
      <w:lvlText w:val="%1.0"/>
      <w:lvlJc w:val="left"/>
      <w:pPr>
        <w:ind w:left="720" w:hanging="720"/>
      </w:pPr>
      <w:rPr>
        <w:rFonts w:ascii="Times New Roman Bold" w:hAnsi="Times New Roman Bold" w:hint="default"/>
        <w:b/>
        <w:i w:val="0"/>
        <w:sz w:val="24"/>
      </w:rPr>
    </w:lvl>
    <w:lvl w:ilvl="1">
      <w:start w:val="1"/>
      <w:numFmt w:val="decimal"/>
      <w:lvlText w:val="%1.%2"/>
      <w:lvlJc w:val="left"/>
      <w:pPr>
        <w:ind w:left="720" w:hanging="720"/>
      </w:pPr>
      <w:rPr>
        <w:rFonts w:ascii="Times New Roman" w:hAnsi="Times New Roman" w:hint="default"/>
        <w:b w:val="0"/>
        <w:i w:val="0"/>
        <w:sz w:val="24"/>
      </w:rPr>
    </w:lvl>
    <w:lvl w:ilvl="2">
      <w:start w:val="1"/>
      <w:numFmt w:val="lowerLetter"/>
      <w:lvlText w:val="%3."/>
      <w:lvlJc w:val="left"/>
      <w:pPr>
        <w:ind w:left="1440" w:hanging="720"/>
      </w:pPr>
      <w:rPr>
        <w:rFonts w:ascii="Times New Roman" w:hAnsi="Times New Roman" w:hint="default"/>
        <w:b w:val="0"/>
        <w:i w:val="0"/>
        <w:sz w:val="24"/>
      </w:rPr>
    </w:lvl>
    <w:lvl w:ilvl="3">
      <w:start w:val="1"/>
      <w:numFmt w:val="lowerRoman"/>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877418E"/>
    <w:multiLevelType w:val="multilevel"/>
    <w:tmpl w:val="526A0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3"/>
  </w:num>
  <w:num w:numId="4">
    <w:abstractNumId w:val="8"/>
  </w:num>
  <w:num w:numId="5">
    <w:abstractNumId w:val="4"/>
  </w:num>
  <w:num w:numId="6">
    <w:abstractNumId w:val="7"/>
  </w:num>
  <w:num w:numId="7">
    <w:abstractNumId w:val="5"/>
  </w:num>
  <w:num w:numId="8">
    <w:abstractNumId w:val="6"/>
  </w:num>
  <w:num w:numId="9">
    <w:abstractNumId w:val="2"/>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28EA"/>
    <w:rsid w:val="00001317"/>
    <w:rsid w:val="000343BB"/>
    <w:rsid w:val="000B1F65"/>
    <w:rsid w:val="000C74E7"/>
    <w:rsid w:val="000D5A99"/>
    <w:rsid w:val="00121B46"/>
    <w:rsid w:val="001250D1"/>
    <w:rsid w:val="00135C79"/>
    <w:rsid w:val="00142AEA"/>
    <w:rsid w:val="00161321"/>
    <w:rsid w:val="00171B3E"/>
    <w:rsid w:val="0018538E"/>
    <w:rsid w:val="0018690B"/>
    <w:rsid w:val="001A1607"/>
    <w:rsid w:val="001A62D1"/>
    <w:rsid w:val="001B55F8"/>
    <w:rsid w:val="001C2530"/>
    <w:rsid w:val="001E26CE"/>
    <w:rsid w:val="001E3856"/>
    <w:rsid w:val="001E5099"/>
    <w:rsid w:val="001F39FF"/>
    <w:rsid w:val="00202CEE"/>
    <w:rsid w:val="00272C84"/>
    <w:rsid w:val="00273C4D"/>
    <w:rsid w:val="00276944"/>
    <w:rsid w:val="0028652E"/>
    <w:rsid w:val="002A1396"/>
    <w:rsid w:val="002C506E"/>
    <w:rsid w:val="002F7882"/>
    <w:rsid w:val="002F7AA9"/>
    <w:rsid w:val="00323402"/>
    <w:rsid w:val="00335568"/>
    <w:rsid w:val="0037520C"/>
    <w:rsid w:val="00376E51"/>
    <w:rsid w:val="00386026"/>
    <w:rsid w:val="00397278"/>
    <w:rsid w:val="003B7DF2"/>
    <w:rsid w:val="003D5ACF"/>
    <w:rsid w:val="00402E57"/>
    <w:rsid w:val="0040555B"/>
    <w:rsid w:val="004076A9"/>
    <w:rsid w:val="00420042"/>
    <w:rsid w:val="00436381"/>
    <w:rsid w:val="00441878"/>
    <w:rsid w:val="00453DC6"/>
    <w:rsid w:val="0047075D"/>
    <w:rsid w:val="00473606"/>
    <w:rsid w:val="004778D1"/>
    <w:rsid w:val="004820FA"/>
    <w:rsid w:val="004A4C92"/>
    <w:rsid w:val="004E2CA0"/>
    <w:rsid w:val="004F0945"/>
    <w:rsid w:val="005172C3"/>
    <w:rsid w:val="005204D3"/>
    <w:rsid w:val="00523F04"/>
    <w:rsid w:val="00527160"/>
    <w:rsid w:val="00534BED"/>
    <w:rsid w:val="0055240A"/>
    <w:rsid w:val="005566B7"/>
    <w:rsid w:val="005648E0"/>
    <w:rsid w:val="00571F53"/>
    <w:rsid w:val="00573119"/>
    <w:rsid w:val="005A0245"/>
    <w:rsid w:val="005A4C41"/>
    <w:rsid w:val="005C7B83"/>
    <w:rsid w:val="005F1F8C"/>
    <w:rsid w:val="00617BCD"/>
    <w:rsid w:val="006328EA"/>
    <w:rsid w:val="00655884"/>
    <w:rsid w:val="006666BB"/>
    <w:rsid w:val="00676961"/>
    <w:rsid w:val="006B2FAE"/>
    <w:rsid w:val="006C3E73"/>
    <w:rsid w:val="006E1638"/>
    <w:rsid w:val="006E539B"/>
    <w:rsid w:val="00711B15"/>
    <w:rsid w:val="00711F31"/>
    <w:rsid w:val="00714E7E"/>
    <w:rsid w:val="00752AD2"/>
    <w:rsid w:val="00762E5C"/>
    <w:rsid w:val="007B054B"/>
    <w:rsid w:val="007C4EA7"/>
    <w:rsid w:val="0080179D"/>
    <w:rsid w:val="00826335"/>
    <w:rsid w:val="00830653"/>
    <w:rsid w:val="00831BD3"/>
    <w:rsid w:val="00837E21"/>
    <w:rsid w:val="00860CED"/>
    <w:rsid w:val="00867EAA"/>
    <w:rsid w:val="008779A1"/>
    <w:rsid w:val="00894DEB"/>
    <w:rsid w:val="0089659C"/>
    <w:rsid w:val="00910ADC"/>
    <w:rsid w:val="0093316F"/>
    <w:rsid w:val="00933B57"/>
    <w:rsid w:val="00955EEE"/>
    <w:rsid w:val="009C16C8"/>
    <w:rsid w:val="009E7305"/>
    <w:rsid w:val="00A0324F"/>
    <w:rsid w:val="00A1365D"/>
    <w:rsid w:val="00A37941"/>
    <w:rsid w:val="00A661A1"/>
    <w:rsid w:val="00A71A20"/>
    <w:rsid w:val="00A71E2C"/>
    <w:rsid w:val="00A723E7"/>
    <w:rsid w:val="00AB5823"/>
    <w:rsid w:val="00AF5CED"/>
    <w:rsid w:val="00B073F8"/>
    <w:rsid w:val="00B20604"/>
    <w:rsid w:val="00B34888"/>
    <w:rsid w:val="00B44817"/>
    <w:rsid w:val="00B75C87"/>
    <w:rsid w:val="00B92AF2"/>
    <w:rsid w:val="00B97379"/>
    <w:rsid w:val="00BA0D1C"/>
    <w:rsid w:val="00BB2C85"/>
    <w:rsid w:val="00BD3E16"/>
    <w:rsid w:val="00BF5D9F"/>
    <w:rsid w:val="00C24E5B"/>
    <w:rsid w:val="00C37956"/>
    <w:rsid w:val="00C51F78"/>
    <w:rsid w:val="00C53A95"/>
    <w:rsid w:val="00C562AB"/>
    <w:rsid w:val="00C56994"/>
    <w:rsid w:val="00C85FAC"/>
    <w:rsid w:val="00CA274A"/>
    <w:rsid w:val="00CD2AFC"/>
    <w:rsid w:val="00CE0A9A"/>
    <w:rsid w:val="00CF6E22"/>
    <w:rsid w:val="00D101F0"/>
    <w:rsid w:val="00D209DB"/>
    <w:rsid w:val="00D240DD"/>
    <w:rsid w:val="00D31010"/>
    <w:rsid w:val="00D6302E"/>
    <w:rsid w:val="00D63B7C"/>
    <w:rsid w:val="00D66634"/>
    <w:rsid w:val="00D760F4"/>
    <w:rsid w:val="00DA76B4"/>
    <w:rsid w:val="00E06B62"/>
    <w:rsid w:val="00E26A29"/>
    <w:rsid w:val="00E62EAD"/>
    <w:rsid w:val="00E708BD"/>
    <w:rsid w:val="00E71313"/>
    <w:rsid w:val="00E72BF1"/>
    <w:rsid w:val="00E73D5F"/>
    <w:rsid w:val="00EB1215"/>
    <w:rsid w:val="00EB6B7A"/>
    <w:rsid w:val="00EE7D8D"/>
    <w:rsid w:val="00EF0E99"/>
    <w:rsid w:val="00EF6E7E"/>
    <w:rsid w:val="00F06773"/>
    <w:rsid w:val="00F17934"/>
    <w:rsid w:val="00F214EA"/>
    <w:rsid w:val="00F45012"/>
    <w:rsid w:val="00F56BB2"/>
    <w:rsid w:val="00F60F28"/>
    <w:rsid w:val="00F63D13"/>
    <w:rsid w:val="00F72F96"/>
    <w:rsid w:val="00FA3255"/>
    <w:rsid w:val="00FD0FC2"/>
    <w:rsid w:val="00FD4C8A"/>
    <w:rsid w:val="00FE0E6C"/>
    <w:rsid w:val="00FE1D5F"/>
    <w:rsid w:val="00FE5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35"/>
  </w:style>
  <w:style w:type="paragraph" w:styleId="Heading1">
    <w:name w:val="heading 1"/>
    <w:basedOn w:val="Normal"/>
    <w:next w:val="Normal"/>
    <w:link w:val="Heading1Char"/>
    <w:uiPriority w:val="9"/>
    <w:qFormat/>
    <w:rsid w:val="0082633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2633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2633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2633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633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633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633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633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633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3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263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63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263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63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63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63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63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633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2633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63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633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26335"/>
    <w:rPr>
      <w:rFonts w:asciiTheme="majorHAnsi" w:eastAsiaTheme="majorEastAsia" w:hAnsiTheme="majorHAnsi" w:cstheme="majorBidi"/>
      <w:i/>
      <w:iCs/>
      <w:spacing w:val="13"/>
      <w:sz w:val="24"/>
      <w:szCs w:val="24"/>
    </w:rPr>
  </w:style>
  <w:style w:type="character" w:styleId="Strong">
    <w:name w:val="Strong"/>
    <w:uiPriority w:val="22"/>
    <w:qFormat/>
    <w:rsid w:val="00826335"/>
    <w:rPr>
      <w:b/>
      <w:bCs/>
    </w:rPr>
  </w:style>
  <w:style w:type="character" w:styleId="Emphasis">
    <w:name w:val="Emphasis"/>
    <w:uiPriority w:val="20"/>
    <w:qFormat/>
    <w:rsid w:val="00826335"/>
    <w:rPr>
      <w:b/>
      <w:bCs/>
      <w:i/>
      <w:iCs/>
      <w:spacing w:val="10"/>
      <w:bdr w:val="none" w:sz="0" w:space="0" w:color="auto"/>
      <w:shd w:val="clear" w:color="auto" w:fill="auto"/>
    </w:rPr>
  </w:style>
  <w:style w:type="paragraph" w:styleId="NoSpacing">
    <w:name w:val="No Spacing"/>
    <w:basedOn w:val="Normal"/>
    <w:uiPriority w:val="1"/>
    <w:qFormat/>
    <w:rsid w:val="00826335"/>
  </w:style>
  <w:style w:type="paragraph" w:styleId="ListParagraph">
    <w:name w:val="List Paragraph"/>
    <w:basedOn w:val="Normal"/>
    <w:uiPriority w:val="34"/>
    <w:qFormat/>
    <w:rsid w:val="00826335"/>
    <w:pPr>
      <w:ind w:left="720"/>
      <w:contextualSpacing/>
    </w:pPr>
  </w:style>
  <w:style w:type="paragraph" w:styleId="Quote">
    <w:name w:val="Quote"/>
    <w:basedOn w:val="Normal"/>
    <w:next w:val="Normal"/>
    <w:link w:val="QuoteChar"/>
    <w:uiPriority w:val="29"/>
    <w:qFormat/>
    <w:rsid w:val="00826335"/>
    <w:pPr>
      <w:spacing w:before="200"/>
      <w:ind w:left="360" w:right="360"/>
    </w:pPr>
    <w:rPr>
      <w:i/>
      <w:iCs/>
    </w:rPr>
  </w:style>
  <w:style w:type="character" w:customStyle="1" w:styleId="QuoteChar">
    <w:name w:val="Quote Char"/>
    <w:basedOn w:val="DefaultParagraphFont"/>
    <w:link w:val="Quote"/>
    <w:uiPriority w:val="29"/>
    <w:rsid w:val="00826335"/>
    <w:rPr>
      <w:i/>
      <w:iCs/>
    </w:rPr>
  </w:style>
  <w:style w:type="paragraph" w:styleId="IntenseQuote">
    <w:name w:val="Intense Quote"/>
    <w:basedOn w:val="Normal"/>
    <w:next w:val="Normal"/>
    <w:link w:val="IntenseQuoteChar"/>
    <w:uiPriority w:val="30"/>
    <w:qFormat/>
    <w:rsid w:val="008263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6335"/>
    <w:rPr>
      <w:b/>
      <w:bCs/>
      <w:i/>
      <w:iCs/>
    </w:rPr>
  </w:style>
  <w:style w:type="character" w:styleId="SubtleEmphasis">
    <w:name w:val="Subtle Emphasis"/>
    <w:uiPriority w:val="19"/>
    <w:qFormat/>
    <w:rsid w:val="00826335"/>
    <w:rPr>
      <w:i/>
      <w:iCs/>
    </w:rPr>
  </w:style>
  <w:style w:type="character" w:styleId="IntenseEmphasis">
    <w:name w:val="Intense Emphasis"/>
    <w:uiPriority w:val="21"/>
    <w:qFormat/>
    <w:rsid w:val="00826335"/>
    <w:rPr>
      <w:b/>
      <w:bCs/>
    </w:rPr>
  </w:style>
  <w:style w:type="character" w:styleId="SubtleReference">
    <w:name w:val="Subtle Reference"/>
    <w:uiPriority w:val="31"/>
    <w:qFormat/>
    <w:rsid w:val="00826335"/>
    <w:rPr>
      <w:smallCaps/>
    </w:rPr>
  </w:style>
  <w:style w:type="character" w:styleId="IntenseReference">
    <w:name w:val="Intense Reference"/>
    <w:uiPriority w:val="32"/>
    <w:qFormat/>
    <w:rsid w:val="00826335"/>
    <w:rPr>
      <w:smallCaps/>
      <w:spacing w:val="5"/>
      <w:u w:val="single"/>
    </w:rPr>
  </w:style>
  <w:style w:type="character" w:styleId="BookTitle">
    <w:name w:val="Book Title"/>
    <w:uiPriority w:val="33"/>
    <w:qFormat/>
    <w:rsid w:val="00826335"/>
    <w:rPr>
      <w:i/>
      <w:iCs/>
      <w:smallCaps/>
      <w:spacing w:val="5"/>
    </w:rPr>
  </w:style>
  <w:style w:type="paragraph" w:styleId="TOCHeading">
    <w:name w:val="TOC Heading"/>
    <w:basedOn w:val="Heading1"/>
    <w:next w:val="Normal"/>
    <w:uiPriority w:val="39"/>
    <w:semiHidden/>
    <w:unhideWhenUsed/>
    <w:qFormat/>
    <w:rsid w:val="00826335"/>
    <w:pPr>
      <w:outlineLvl w:val="9"/>
    </w:pPr>
  </w:style>
  <w:style w:type="paragraph" w:styleId="Header">
    <w:name w:val="header"/>
    <w:basedOn w:val="Normal"/>
    <w:link w:val="HeaderChar"/>
    <w:uiPriority w:val="99"/>
    <w:unhideWhenUsed/>
    <w:rsid w:val="006328EA"/>
    <w:pPr>
      <w:tabs>
        <w:tab w:val="center" w:pos="4680"/>
        <w:tab w:val="right" w:pos="9360"/>
      </w:tabs>
    </w:pPr>
  </w:style>
  <w:style w:type="character" w:customStyle="1" w:styleId="HeaderChar">
    <w:name w:val="Header Char"/>
    <w:basedOn w:val="DefaultParagraphFont"/>
    <w:link w:val="Header"/>
    <w:uiPriority w:val="99"/>
    <w:rsid w:val="006328EA"/>
  </w:style>
  <w:style w:type="paragraph" w:styleId="Footer">
    <w:name w:val="footer"/>
    <w:basedOn w:val="Normal"/>
    <w:link w:val="FooterChar"/>
    <w:uiPriority w:val="99"/>
    <w:unhideWhenUsed/>
    <w:rsid w:val="006328EA"/>
    <w:pPr>
      <w:tabs>
        <w:tab w:val="center" w:pos="4680"/>
        <w:tab w:val="right" w:pos="9360"/>
      </w:tabs>
    </w:pPr>
  </w:style>
  <w:style w:type="character" w:customStyle="1" w:styleId="FooterChar">
    <w:name w:val="Footer Char"/>
    <w:basedOn w:val="DefaultParagraphFont"/>
    <w:link w:val="Footer"/>
    <w:uiPriority w:val="99"/>
    <w:rsid w:val="006328EA"/>
  </w:style>
  <w:style w:type="paragraph" w:styleId="BalloonText">
    <w:name w:val="Balloon Text"/>
    <w:basedOn w:val="Normal"/>
    <w:link w:val="BalloonTextChar"/>
    <w:uiPriority w:val="99"/>
    <w:semiHidden/>
    <w:unhideWhenUsed/>
    <w:rsid w:val="00D760F4"/>
    <w:rPr>
      <w:rFonts w:ascii="Tahoma" w:hAnsi="Tahoma" w:cs="Tahoma"/>
      <w:sz w:val="16"/>
      <w:szCs w:val="16"/>
    </w:rPr>
  </w:style>
  <w:style w:type="character" w:customStyle="1" w:styleId="BalloonTextChar">
    <w:name w:val="Balloon Text Char"/>
    <w:basedOn w:val="DefaultParagraphFont"/>
    <w:link w:val="BalloonText"/>
    <w:uiPriority w:val="99"/>
    <w:semiHidden/>
    <w:rsid w:val="00D760F4"/>
    <w:rPr>
      <w:rFonts w:ascii="Tahoma" w:hAnsi="Tahoma" w:cs="Tahoma"/>
      <w:sz w:val="16"/>
      <w:szCs w:val="16"/>
    </w:rPr>
  </w:style>
  <w:style w:type="character" w:styleId="Hyperlink">
    <w:name w:val="Hyperlink"/>
    <w:basedOn w:val="DefaultParagraphFont"/>
    <w:uiPriority w:val="99"/>
    <w:semiHidden/>
    <w:unhideWhenUsed/>
    <w:rsid w:val="000D5A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827387">
      <w:bodyDiv w:val="1"/>
      <w:marLeft w:val="0"/>
      <w:marRight w:val="0"/>
      <w:marTop w:val="0"/>
      <w:marBottom w:val="0"/>
      <w:divBdr>
        <w:top w:val="none" w:sz="0" w:space="0" w:color="auto"/>
        <w:left w:val="none" w:sz="0" w:space="0" w:color="auto"/>
        <w:bottom w:val="none" w:sz="0" w:space="0" w:color="auto"/>
        <w:right w:val="none" w:sz="0" w:space="0" w:color="auto"/>
      </w:divBdr>
    </w:div>
    <w:div w:id="18018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609E-9F63-4239-900C-4013CF38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GDS Associates, Inc.</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 Associates, Inc.</dc:creator>
  <cp:lastModifiedBy>MR77920</cp:lastModifiedBy>
  <cp:revision>3</cp:revision>
  <cp:lastPrinted>2013-07-16T15:57:00Z</cp:lastPrinted>
  <dcterms:created xsi:type="dcterms:W3CDTF">2013-07-29T17:54:00Z</dcterms:created>
  <dcterms:modified xsi:type="dcterms:W3CDTF">2013-07-29T17:55:00Z</dcterms:modified>
</cp:coreProperties>
</file>