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20E" w:rsidRDefault="00E3420E">
      <w:pPr>
        <w:widowControl/>
        <w:jc w:val="center"/>
        <w:rPr>
          <w:rFonts w:ascii="Arial" w:hAnsi="Arial" w:cs="Arial"/>
          <w:sz w:val="48"/>
        </w:rPr>
      </w:pPr>
    </w:p>
    <w:p w:rsidR="00E3420E" w:rsidRDefault="00E3420E">
      <w:pPr>
        <w:widowControl/>
        <w:jc w:val="center"/>
        <w:rPr>
          <w:rFonts w:ascii="Arial" w:hAnsi="Arial" w:cs="Arial"/>
          <w:sz w:val="48"/>
        </w:rPr>
      </w:pPr>
    </w:p>
    <w:p w:rsidR="00E3420E" w:rsidRDefault="00983717">
      <w:pPr>
        <w:widowControl/>
        <w:jc w:val="center"/>
        <w:rPr>
          <w:rFonts w:ascii="Arial" w:hAnsi="Arial" w:cs="Arial"/>
          <w:b/>
          <w:sz w:val="52"/>
        </w:rPr>
      </w:pPr>
      <w:r>
        <w:rPr>
          <w:rFonts w:ascii="Arial" w:hAnsi="Arial" w:cs="Arial"/>
          <w:b/>
          <w:sz w:val="52"/>
        </w:rPr>
        <w:t>Western Area Power Administration Sierra Nevada Region</w:t>
      </w:r>
    </w:p>
    <w:p w:rsidR="00983717" w:rsidRDefault="00983717">
      <w:pPr>
        <w:widowControl/>
        <w:jc w:val="center"/>
        <w:rPr>
          <w:rFonts w:ascii="Arial" w:hAnsi="Arial" w:cs="Arial"/>
          <w:b/>
          <w:sz w:val="52"/>
        </w:rPr>
      </w:pPr>
    </w:p>
    <w:p w:rsidR="004A7109" w:rsidRDefault="004A7109">
      <w:pPr>
        <w:widowControl/>
        <w:jc w:val="center"/>
        <w:rPr>
          <w:rFonts w:ascii="Arial" w:hAnsi="Arial" w:cs="Arial"/>
          <w:b/>
          <w:sz w:val="52"/>
        </w:rPr>
      </w:pPr>
    </w:p>
    <w:p w:rsidR="004A7109" w:rsidRPr="004A7109" w:rsidRDefault="00900960">
      <w:pPr>
        <w:widowControl/>
        <w:jc w:val="center"/>
        <w:rPr>
          <w:rFonts w:ascii="Arial" w:hAnsi="Arial" w:cs="Arial"/>
          <w:b/>
          <w:sz w:val="48"/>
          <w:szCs w:val="48"/>
        </w:rPr>
      </w:pPr>
      <w:r>
        <w:rPr>
          <w:rFonts w:ascii="Arial" w:hAnsi="Arial" w:cs="Arial"/>
          <w:b/>
          <w:sz w:val="48"/>
          <w:szCs w:val="48"/>
        </w:rPr>
        <w:t>2009</w:t>
      </w:r>
    </w:p>
    <w:p w:rsidR="00E3420E" w:rsidRPr="004A7109" w:rsidRDefault="00E3420E">
      <w:pPr>
        <w:widowControl/>
        <w:jc w:val="center"/>
        <w:rPr>
          <w:rFonts w:ascii="Arial" w:hAnsi="Arial" w:cs="Arial"/>
          <w:b/>
          <w:sz w:val="48"/>
          <w:szCs w:val="48"/>
        </w:rPr>
      </w:pPr>
      <w:r w:rsidRPr="004A7109">
        <w:rPr>
          <w:rFonts w:ascii="Arial" w:hAnsi="Arial" w:cs="Arial"/>
          <w:b/>
          <w:sz w:val="48"/>
          <w:szCs w:val="48"/>
        </w:rPr>
        <w:t xml:space="preserve">Annual </w:t>
      </w:r>
      <w:r w:rsidR="00B162EC">
        <w:rPr>
          <w:rFonts w:ascii="Arial" w:hAnsi="Arial" w:cs="Arial"/>
          <w:b/>
          <w:sz w:val="48"/>
          <w:szCs w:val="48"/>
        </w:rPr>
        <w:t xml:space="preserve">Ten-Year </w:t>
      </w:r>
      <w:r w:rsidR="00F82AA0" w:rsidRPr="004A7109">
        <w:rPr>
          <w:rFonts w:ascii="Arial" w:hAnsi="Arial" w:cs="Arial"/>
          <w:b/>
          <w:sz w:val="48"/>
          <w:szCs w:val="48"/>
        </w:rPr>
        <w:t xml:space="preserve">Transmission </w:t>
      </w:r>
      <w:r w:rsidR="00B162EC">
        <w:rPr>
          <w:rFonts w:ascii="Arial" w:hAnsi="Arial" w:cs="Arial"/>
          <w:b/>
          <w:sz w:val="48"/>
          <w:szCs w:val="48"/>
        </w:rPr>
        <w:t>Plan</w:t>
      </w:r>
      <w:r w:rsidRPr="004A7109">
        <w:rPr>
          <w:rFonts w:ascii="Arial" w:hAnsi="Arial" w:cs="Arial"/>
          <w:b/>
          <w:sz w:val="48"/>
          <w:szCs w:val="48"/>
        </w:rPr>
        <w:t xml:space="preserve"> Assessment</w:t>
      </w:r>
      <w:r w:rsidR="009F5C58">
        <w:rPr>
          <w:rFonts w:ascii="Arial" w:hAnsi="Arial" w:cs="Arial"/>
          <w:b/>
          <w:sz w:val="48"/>
          <w:szCs w:val="48"/>
        </w:rPr>
        <w:t xml:space="preserve"> Report</w:t>
      </w:r>
      <w:r w:rsidRPr="004A7109">
        <w:rPr>
          <w:rFonts w:ascii="Arial" w:hAnsi="Arial" w:cs="Arial"/>
          <w:b/>
          <w:sz w:val="48"/>
          <w:szCs w:val="48"/>
        </w:rPr>
        <w:t xml:space="preserve"> </w:t>
      </w:r>
    </w:p>
    <w:p w:rsidR="00E3420E" w:rsidRPr="004A7109" w:rsidRDefault="00E3420E">
      <w:pPr>
        <w:widowControl/>
        <w:jc w:val="center"/>
        <w:rPr>
          <w:rFonts w:ascii="Arial" w:hAnsi="Arial" w:cs="Arial"/>
          <w:b/>
          <w:sz w:val="48"/>
          <w:szCs w:val="48"/>
        </w:rPr>
      </w:pPr>
    </w:p>
    <w:p w:rsidR="00E3420E" w:rsidRDefault="00E3420E">
      <w:pPr>
        <w:widowControl/>
        <w:jc w:val="center"/>
        <w:rPr>
          <w:rFonts w:ascii="Arial" w:hAnsi="Arial" w:cs="Arial"/>
          <w:b/>
          <w:sz w:val="52"/>
        </w:rPr>
      </w:pPr>
    </w:p>
    <w:p w:rsidR="00E3420E" w:rsidRDefault="00E3420E">
      <w:pPr>
        <w:widowControl/>
        <w:jc w:val="center"/>
        <w:rPr>
          <w:rFonts w:ascii="Arial" w:hAnsi="Arial" w:cs="Arial"/>
          <w:b/>
          <w:sz w:val="52"/>
        </w:rPr>
      </w:pPr>
    </w:p>
    <w:p w:rsidR="00E3420E" w:rsidRDefault="00E3420E">
      <w:pPr>
        <w:widowControl/>
        <w:jc w:val="center"/>
        <w:rPr>
          <w:rFonts w:ascii="Arial" w:hAnsi="Arial" w:cs="Arial"/>
          <w:b/>
          <w:sz w:val="52"/>
        </w:rPr>
      </w:pPr>
    </w:p>
    <w:p w:rsidR="00E3420E" w:rsidRPr="004A7109" w:rsidRDefault="006D5E38">
      <w:pPr>
        <w:widowControl/>
        <w:jc w:val="center"/>
        <w:rPr>
          <w:rFonts w:ascii="Arial" w:hAnsi="Arial" w:cs="Arial"/>
          <w:b/>
          <w:sz w:val="40"/>
          <w:szCs w:val="40"/>
        </w:rPr>
      </w:pPr>
      <w:r>
        <w:rPr>
          <w:rFonts w:ascii="Arial" w:hAnsi="Arial" w:cs="Arial"/>
          <w:b/>
          <w:sz w:val="40"/>
          <w:szCs w:val="40"/>
        </w:rPr>
        <w:t>October 30</w:t>
      </w:r>
      <w:r w:rsidR="0054538E" w:rsidRPr="004A7109">
        <w:rPr>
          <w:rFonts w:ascii="Arial" w:hAnsi="Arial" w:cs="Arial"/>
          <w:b/>
          <w:sz w:val="40"/>
          <w:szCs w:val="40"/>
        </w:rPr>
        <w:t>,</w:t>
      </w:r>
      <w:r w:rsidR="009F5C58">
        <w:rPr>
          <w:rFonts w:ascii="Arial" w:hAnsi="Arial" w:cs="Arial"/>
          <w:b/>
          <w:sz w:val="40"/>
          <w:szCs w:val="40"/>
        </w:rPr>
        <w:t xml:space="preserve"> 200</w:t>
      </w:r>
      <w:r w:rsidR="00F43A77">
        <w:rPr>
          <w:rFonts w:ascii="Arial" w:hAnsi="Arial" w:cs="Arial"/>
          <w:b/>
          <w:sz w:val="40"/>
          <w:szCs w:val="40"/>
        </w:rPr>
        <w:t>9</w:t>
      </w:r>
    </w:p>
    <w:p w:rsidR="00E3420E" w:rsidRDefault="00E3420E">
      <w:pPr>
        <w:widowControl/>
        <w:jc w:val="center"/>
        <w:rPr>
          <w:rFonts w:ascii="Arial" w:hAnsi="Arial" w:cs="Arial"/>
          <w:sz w:val="36"/>
        </w:rPr>
      </w:pPr>
    </w:p>
    <w:p w:rsidR="004A7109" w:rsidRDefault="004A7109">
      <w:pPr>
        <w:widowControl/>
        <w:jc w:val="center"/>
        <w:rPr>
          <w:rFonts w:ascii="Arial" w:hAnsi="Arial" w:cs="Arial"/>
          <w:sz w:val="36"/>
        </w:rPr>
      </w:pPr>
    </w:p>
    <w:p w:rsidR="004A7109" w:rsidRDefault="004A7109">
      <w:pPr>
        <w:widowControl/>
        <w:jc w:val="center"/>
        <w:rPr>
          <w:rFonts w:ascii="Arial" w:hAnsi="Arial" w:cs="Arial"/>
          <w:sz w:val="36"/>
        </w:rPr>
      </w:pPr>
    </w:p>
    <w:p w:rsidR="00D4102C" w:rsidRDefault="00D4102C">
      <w:pPr>
        <w:widowControl/>
        <w:jc w:val="center"/>
        <w:rPr>
          <w:rFonts w:ascii="Arial" w:hAnsi="Arial" w:cs="Arial"/>
          <w:sz w:val="36"/>
        </w:rPr>
      </w:pPr>
    </w:p>
    <w:p w:rsidR="00D4102C" w:rsidRDefault="00D4102C">
      <w:pPr>
        <w:widowControl/>
        <w:jc w:val="center"/>
        <w:rPr>
          <w:rFonts w:ascii="Arial" w:hAnsi="Arial" w:cs="Arial"/>
          <w:sz w:val="36"/>
        </w:rPr>
      </w:pPr>
    </w:p>
    <w:p w:rsidR="0006234A" w:rsidRDefault="0006234A">
      <w:pPr>
        <w:widowControl/>
        <w:jc w:val="center"/>
        <w:rPr>
          <w:rFonts w:ascii="Arial" w:hAnsi="Arial" w:cs="Arial"/>
          <w:sz w:val="36"/>
        </w:rPr>
      </w:pPr>
    </w:p>
    <w:p w:rsidR="00E3420E" w:rsidRDefault="00E3420E">
      <w:pPr>
        <w:widowControl/>
        <w:jc w:val="center"/>
        <w:rPr>
          <w:rFonts w:ascii="Arial" w:hAnsi="Arial" w:cs="Arial"/>
          <w:sz w:val="36"/>
        </w:rPr>
      </w:pPr>
    </w:p>
    <w:p w:rsidR="00E3420E" w:rsidRDefault="00E3420E">
      <w:pPr>
        <w:widowControl/>
        <w:jc w:val="center"/>
        <w:rPr>
          <w:rFonts w:ascii="Arial" w:hAnsi="Arial" w:cs="Arial"/>
          <w:sz w:val="36"/>
        </w:rPr>
      </w:pPr>
    </w:p>
    <w:p w:rsidR="00B162EC" w:rsidRDefault="00E3420E" w:rsidP="003A4676">
      <w:pPr>
        <w:widowControl/>
        <w:rPr>
          <w:rFonts w:ascii="Arial" w:hAnsi="Arial" w:cs="Arial"/>
          <w:sz w:val="28"/>
        </w:rPr>
        <w:sectPr w:rsidR="00B162EC" w:rsidSect="00CD0D6E">
          <w:footerReference w:type="default" r:id="rId7"/>
          <w:footerReference w:type="first" r:id="rId8"/>
          <w:pgSz w:w="12240" w:h="15840"/>
          <w:pgMar w:top="1440" w:right="1440" w:bottom="864" w:left="1440" w:header="720" w:footer="720" w:gutter="0"/>
          <w:cols w:space="720"/>
        </w:sectPr>
      </w:pPr>
      <w:r>
        <w:rPr>
          <w:rFonts w:ascii="Arial" w:hAnsi="Arial" w:cs="Arial"/>
        </w:rPr>
        <w:t xml:space="preserve">For information or questions regarding this </w:t>
      </w:r>
      <w:r w:rsidR="00B732AE">
        <w:rPr>
          <w:rFonts w:ascii="Arial" w:hAnsi="Arial" w:cs="Arial"/>
        </w:rPr>
        <w:t>Transmission Assessment Report</w:t>
      </w:r>
      <w:r>
        <w:rPr>
          <w:rFonts w:ascii="Arial" w:hAnsi="Arial" w:cs="Arial"/>
        </w:rPr>
        <w:t xml:space="preserve">, please contact Larry Tobias via (916) </w:t>
      </w:r>
      <w:r w:rsidR="009C3CB2">
        <w:rPr>
          <w:rFonts w:ascii="Arial" w:hAnsi="Arial" w:cs="Arial"/>
        </w:rPr>
        <w:t>353-4766</w:t>
      </w:r>
      <w:r>
        <w:rPr>
          <w:rFonts w:ascii="Arial" w:hAnsi="Arial" w:cs="Arial"/>
        </w:rPr>
        <w:t xml:space="preserve"> or email at </w:t>
      </w:r>
      <w:hyperlink r:id="rId9" w:history="1">
        <w:r w:rsidR="009C3CB2" w:rsidRPr="004270B0">
          <w:rPr>
            <w:rStyle w:val="Hyperlink"/>
            <w:rFonts w:ascii="Arial" w:hAnsi="Arial" w:cs="Arial"/>
          </w:rPr>
          <w:t>Tobias@wapa.com</w:t>
        </w:r>
      </w:hyperlink>
      <w:r w:rsidR="003A4676">
        <w:rPr>
          <w:rFonts w:ascii="Arial" w:hAnsi="Arial" w:cs="Arial"/>
          <w:sz w:val="28"/>
        </w:rPr>
        <w:t xml:space="preserve"> </w:t>
      </w:r>
    </w:p>
    <w:p w:rsidR="00B162EC" w:rsidRDefault="00B162EC" w:rsidP="00B162EC">
      <w:pPr>
        <w:widowControl/>
        <w:ind w:left="2160" w:hanging="2160"/>
        <w:rPr>
          <w:rFonts w:ascii="Arial" w:hAnsi="Arial" w:cs="Arial"/>
          <w:sz w:val="28"/>
        </w:rPr>
      </w:pPr>
      <w:r>
        <w:rPr>
          <w:rFonts w:ascii="Arial" w:hAnsi="Arial" w:cs="Arial"/>
          <w:sz w:val="28"/>
        </w:rPr>
        <w:lastRenderedPageBreak/>
        <w:t>Principal Author:</w:t>
      </w:r>
      <w:r>
        <w:rPr>
          <w:rFonts w:ascii="Arial" w:hAnsi="Arial" w:cs="Arial"/>
          <w:sz w:val="28"/>
        </w:rPr>
        <w:tab/>
        <w:t xml:space="preserve">Larry Tobias </w:t>
      </w:r>
    </w:p>
    <w:p w:rsidR="00B162EC" w:rsidRDefault="00B162EC" w:rsidP="00900960">
      <w:pPr>
        <w:widowControl/>
        <w:rPr>
          <w:rFonts w:ascii="Arial" w:hAnsi="Arial" w:cs="Arial"/>
          <w:sz w:val="28"/>
        </w:rPr>
      </w:pPr>
    </w:p>
    <w:p w:rsidR="00900960" w:rsidRDefault="00900960" w:rsidP="00900960">
      <w:pPr>
        <w:widowControl/>
        <w:rPr>
          <w:rFonts w:ascii="Arial" w:hAnsi="Arial" w:cs="Arial"/>
          <w:sz w:val="28"/>
        </w:rPr>
      </w:pPr>
    </w:p>
    <w:p w:rsidR="00B162EC" w:rsidRDefault="00B162EC" w:rsidP="00B162EC">
      <w:pPr>
        <w:widowControl/>
        <w:ind w:left="2160" w:hanging="2160"/>
        <w:jc w:val="center"/>
        <w:rPr>
          <w:rFonts w:ascii="Arial" w:hAnsi="Arial" w:cs="Arial"/>
          <w:sz w:val="28"/>
        </w:rPr>
      </w:pPr>
    </w:p>
    <w:p w:rsidR="00B162EC" w:rsidRDefault="00B162EC" w:rsidP="00B162EC">
      <w:pPr>
        <w:widowControl/>
        <w:ind w:left="2160" w:hanging="2160"/>
        <w:jc w:val="center"/>
        <w:rPr>
          <w:rFonts w:ascii="Arial" w:hAnsi="Arial" w:cs="Arial"/>
          <w:sz w:val="28"/>
        </w:rPr>
      </w:pPr>
    </w:p>
    <w:p w:rsidR="00B162EC" w:rsidRDefault="00B162EC" w:rsidP="00B162EC">
      <w:pPr>
        <w:widowControl/>
        <w:ind w:left="2160" w:hanging="2160"/>
        <w:rPr>
          <w:rFonts w:ascii="Arial" w:hAnsi="Arial" w:cs="Arial"/>
          <w:sz w:val="28"/>
        </w:rPr>
      </w:pPr>
      <w:r>
        <w:rPr>
          <w:rFonts w:ascii="Arial" w:hAnsi="Arial" w:cs="Arial"/>
          <w:sz w:val="28"/>
        </w:rPr>
        <w:t>Approved by:</w:t>
      </w:r>
      <w:r>
        <w:rPr>
          <w:rFonts w:ascii="Arial" w:hAnsi="Arial" w:cs="Arial"/>
          <w:sz w:val="28"/>
        </w:rPr>
        <w:tab/>
        <w:t xml:space="preserve">Phil Sanchez </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Date:</w:t>
      </w:r>
    </w:p>
    <w:p w:rsidR="00B162EC" w:rsidRDefault="00B162EC" w:rsidP="00B162EC">
      <w:pPr>
        <w:widowControl/>
        <w:ind w:left="2160" w:hanging="2160"/>
        <w:rPr>
          <w:rFonts w:ascii="Arial" w:hAnsi="Arial" w:cs="Arial"/>
          <w:sz w:val="28"/>
        </w:rPr>
      </w:pPr>
      <w:r>
        <w:rPr>
          <w:rFonts w:ascii="Arial" w:hAnsi="Arial" w:cs="Arial"/>
          <w:sz w:val="28"/>
        </w:rPr>
        <w:tab/>
        <w:t>Transmission Planning Manager</w:t>
      </w:r>
    </w:p>
    <w:p w:rsidR="00B162EC" w:rsidRDefault="00B162EC" w:rsidP="00B162EC">
      <w:pPr>
        <w:widowControl/>
        <w:ind w:left="2160" w:hanging="2160"/>
        <w:jc w:val="center"/>
        <w:rPr>
          <w:rFonts w:ascii="Arial" w:hAnsi="Arial" w:cs="Arial"/>
          <w:sz w:val="28"/>
        </w:rPr>
      </w:pPr>
    </w:p>
    <w:p w:rsidR="00B162EC" w:rsidRDefault="00B162EC" w:rsidP="00B162EC">
      <w:pPr>
        <w:widowControl/>
        <w:ind w:left="2160" w:hanging="2160"/>
        <w:jc w:val="center"/>
        <w:rPr>
          <w:rFonts w:ascii="Arial" w:hAnsi="Arial" w:cs="Arial"/>
          <w:sz w:val="28"/>
        </w:rPr>
      </w:pPr>
    </w:p>
    <w:p w:rsidR="00B162EC" w:rsidRDefault="00B162EC" w:rsidP="00B162EC">
      <w:pPr>
        <w:widowControl/>
        <w:ind w:left="2160" w:hanging="2160"/>
        <w:jc w:val="center"/>
        <w:rPr>
          <w:rFonts w:ascii="Arial" w:hAnsi="Arial" w:cs="Arial"/>
          <w:sz w:val="28"/>
        </w:rPr>
      </w:pPr>
    </w:p>
    <w:p w:rsidR="00B162EC" w:rsidRDefault="00B162EC" w:rsidP="00B162EC">
      <w:pPr>
        <w:widowControl/>
        <w:ind w:left="2160" w:hanging="2160"/>
        <w:jc w:val="center"/>
        <w:rPr>
          <w:rFonts w:ascii="Arial" w:hAnsi="Arial" w:cs="Arial"/>
          <w:sz w:val="28"/>
        </w:rPr>
      </w:pPr>
    </w:p>
    <w:p w:rsidR="00B162EC" w:rsidRDefault="00B162EC" w:rsidP="00B162EC">
      <w:pPr>
        <w:widowControl/>
        <w:ind w:left="2160" w:hanging="2160"/>
        <w:rPr>
          <w:rFonts w:ascii="Arial" w:hAnsi="Arial" w:cs="Arial"/>
          <w:sz w:val="28"/>
        </w:rPr>
      </w:pPr>
      <w:r>
        <w:rPr>
          <w:rFonts w:ascii="Arial" w:hAnsi="Arial" w:cs="Arial"/>
          <w:sz w:val="28"/>
        </w:rPr>
        <w:t xml:space="preserve">Approved by </w:t>
      </w:r>
      <w:r>
        <w:rPr>
          <w:rFonts w:ascii="Arial" w:hAnsi="Arial" w:cs="Arial"/>
          <w:sz w:val="28"/>
        </w:rPr>
        <w:tab/>
        <w:t>Pete Garris</w:t>
      </w:r>
    </w:p>
    <w:p w:rsidR="00B162EC" w:rsidRPr="00900960" w:rsidRDefault="00B162EC" w:rsidP="00B162EC">
      <w:pPr>
        <w:widowControl/>
        <w:ind w:left="2160" w:hanging="2160"/>
        <w:rPr>
          <w:rFonts w:ascii="Arial" w:hAnsi="Arial" w:cs="Arial"/>
          <w:sz w:val="28"/>
          <w:szCs w:val="28"/>
        </w:rPr>
      </w:pPr>
      <w:r w:rsidRPr="00DF0DF2">
        <w:rPr>
          <w:rFonts w:ascii="Arial" w:hAnsi="Arial" w:cs="Arial"/>
          <w:sz w:val="24"/>
          <w:szCs w:val="24"/>
        </w:rPr>
        <w:tab/>
      </w:r>
      <w:r w:rsidRPr="00900960">
        <w:rPr>
          <w:rFonts w:ascii="Arial" w:hAnsi="Arial" w:cs="Arial"/>
          <w:sz w:val="28"/>
          <w:szCs w:val="28"/>
        </w:rPr>
        <w:t>Power Operations Manager</w:t>
      </w:r>
      <w:r w:rsidRPr="00900960">
        <w:rPr>
          <w:rFonts w:ascii="Arial" w:hAnsi="Arial" w:cs="Arial"/>
          <w:sz w:val="28"/>
          <w:szCs w:val="28"/>
        </w:rPr>
        <w:tab/>
      </w:r>
      <w:r w:rsidRPr="00900960">
        <w:rPr>
          <w:rFonts w:ascii="Arial" w:hAnsi="Arial" w:cs="Arial"/>
          <w:sz w:val="28"/>
          <w:szCs w:val="28"/>
        </w:rPr>
        <w:tab/>
      </w:r>
      <w:r w:rsidRPr="00900960">
        <w:rPr>
          <w:rFonts w:ascii="Arial" w:hAnsi="Arial" w:cs="Arial"/>
          <w:sz w:val="28"/>
          <w:szCs w:val="28"/>
        </w:rPr>
        <w:tab/>
        <w:t>Date:</w:t>
      </w:r>
    </w:p>
    <w:p w:rsidR="003A4676" w:rsidRDefault="003A4676" w:rsidP="003A4676">
      <w:pPr>
        <w:widowControl/>
        <w:rPr>
          <w:rFonts w:ascii="Arial" w:hAnsi="Arial" w:cs="Arial"/>
          <w:sz w:val="28"/>
        </w:rPr>
      </w:pPr>
    </w:p>
    <w:p w:rsidR="00E3420E" w:rsidRDefault="00E3420E">
      <w:pPr>
        <w:widowControl/>
        <w:jc w:val="center"/>
        <w:rPr>
          <w:rFonts w:ascii="Arial" w:hAnsi="Arial" w:cs="Arial"/>
          <w:sz w:val="28"/>
        </w:rPr>
      </w:pPr>
      <w:r>
        <w:rPr>
          <w:rFonts w:ascii="Arial" w:hAnsi="Arial" w:cs="Arial"/>
          <w:sz w:val="28"/>
        </w:rPr>
        <w:br w:type="page"/>
      </w:r>
      <w:r>
        <w:rPr>
          <w:rFonts w:ascii="Arial" w:hAnsi="Arial" w:cs="Arial"/>
          <w:b/>
          <w:bCs/>
          <w:sz w:val="28"/>
        </w:rPr>
        <w:lastRenderedPageBreak/>
        <w:t>CONTENTS</w:t>
      </w:r>
    </w:p>
    <w:p w:rsidR="00E3420E" w:rsidRDefault="00E3420E">
      <w:pPr>
        <w:widowControl/>
        <w:jc w:val="center"/>
        <w:rPr>
          <w:rFonts w:ascii="Arial" w:hAnsi="Arial" w:cs="Arial"/>
          <w:sz w:val="24"/>
        </w:rPr>
      </w:pPr>
    </w:p>
    <w:p w:rsidR="001A024E" w:rsidRDefault="00F66BCC">
      <w:pPr>
        <w:pStyle w:val="TOC1"/>
        <w:rPr>
          <w:rFonts w:asciiTheme="minorHAnsi" w:eastAsiaTheme="minorEastAsia" w:hAnsiTheme="minorHAnsi" w:cstheme="minorBidi"/>
          <w:b w:val="0"/>
          <w:caps w:val="0"/>
          <w:noProof/>
          <w:sz w:val="22"/>
          <w:szCs w:val="22"/>
        </w:rPr>
      </w:pPr>
      <w:r w:rsidRPr="00F66BCC">
        <w:rPr>
          <w:rFonts w:ascii="Arial" w:hAnsi="Arial" w:cs="Arial"/>
          <w:sz w:val="24"/>
        </w:rPr>
        <w:fldChar w:fldCharType="begin"/>
      </w:r>
      <w:r w:rsidR="00E3420E">
        <w:rPr>
          <w:rFonts w:ascii="Arial" w:hAnsi="Arial" w:cs="Arial"/>
          <w:sz w:val="24"/>
        </w:rPr>
        <w:instrText xml:space="preserve"> TOC \o "1-3" </w:instrText>
      </w:r>
      <w:r w:rsidRPr="00F66BCC">
        <w:rPr>
          <w:rFonts w:ascii="Arial" w:hAnsi="Arial" w:cs="Arial"/>
          <w:sz w:val="24"/>
        </w:rPr>
        <w:fldChar w:fldCharType="separate"/>
      </w:r>
      <w:r w:rsidR="001A024E" w:rsidRPr="00DE167F">
        <w:rPr>
          <w:rFonts w:ascii="Arial" w:hAnsi="Arial" w:cs="Arial"/>
          <w:noProof/>
        </w:rPr>
        <w:t>Introduction</w:t>
      </w:r>
      <w:r w:rsidR="001A024E">
        <w:rPr>
          <w:noProof/>
        </w:rPr>
        <w:tab/>
      </w:r>
      <w:r w:rsidR="001A024E">
        <w:rPr>
          <w:noProof/>
        </w:rPr>
        <w:fldChar w:fldCharType="begin"/>
      </w:r>
      <w:r w:rsidR="001A024E">
        <w:rPr>
          <w:noProof/>
        </w:rPr>
        <w:instrText xml:space="preserve"> PAGEREF _Toc244589865 \h </w:instrText>
      </w:r>
      <w:r w:rsidR="001A024E">
        <w:rPr>
          <w:noProof/>
        </w:rPr>
      </w:r>
      <w:r w:rsidR="001A024E">
        <w:rPr>
          <w:noProof/>
        </w:rPr>
        <w:fldChar w:fldCharType="separate"/>
      </w:r>
      <w:r w:rsidR="001A024E">
        <w:rPr>
          <w:noProof/>
        </w:rPr>
        <w:t>4</w:t>
      </w:r>
      <w:r w:rsidR="001A024E">
        <w:rPr>
          <w:noProof/>
        </w:rPr>
        <w:fldChar w:fldCharType="end"/>
      </w:r>
    </w:p>
    <w:p w:rsidR="001A024E" w:rsidRDefault="001A024E">
      <w:pPr>
        <w:pStyle w:val="TOC1"/>
        <w:rPr>
          <w:rFonts w:asciiTheme="minorHAnsi" w:eastAsiaTheme="minorEastAsia" w:hAnsiTheme="minorHAnsi" w:cstheme="minorBidi"/>
          <w:b w:val="0"/>
          <w:caps w:val="0"/>
          <w:noProof/>
          <w:sz w:val="22"/>
          <w:szCs w:val="22"/>
        </w:rPr>
      </w:pPr>
      <w:r w:rsidRPr="00DE167F">
        <w:rPr>
          <w:rFonts w:ascii="Arial" w:hAnsi="Arial" w:cs="Arial"/>
          <w:noProof/>
        </w:rPr>
        <w:t>Responsibilities and Objectives</w:t>
      </w:r>
      <w:r>
        <w:rPr>
          <w:noProof/>
        </w:rPr>
        <w:tab/>
      </w:r>
      <w:r>
        <w:rPr>
          <w:noProof/>
        </w:rPr>
        <w:fldChar w:fldCharType="begin"/>
      </w:r>
      <w:r>
        <w:rPr>
          <w:noProof/>
        </w:rPr>
        <w:instrText xml:space="preserve"> PAGEREF _Toc244589866 \h </w:instrText>
      </w:r>
      <w:r>
        <w:rPr>
          <w:noProof/>
        </w:rPr>
      </w:r>
      <w:r>
        <w:rPr>
          <w:noProof/>
        </w:rPr>
        <w:fldChar w:fldCharType="separate"/>
      </w:r>
      <w:r>
        <w:rPr>
          <w:noProof/>
        </w:rPr>
        <w:t>5</w:t>
      </w:r>
      <w:r>
        <w:rPr>
          <w:noProof/>
        </w:rPr>
        <w:fldChar w:fldCharType="end"/>
      </w:r>
    </w:p>
    <w:p w:rsidR="001A024E" w:rsidRDefault="001A024E">
      <w:pPr>
        <w:pStyle w:val="TOC1"/>
        <w:rPr>
          <w:rFonts w:asciiTheme="minorHAnsi" w:eastAsiaTheme="minorEastAsia" w:hAnsiTheme="minorHAnsi" w:cstheme="minorBidi"/>
          <w:b w:val="0"/>
          <w:caps w:val="0"/>
          <w:noProof/>
          <w:sz w:val="22"/>
          <w:szCs w:val="22"/>
        </w:rPr>
      </w:pPr>
      <w:r w:rsidRPr="00DE167F">
        <w:rPr>
          <w:rFonts w:ascii="Arial" w:hAnsi="Arial" w:cs="Arial"/>
          <w:noProof/>
        </w:rPr>
        <w:t>Reliability Standards</w:t>
      </w:r>
      <w:r>
        <w:rPr>
          <w:noProof/>
        </w:rPr>
        <w:tab/>
      </w:r>
      <w:r>
        <w:rPr>
          <w:noProof/>
        </w:rPr>
        <w:fldChar w:fldCharType="begin"/>
      </w:r>
      <w:r>
        <w:rPr>
          <w:noProof/>
        </w:rPr>
        <w:instrText xml:space="preserve"> PAGEREF _Toc244589867 \h </w:instrText>
      </w:r>
      <w:r>
        <w:rPr>
          <w:noProof/>
        </w:rPr>
      </w:r>
      <w:r>
        <w:rPr>
          <w:noProof/>
        </w:rPr>
        <w:fldChar w:fldCharType="separate"/>
      </w:r>
      <w:r>
        <w:rPr>
          <w:noProof/>
        </w:rPr>
        <w:t>6</w:t>
      </w:r>
      <w:r>
        <w:rPr>
          <w:noProof/>
        </w:rPr>
        <w:fldChar w:fldCharType="end"/>
      </w:r>
    </w:p>
    <w:p w:rsidR="001A024E" w:rsidRDefault="001A024E">
      <w:pPr>
        <w:pStyle w:val="TOC1"/>
        <w:rPr>
          <w:rFonts w:asciiTheme="minorHAnsi" w:eastAsiaTheme="minorEastAsia" w:hAnsiTheme="minorHAnsi" w:cstheme="minorBidi"/>
          <w:b w:val="0"/>
          <w:caps w:val="0"/>
          <w:noProof/>
          <w:sz w:val="22"/>
          <w:szCs w:val="22"/>
        </w:rPr>
      </w:pPr>
      <w:r w:rsidRPr="00DE167F">
        <w:rPr>
          <w:rFonts w:ascii="Arial" w:hAnsi="Arial" w:cs="Arial"/>
          <w:noProof/>
        </w:rPr>
        <w:t>Study Assumptions</w:t>
      </w:r>
      <w:r>
        <w:rPr>
          <w:noProof/>
        </w:rPr>
        <w:tab/>
      </w:r>
      <w:r>
        <w:rPr>
          <w:noProof/>
        </w:rPr>
        <w:fldChar w:fldCharType="begin"/>
      </w:r>
      <w:r>
        <w:rPr>
          <w:noProof/>
        </w:rPr>
        <w:instrText xml:space="preserve"> PAGEREF _Toc244589868 \h </w:instrText>
      </w:r>
      <w:r>
        <w:rPr>
          <w:noProof/>
        </w:rPr>
      </w:r>
      <w:r>
        <w:rPr>
          <w:noProof/>
        </w:rPr>
        <w:fldChar w:fldCharType="separate"/>
      </w:r>
      <w:r>
        <w:rPr>
          <w:noProof/>
        </w:rPr>
        <w:t>8</w:t>
      </w:r>
      <w:r>
        <w:rPr>
          <w:noProof/>
        </w:rPr>
        <w:fldChar w:fldCharType="end"/>
      </w:r>
    </w:p>
    <w:p w:rsidR="001A024E" w:rsidRDefault="001A024E">
      <w:pPr>
        <w:pStyle w:val="TOC2"/>
        <w:tabs>
          <w:tab w:val="left" w:pos="800"/>
        </w:tabs>
        <w:rPr>
          <w:rFonts w:asciiTheme="minorHAnsi" w:eastAsiaTheme="minorEastAsia" w:hAnsiTheme="minorHAnsi" w:cstheme="minorBidi"/>
          <w:smallCaps w:val="0"/>
          <w:noProof/>
          <w:sz w:val="22"/>
          <w:szCs w:val="22"/>
        </w:rPr>
      </w:pPr>
      <w:r w:rsidRPr="00DE167F">
        <w:rPr>
          <w:rFonts w:ascii="Arial" w:hAnsi="Arial" w:cs="Arial"/>
          <w:noProof/>
        </w:rPr>
        <w:t>A.</w:t>
      </w:r>
      <w:r>
        <w:rPr>
          <w:rFonts w:asciiTheme="minorHAnsi" w:eastAsiaTheme="minorEastAsia" w:hAnsiTheme="minorHAnsi" w:cstheme="minorBidi"/>
          <w:smallCaps w:val="0"/>
          <w:noProof/>
          <w:sz w:val="22"/>
          <w:szCs w:val="22"/>
        </w:rPr>
        <w:tab/>
      </w:r>
      <w:r w:rsidRPr="00DE167F">
        <w:rPr>
          <w:rFonts w:ascii="Arial" w:hAnsi="Arial" w:cs="Arial"/>
          <w:noProof/>
        </w:rPr>
        <w:t>Base Cases Developed for Transmission System Assessment</w:t>
      </w:r>
      <w:r>
        <w:rPr>
          <w:noProof/>
        </w:rPr>
        <w:tab/>
      </w:r>
      <w:r>
        <w:rPr>
          <w:noProof/>
        </w:rPr>
        <w:fldChar w:fldCharType="begin"/>
      </w:r>
      <w:r>
        <w:rPr>
          <w:noProof/>
        </w:rPr>
        <w:instrText xml:space="preserve"> PAGEREF _Toc244589869 \h </w:instrText>
      </w:r>
      <w:r>
        <w:rPr>
          <w:noProof/>
        </w:rPr>
      </w:r>
      <w:r>
        <w:rPr>
          <w:noProof/>
        </w:rPr>
        <w:fldChar w:fldCharType="separate"/>
      </w:r>
      <w:r>
        <w:rPr>
          <w:noProof/>
        </w:rPr>
        <w:t>9</w:t>
      </w:r>
      <w:r>
        <w:rPr>
          <w:noProof/>
        </w:rPr>
        <w:fldChar w:fldCharType="end"/>
      </w:r>
    </w:p>
    <w:p w:rsidR="001A024E" w:rsidRDefault="001A024E">
      <w:pPr>
        <w:pStyle w:val="TOC2"/>
        <w:tabs>
          <w:tab w:val="left" w:pos="800"/>
        </w:tabs>
        <w:rPr>
          <w:rFonts w:asciiTheme="minorHAnsi" w:eastAsiaTheme="minorEastAsia" w:hAnsiTheme="minorHAnsi" w:cstheme="minorBidi"/>
          <w:smallCaps w:val="0"/>
          <w:noProof/>
          <w:sz w:val="22"/>
          <w:szCs w:val="22"/>
        </w:rPr>
      </w:pPr>
      <w:r w:rsidRPr="00DE167F">
        <w:rPr>
          <w:rFonts w:ascii="Arial" w:hAnsi="Arial" w:cs="Arial"/>
          <w:noProof/>
        </w:rPr>
        <w:t>B.</w:t>
      </w:r>
      <w:r>
        <w:rPr>
          <w:rFonts w:asciiTheme="minorHAnsi" w:eastAsiaTheme="minorEastAsia" w:hAnsiTheme="minorHAnsi" w:cstheme="minorBidi"/>
          <w:smallCaps w:val="0"/>
          <w:noProof/>
          <w:sz w:val="22"/>
          <w:szCs w:val="22"/>
        </w:rPr>
        <w:tab/>
      </w:r>
      <w:r w:rsidRPr="00DE167F">
        <w:rPr>
          <w:rFonts w:ascii="Arial" w:hAnsi="Arial" w:cs="Arial"/>
          <w:noProof/>
        </w:rPr>
        <w:t>Electric Demand and Power Factor Assumptions Methodology</w:t>
      </w:r>
      <w:r>
        <w:rPr>
          <w:noProof/>
        </w:rPr>
        <w:tab/>
      </w:r>
      <w:r>
        <w:rPr>
          <w:noProof/>
        </w:rPr>
        <w:fldChar w:fldCharType="begin"/>
      </w:r>
      <w:r>
        <w:rPr>
          <w:noProof/>
        </w:rPr>
        <w:instrText xml:space="preserve"> PAGEREF _Toc244589870 \h </w:instrText>
      </w:r>
      <w:r>
        <w:rPr>
          <w:noProof/>
        </w:rPr>
      </w:r>
      <w:r>
        <w:rPr>
          <w:noProof/>
        </w:rPr>
        <w:fldChar w:fldCharType="separate"/>
      </w:r>
      <w:r>
        <w:rPr>
          <w:noProof/>
        </w:rPr>
        <w:t>10</w:t>
      </w:r>
      <w:r>
        <w:rPr>
          <w:noProof/>
        </w:rPr>
        <w:fldChar w:fldCharType="end"/>
      </w:r>
    </w:p>
    <w:p w:rsidR="001A024E" w:rsidRDefault="001A024E">
      <w:pPr>
        <w:pStyle w:val="TOC2"/>
        <w:tabs>
          <w:tab w:val="left" w:pos="800"/>
        </w:tabs>
        <w:rPr>
          <w:rFonts w:asciiTheme="minorHAnsi" w:eastAsiaTheme="minorEastAsia" w:hAnsiTheme="minorHAnsi" w:cstheme="minorBidi"/>
          <w:smallCaps w:val="0"/>
          <w:noProof/>
          <w:sz w:val="22"/>
          <w:szCs w:val="22"/>
        </w:rPr>
      </w:pPr>
      <w:r w:rsidRPr="00DE167F">
        <w:rPr>
          <w:rFonts w:ascii="Arial" w:hAnsi="Arial" w:cs="Arial"/>
          <w:noProof/>
        </w:rPr>
        <w:t>C.</w:t>
      </w:r>
      <w:r>
        <w:rPr>
          <w:rFonts w:asciiTheme="minorHAnsi" w:eastAsiaTheme="minorEastAsia" w:hAnsiTheme="minorHAnsi" w:cstheme="minorBidi"/>
          <w:smallCaps w:val="0"/>
          <w:noProof/>
          <w:sz w:val="22"/>
          <w:szCs w:val="22"/>
        </w:rPr>
        <w:tab/>
      </w:r>
      <w:r w:rsidRPr="00DE167F">
        <w:rPr>
          <w:rFonts w:ascii="Arial" w:hAnsi="Arial" w:cs="Arial"/>
          <w:noProof/>
        </w:rPr>
        <w:t>Import-Export and Major Path Assumptions</w:t>
      </w:r>
      <w:r>
        <w:rPr>
          <w:noProof/>
        </w:rPr>
        <w:tab/>
      </w:r>
      <w:r>
        <w:rPr>
          <w:noProof/>
        </w:rPr>
        <w:fldChar w:fldCharType="begin"/>
      </w:r>
      <w:r>
        <w:rPr>
          <w:noProof/>
        </w:rPr>
        <w:instrText xml:space="preserve"> PAGEREF _Toc244589871 \h </w:instrText>
      </w:r>
      <w:r>
        <w:rPr>
          <w:noProof/>
        </w:rPr>
      </w:r>
      <w:r>
        <w:rPr>
          <w:noProof/>
        </w:rPr>
        <w:fldChar w:fldCharType="separate"/>
      </w:r>
      <w:r>
        <w:rPr>
          <w:noProof/>
        </w:rPr>
        <w:t>10</w:t>
      </w:r>
      <w:r>
        <w:rPr>
          <w:noProof/>
        </w:rPr>
        <w:fldChar w:fldCharType="end"/>
      </w:r>
    </w:p>
    <w:p w:rsidR="001A024E" w:rsidRDefault="001A024E">
      <w:pPr>
        <w:pStyle w:val="TOC2"/>
        <w:tabs>
          <w:tab w:val="left" w:pos="800"/>
        </w:tabs>
        <w:rPr>
          <w:rFonts w:asciiTheme="minorHAnsi" w:eastAsiaTheme="minorEastAsia" w:hAnsiTheme="minorHAnsi" w:cstheme="minorBidi"/>
          <w:smallCaps w:val="0"/>
          <w:noProof/>
          <w:sz w:val="22"/>
          <w:szCs w:val="22"/>
        </w:rPr>
      </w:pPr>
      <w:r w:rsidRPr="00DE167F">
        <w:rPr>
          <w:rFonts w:ascii="Arial" w:hAnsi="Arial" w:cs="Arial"/>
          <w:noProof/>
        </w:rPr>
        <w:t>D.</w:t>
      </w:r>
      <w:r>
        <w:rPr>
          <w:rFonts w:asciiTheme="minorHAnsi" w:eastAsiaTheme="minorEastAsia" w:hAnsiTheme="minorHAnsi" w:cstheme="minorBidi"/>
          <w:smallCaps w:val="0"/>
          <w:noProof/>
          <w:sz w:val="22"/>
          <w:szCs w:val="22"/>
        </w:rPr>
        <w:tab/>
      </w:r>
      <w:r w:rsidRPr="00DE167F">
        <w:rPr>
          <w:rFonts w:ascii="Arial" w:hAnsi="Arial" w:cs="Arial"/>
          <w:noProof/>
        </w:rPr>
        <w:t>Generation Assumptions</w:t>
      </w:r>
      <w:r>
        <w:rPr>
          <w:noProof/>
        </w:rPr>
        <w:tab/>
      </w:r>
      <w:r>
        <w:rPr>
          <w:noProof/>
        </w:rPr>
        <w:fldChar w:fldCharType="begin"/>
      </w:r>
      <w:r>
        <w:rPr>
          <w:noProof/>
        </w:rPr>
        <w:instrText xml:space="preserve"> PAGEREF _Toc244589872 \h </w:instrText>
      </w:r>
      <w:r>
        <w:rPr>
          <w:noProof/>
        </w:rPr>
      </w:r>
      <w:r>
        <w:rPr>
          <w:noProof/>
        </w:rPr>
        <w:fldChar w:fldCharType="separate"/>
      </w:r>
      <w:r>
        <w:rPr>
          <w:noProof/>
        </w:rPr>
        <w:t>11</w:t>
      </w:r>
      <w:r>
        <w:rPr>
          <w:noProof/>
        </w:rPr>
        <w:fldChar w:fldCharType="end"/>
      </w:r>
    </w:p>
    <w:p w:rsidR="001A024E" w:rsidRDefault="001A024E">
      <w:pPr>
        <w:pStyle w:val="TOC1"/>
        <w:rPr>
          <w:rFonts w:asciiTheme="minorHAnsi" w:eastAsiaTheme="minorEastAsia" w:hAnsiTheme="minorHAnsi" w:cstheme="minorBidi"/>
          <w:b w:val="0"/>
          <w:caps w:val="0"/>
          <w:noProof/>
          <w:sz w:val="22"/>
          <w:szCs w:val="22"/>
        </w:rPr>
      </w:pPr>
      <w:r w:rsidRPr="00DE167F">
        <w:rPr>
          <w:rFonts w:ascii="Arial" w:hAnsi="Arial" w:cs="Arial"/>
          <w:noProof/>
        </w:rPr>
        <w:t>Study Scope</w:t>
      </w:r>
      <w:r>
        <w:rPr>
          <w:noProof/>
        </w:rPr>
        <w:tab/>
      </w:r>
      <w:r>
        <w:rPr>
          <w:noProof/>
        </w:rPr>
        <w:fldChar w:fldCharType="begin"/>
      </w:r>
      <w:r>
        <w:rPr>
          <w:noProof/>
        </w:rPr>
        <w:instrText xml:space="preserve"> PAGEREF _Toc244589873 \h </w:instrText>
      </w:r>
      <w:r>
        <w:rPr>
          <w:noProof/>
        </w:rPr>
      </w:r>
      <w:r>
        <w:rPr>
          <w:noProof/>
        </w:rPr>
        <w:fldChar w:fldCharType="separate"/>
      </w:r>
      <w:r>
        <w:rPr>
          <w:noProof/>
        </w:rPr>
        <w:t>11</w:t>
      </w:r>
      <w:r>
        <w:rPr>
          <w:noProof/>
        </w:rPr>
        <w:fldChar w:fldCharType="end"/>
      </w:r>
    </w:p>
    <w:p w:rsidR="001A024E" w:rsidRDefault="001A024E">
      <w:pPr>
        <w:pStyle w:val="TOC2"/>
        <w:tabs>
          <w:tab w:val="left" w:pos="800"/>
        </w:tabs>
        <w:rPr>
          <w:rFonts w:asciiTheme="minorHAnsi" w:eastAsiaTheme="minorEastAsia" w:hAnsiTheme="minorHAnsi" w:cstheme="minorBidi"/>
          <w:smallCaps w:val="0"/>
          <w:noProof/>
          <w:sz w:val="22"/>
          <w:szCs w:val="22"/>
        </w:rPr>
      </w:pPr>
      <w:r w:rsidRPr="00DE167F">
        <w:rPr>
          <w:rFonts w:ascii="Arial" w:hAnsi="Arial" w:cs="Arial"/>
          <w:noProof/>
        </w:rPr>
        <w:t>A.</w:t>
      </w:r>
      <w:r>
        <w:rPr>
          <w:rFonts w:asciiTheme="minorHAnsi" w:eastAsiaTheme="minorEastAsia" w:hAnsiTheme="minorHAnsi" w:cstheme="minorBidi"/>
          <w:smallCaps w:val="0"/>
          <w:noProof/>
          <w:sz w:val="22"/>
          <w:szCs w:val="22"/>
        </w:rPr>
        <w:tab/>
      </w:r>
      <w:r w:rsidRPr="00DE167F">
        <w:rPr>
          <w:rFonts w:ascii="Arial" w:hAnsi="Arial" w:cs="Arial"/>
          <w:noProof/>
        </w:rPr>
        <w:t>Thermal Loading and Voltage Limits</w:t>
      </w:r>
      <w:r>
        <w:rPr>
          <w:noProof/>
        </w:rPr>
        <w:tab/>
      </w:r>
      <w:r>
        <w:rPr>
          <w:noProof/>
        </w:rPr>
        <w:fldChar w:fldCharType="begin"/>
      </w:r>
      <w:r>
        <w:rPr>
          <w:noProof/>
        </w:rPr>
        <w:instrText xml:space="preserve"> PAGEREF _Toc244589874 \h </w:instrText>
      </w:r>
      <w:r>
        <w:rPr>
          <w:noProof/>
        </w:rPr>
      </w:r>
      <w:r>
        <w:rPr>
          <w:noProof/>
        </w:rPr>
        <w:fldChar w:fldCharType="separate"/>
      </w:r>
      <w:r>
        <w:rPr>
          <w:noProof/>
        </w:rPr>
        <w:t>12</w:t>
      </w:r>
      <w:r>
        <w:rPr>
          <w:noProof/>
        </w:rPr>
        <w:fldChar w:fldCharType="end"/>
      </w:r>
    </w:p>
    <w:p w:rsidR="001A024E" w:rsidRDefault="001A024E">
      <w:pPr>
        <w:pStyle w:val="TOC2"/>
        <w:tabs>
          <w:tab w:val="left" w:pos="800"/>
        </w:tabs>
        <w:rPr>
          <w:rFonts w:asciiTheme="minorHAnsi" w:eastAsiaTheme="minorEastAsia" w:hAnsiTheme="minorHAnsi" w:cstheme="minorBidi"/>
          <w:smallCaps w:val="0"/>
          <w:noProof/>
          <w:sz w:val="22"/>
          <w:szCs w:val="22"/>
        </w:rPr>
      </w:pPr>
      <w:r w:rsidRPr="00DE167F">
        <w:rPr>
          <w:rFonts w:ascii="Arial" w:hAnsi="Arial" w:cs="Arial"/>
          <w:noProof/>
        </w:rPr>
        <w:t>B.</w:t>
      </w:r>
      <w:r>
        <w:rPr>
          <w:rFonts w:asciiTheme="minorHAnsi" w:eastAsiaTheme="minorEastAsia" w:hAnsiTheme="minorHAnsi" w:cstheme="minorBidi"/>
          <w:smallCaps w:val="0"/>
          <w:noProof/>
          <w:sz w:val="22"/>
          <w:szCs w:val="22"/>
        </w:rPr>
        <w:tab/>
      </w:r>
      <w:r w:rsidRPr="00DE167F">
        <w:rPr>
          <w:rFonts w:ascii="Arial" w:hAnsi="Arial" w:cs="Arial"/>
          <w:noProof/>
        </w:rPr>
        <w:t>Voltage Stability – Post Transient Voltage</w:t>
      </w:r>
      <w:r>
        <w:rPr>
          <w:noProof/>
        </w:rPr>
        <w:tab/>
      </w:r>
      <w:r>
        <w:rPr>
          <w:noProof/>
        </w:rPr>
        <w:fldChar w:fldCharType="begin"/>
      </w:r>
      <w:r>
        <w:rPr>
          <w:noProof/>
        </w:rPr>
        <w:instrText xml:space="preserve"> PAGEREF _Toc244589875 \h </w:instrText>
      </w:r>
      <w:r>
        <w:rPr>
          <w:noProof/>
        </w:rPr>
      </w:r>
      <w:r>
        <w:rPr>
          <w:noProof/>
        </w:rPr>
        <w:fldChar w:fldCharType="separate"/>
      </w:r>
      <w:r>
        <w:rPr>
          <w:noProof/>
        </w:rPr>
        <w:t>12</w:t>
      </w:r>
      <w:r>
        <w:rPr>
          <w:noProof/>
        </w:rPr>
        <w:fldChar w:fldCharType="end"/>
      </w:r>
    </w:p>
    <w:p w:rsidR="001A024E" w:rsidRDefault="001A024E">
      <w:pPr>
        <w:pStyle w:val="TOC2"/>
        <w:tabs>
          <w:tab w:val="left" w:pos="800"/>
        </w:tabs>
        <w:rPr>
          <w:rFonts w:asciiTheme="minorHAnsi" w:eastAsiaTheme="minorEastAsia" w:hAnsiTheme="minorHAnsi" w:cstheme="minorBidi"/>
          <w:smallCaps w:val="0"/>
          <w:noProof/>
          <w:sz w:val="22"/>
          <w:szCs w:val="22"/>
        </w:rPr>
      </w:pPr>
      <w:r w:rsidRPr="00DE167F">
        <w:rPr>
          <w:rFonts w:ascii="Arial" w:hAnsi="Arial" w:cs="Arial"/>
          <w:noProof/>
        </w:rPr>
        <w:t>C.</w:t>
      </w:r>
      <w:r>
        <w:rPr>
          <w:rFonts w:asciiTheme="minorHAnsi" w:eastAsiaTheme="minorEastAsia" w:hAnsiTheme="minorHAnsi" w:cstheme="minorBidi"/>
          <w:smallCaps w:val="0"/>
          <w:noProof/>
          <w:sz w:val="22"/>
          <w:szCs w:val="22"/>
        </w:rPr>
        <w:tab/>
      </w:r>
      <w:r w:rsidRPr="00DE167F">
        <w:rPr>
          <w:rFonts w:ascii="Arial" w:hAnsi="Arial" w:cs="Arial"/>
          <w:noProof/>
        </w:rPr>
        <w:t>Transient Stability</w:t>
      </w:r>
      <w:r>
        <w:rPr>
          <w:noProof/>
        </w:rPr>
        <w:tab/>
      </w:r>
      <w:r>
        <w:rPr>
          <w:noProof/>
        </w:rPr>
        <w:fldChar w:fldCharType="begin"/>
      </w:r>
      <w:r>
        <w:rPr>
          <w:noProof/>
        </w:rPr>
        <w:instrText xml:space="preserve"> PAGEREF _Toc244589876 \h </w:instrText>
      </w:r>
      <w:r>
        <w:rPr>
          <w:noProof/>
        </w:rPr>
      </w:r>
      <w:r>
        <w:rPr>
          <w:noProof/>
        </w:rPr>
        <w:fldChar w:fldCharType="separate"/>
      </w:r>
      <w:r>
        <w:rPr>
          <w:noProof/>
        </w:rPr>
        <w:t>13</w:t>
      </w:r>
      <w:r>
        <w:rPr>
          <w:noProof/>
        </w:rPr>
        <w:fldChar w:fldCharType="end"/>
      </w:r>
    </w:p>
    <w:p w:rsidR="001A024E" w:rsidRDefault="001A024E">
      <w:pPr>
        <w:pStyle w:val="TOC1"/>
        <w:rPr>
          <w:rFonts w:asciiTheme="minorHAnsi" w:eastAsiaTheme="minorEastAsia" w:hAnsiTheme="minorHAnsi" w:cstheme="minorBidi"/>
          <w:b w:val="0"/>
          <w:caps w:val="0"/>
          <w:noProof/>
          <w:sz w:val="22"/>
          <w:szCs w:val="22"/>
        </w:rPr>
      </w:pPr>
      <w:r w:rsidRPr="00DE167F">
        <w:rPr>
          <w:rFonts w:ascii="Arial" w:hAnsi="Arial" w:cs="Arial"/>
          <w:noProof/>
        </w:rPr>
        <w:t>System Assessment</w:t>
      </w:r>
      <w:r>
        <w:rPr>
          <w:noProof/>
        </w:rPr>
        <w:tab/>
      </w:r>
      <w:r>
        <w:rPr>
          <w:noProof/>
        </w:rPr>
        <w:fldChar w:fldCharType="begin"/>
      </w:r>
      <w:r>
        <w:rPr>
          <w:noProof/>
        </w:rPr>
        <w:instrText xml:space="preserve"> PAGEREF _Toc244589877 \h </w:instrText>
      </w:r>
      <w:r>
        <w:rPr>
          <w:noProof/>
        </w:rPr>
      </w:r>
      <w:r>
        <w:rPr>
          <w:noProof/>
        </w:rPr>
        <w:fldChar w:fldCharType="separate"/>
      </w:r>
      <w:r>
        <w:rPr>
          <w:noProof/>
        </w:rPr>
        <w:t>13</w:t>
      </w:r>
      <w:r>
        <w:rPr>
          <w:noProof/>
        </w:rPr>
        <w:fldChar w:fldCharType="end"/>
      </w:r>
    </w:p>
    <w:p w:rsidR="001A024E" w:rsidRDefault="001A024E">
      <w:pPr>
        <w:pStyle w:val="TOC2"/>
        <w:tabs>
          <w:tab w:val="left" w:pos="800"/>
        </w:tabs>
        <w:rPr>
          <w:rFonts w:asciiTheme="minorHAnsi" w:eastAsiaTheme="minorEastAsia" w:hAnsiTheme="minorHAnsi" w:cstheme="minorBidi"/>
          <w:smallCaps w:val="0"/>
          <w:noProof/>
          <w:sz w:val="22"/>
          <w:szCs w:val="22"/>
        </w:rPr>
      </w:pPr>
      <w:r w:rsidRPr="00DE167F">
        <w:rPr>
          <w:rFonts w:ascii="Arial" w:hAnsi="Arial" w:cs="Arial"/>
          <w:noProof/>
        </w:rPr>
        <w:t>A.</w:t>
      </w:r>
      <w:r>
        <w:rPr>
          <w:rFonts w:asciiTheme="minorHAnsi" w:eastAsiaTheme="minorEastAsia" w:hAnsiTheme="minorHAnsi" w:cstheme="minorBidi"/>
          <w:smallCaps w:val="0"/>
          <w:noProof/>
          <w:sz w:val="22"/>
          <w:szCs w:val="22"/>
        </w:rPr>
        <w:tab/>
      </w:r>
      <w:r w:rsidRPr="00DE167F">
        <w:rPr>
          <w:rFonts w:ascii="Arial" w:hAnsi="Arial" w:cs="Arial"/>
          <w:noProof/>
        </w:rPr>
        <w:t>Category A (NERC Planning Standard TPL - 001):  All Facilities in Service, (N-0)</w:t>
      </w:r>
      <w:r>
        <w:rPr>
          <w:noProof/>
        </w:rPr>
        <w:tab/>
      </w:r>
      <w:r>
        <w:rPr>
          <w:noProof/>
        </w:rPr>
        <w:fldChar w:fldCharType="begin"/>
      </w:r>
      <w:r>
        <w:rPr>
          <w:noProof/>
        </w:rPr>
        <w:instrText xml:space="preserve"> PAGEREF _Toc244589878 \h </w:instrText>
      </w:r>
      <w:r>
        <w:rPr>
          <w:noProof/>
        </w:rPr>
      </w:r>
      <w:r>
        <w:rPr>
          <w:noProof/>
        </w:rPr>
        <w:fldChar w:fldCharType="separate"/>
      </w:r>
      <w:r>
        <w:rPr>
          <w:noProof/>
        </w:rPr>
        <w:t>15</w:t>
      </w:r>
      <w:r>
        <w:rPr>
          <w:noProof/>
        </w:rPr>
        <w:fldChar w:fldCharType="end"/>
      </w:r>
    </w:p>
    <w:p w:rsidR="001A024E" w:rsidRDefault="001A024E">
      <w:pPr>
        <w:pStyle w:val="TOC2"/>
        <w:tabs>
          <w:tab w:val="left" w:pos="800"/>
        </w:tabs>
        <w:rPr>
          <w:rFonts w:asciiTheme="minorHAnsi" w:eastAsiaTheme="minorEastAsia" w:hAnsiTheme="minorHAnsi" w:cstheme="minorBidi"/>
          <w:smallCaps w:val="0"/>
          <w:noProof/>
          <w:sz w:val="22"/>
          <w:szCs w:val="22"/>
        </w:rPr>
      </w:pPr>
      <w:r w:rsidRPr="00DE167F">
        <w:rPr>
          <w:rFonts w:ascii="Arial" w:hAnsi="Arial" w:cs="Arial"/>
          <w:noProof/>
        </w:rPr>
        <w:t>B.</w:t>
      </w:r>
      <w:r>
        <w:rPr>
          <w:rFonts w:asciiTheme="minorHAnsi" w:eastAsiaTheme="minorEastAsia" w:hAnsiTheme="minorHAnsi" w:cstheme="minorBidi"/>
          <w:smallCaps w:val="0"/>
          <w:noProof/>
          <w:sz w:val="22"/>
          <w:szCs w:val="22"/>
        </w:rPr>
        <w:tab/>
      </w:r>
      <w:r w:rsidRPr="00DE167F">
        <w:rPr>
          <w:rFonts w:ascii="Arial" w:hAnsi="Arial" w:cs="Arial"/>
          <w:noProof/>
        </w:rPr>
        <w:t>Category B (NERC Planning Standard TPL - 002):  Single Element Outage, (N-1)</w:t>
      </w:r>
      <w:r>
        <w:rPr>
          <w:noProof/>
        </w:rPr>
        <w:tab/>
      </w:r>
      <w:r>
        <w:rPr>
          <w:noProof/>
        </w:rPr>
        <w:fldChar w:fldCharType="begin"/>
      </w:r>
      <w:r>
        <w:rPr>
          <w:noProof/>
        </w:rPr>
        <w:instrText xml:space="preserve"> PAGEREF _Toc244589879 \h </w:instrText>
      </w:r>
      <w:r>
        <w:rPr>
          <w:noProof/>
        </w:rPr>
      </w:r>
      <w:r>
        <w:rPr>
          <w:noProof/>
        </w:rPr>
        <w:fldChar w:fldCharType="separate"/>
      </w:r>
      <w:r>
        <w:rPr>
          <w:noProof/>
        </w:rPr>
        <w:t>16</w:t>
      </w:r>
      <w:r>
        <w:rPr>
          <w:noProof/>
        </w:rPr>
        <w:fldChar w:fldCharType="end"/>
      </w:r>
    </w:p>
    <w:p w:rsidR="001A024E" w:rsidRDefault="001A024E">
      <w:pPr>
        <w:pStyle w:val="TOC2"/>
        <w:tabs>
          <w:tab w:val="left" w:pos="800"/>
        </w:tabs>
        <w:rPr>
          <w:rFonts w:asciiTheme="minorHAnsi" w:eastAsiaTheme="minorEastAsia" w:hAnsiTheme="minorHAnsi" w:cstheme="minorBidi"/>
          <w:smallCaps w:val="0"/>
          <w:noProof/>
          <w:sz w:val="22"/>
          <w:szCs w:val="22"/>
        </w:rPr>
      </w:pPr>
      <w:r w:rsidRPr="00DE167F">
        <w:rPr>
          <w:rFonts w:ascii="Arial" w:hAnsi="Arial" w:cs="Arial"/>
          <w:noProof/>
        </w:rPr>
        <w:t>C.</w:t>
      </w:r>
      <w:r>
        <w:rPr>
          <w:rFonts w:asciiTheme="minorHAnsi" w:eastAsiaTheme="minorEastAsia" w:hAnsiTheme="minorHAnsi" w:cstheme="minorBidi"/>
          <w:smallCaps w:val="0"/>
          <w:noProof/>
          <w:sz w:val="22"/>
          <w:szCs w:val="22"/>
        </w:rPr>
        <w:tab/>
      </w:r>
      <w:r w:rsidRPr="00DE167F">
        <w:rPr>
          <w:rFonts w:ascii="Arial" w:hAnsi="Arial" w:cs="Arial"/>
          <w:noProof/>
        </w:rPr>
        <w:t>Category C (NERC Planning Standard TPL - 003): Double Element Outages, (N-2)</w:t>
      </w:r>
      <w:r>
        <w:rPr>
          <w:noProof/>
        </w:rPr>
        <w:tab/>
      </w:r>
      <w:r>
        <w:rPr>
          <w:noProof/>
        </w:rPr>
        <w:fldChar w:fldCharType="begin"/>
      </w:r>
      <w:r>
        <w:rPr>
          <w:noProof/>
        </w:rPr>
        <w:instrText xml:space="preserve"> PAGEREF _Toc244589880 \h </w:instrText>
      </w:r>
      <w:r>
        <w:rPr>
          <w:noProof/>
        </w:rPr>
      </w:r>
      <w:r>
        <w:rPr>
          <w:noProof/>
        </w:rPr>
        <w:fldChar w:fldCharType="separate"/>
      </w:r>
      <w:r>
        <w:rPr>
          <w:noProof/>
        </w:rPr>
        <w:t>17</w:t>
      </w:r>
      <w:r>
        <w:rPr>
          <w:noProof/>
        </w:rPr>
        <w:fldChar w:fldCharType="end"/>
      </w:r>
    </w:p>
    <w:p w:rsidR="001A024E" w:rsidRDefault="001A024E">
      <w:pPr>
        <w:pStyle w:val="TOC2"/>
        <w:tabs>
          <w:tab w:val="left" w:pos="800"/>
        </w:tabs>
        <w:rPr>
          <w:rFonts w:asciiTheme="minorHAnsi" w:eastAsiaTheme="minorEastAsia" w:hAnsiTheme="minorHAnsi" w:cstheme="minorBidi"/>
          <w:smallCaps w:val="0"/>
          <w:noProof/>
          <w:sz w:val="22"/>
          <w:szCs w:val="22"/>
        </w:rPr>
      </w:pPr>
      <w:r w:rsidRPr="00DE167F">
        <w:rPr>
          <w:rFonts w:ascii="Arial" w:hAnsi="Arial" w:cs="Arial"/>
          <w:noProof/>
        </w:rPr>
        <w:t>D.</w:t>
      </w:r>
      <w:r>
        <w:rPr>
          <w:rFonts w:asciiTheme="minorHAnsi" w:eastAsiaTheme="minorEastAsia" w:hAnsiTheme="minorHAnsi" w:cstheme="minorBidi"/>
          <w:smallCaps w:val="0"/>
          <w:noProof/>
          <w:sz w:val="22"/>
          <w:szCs w:val="22"/>
        </w:rPr>
        <w:tab/>
      </w:r>
      <w:r w:rsidRPr="00DE167F">
        <w:rPr>
          <w:rFonts w:ascii="Arial" w:hAnsi="Arial" w:cs="Arial"/>
          <w:noProof/>
        </w:rPr>
        <w:t>Category D (NERC Planning Standard TPL - 004): Extreme Events (N-2 plus)</w:t>
      </w:r>
      <w:r>
        <w:rPr>
          <w:noProof/>
        </w:rPr>
        <w:tab/>
      </w:r>
      <w:r>
        <w:rPr>
          <w:noProof/>
        </w:rPr>
        <w:fldChar w:fldCharType="begin"/>
      </w:r>
      <w:r>
        <w:rPr>
          <w:noProof/>
        </w:rPr>
        <w:instrText xml:space="preserve"> PAGEREF _Toc244589881 \h </w:instrText>
      </w:r>
      <w:r>
        <w:rPr>
          <w:noProof/>
        </w:rPr>
      </w:r>
      <w:r>
        <w:rPr>
          <w:noProof/>
        </w:rPr>
        <w:fldChar w:fldCharType="separate"/>
      </w:r>
      <w:r>
        <w:rPr>
          <w:noProof/>
        </w:rPr>
        <w:t>19</w:t>
      </w:r>
      <w:r>
        <w:rPr>
          <w:noProof/>
        </w:rPr>
        <w:fldChar w:fldCharType="end"/>
      </w:r>
    </w:p>
    <w:p w:rsidR="001A024E" w:rsidRDefault="001A024E" w:rsidP="001A024E">
      <w:pPr>
        <w:pStyle w:val="TOC2"/>
        <w:tabs>
          <w:tab w:val="left" w:pos="1620"/>
        </w:tabs>
        <w:ind w:left="1620" w:hanging="1420"/>
        <w:rPr>
          <w:rFonts w:asciiTheme="minorHAnsi" w:eastAsiaTheme="minorEastAsia" w:hAnsiTheme="minorHAnsi" w:cstheme="minorBidi"/>
          <w:smallCaps w:val="0"/>
          <w:noProof/>
          <w:sz w:val="22"/>
          <w:szCs w:val="22"/>
        </w:rPr>
      </w:pPr>
      <w:r w:rsidRPr="00DE167F">
        <w:rPr>
          <w:rFonts w:ascii="Arial" w:hAnsi="Arial" w:cs="Arial"/>
          <w:noProof/>
        </w:rPr>
        <w:t>Attachment 1:  Diagram of the Western Area Power Administration – Sierra Nevada Region Transmission System</w:t>
      </w:r>
      <w:r>
        <w:rPr>
          <w:noProof/>
        </w:rPr>
        <w:tab/>
      </w:r>
      <w:r>
        <w:rPr>
          <w:noProof/>
        </w:rPr>
        <w:fldChar w:fldCharType="begin"/>
      </w:r>
      <w:r>
        <w:rPr>
          <w:noProof/>
        </w:rPr>
        <w:instrText xml:space="preserve"> PAGEREF _Toc244589882 \h </w:instrText>
      </w:r>
      <w:r>
        <w:rPr>
          <w:noProof/>
        </w:rPr>
      </w:r>
      <w:r>
        <w:rPr>
          <w:noProof/>
        </w:rPr>
        <w:fldChar w:fldCharType="separate"/>
      </w:r>
      <w:r>
        <w:rPr>
          <w:noProof/>
        </w:rPr>
        <w:t>21</w:t>
      </w:r>
      <w:r>
        <w:rPr>
          <w:noProof/>
        </w:rPr>
        <w:fldChar w:fldCharType="end"/>
      </w:r>
    </w:p>
    <w:p w:rsidR="001A024E" w:rsidRDefault="001A024E">
      <w:pPr>
        <w:pStyle w:val="TOC2"/>
        <w:rPr>
          <w:noProof/>
        </w:rPr>
      </w:pPr>
      <w:r w:rsidRPr="00DE167F">
        <w:rPr>
          <w:rFonts w:ascii="Arial" w:hAnsi="Arial" w:cs="Arial"/>
          <w:noProof/>
        </w:rPr>
        <w:t>Attachment 2:  Contingencies Studies</w:t>
      </w:r>
      <w:r>
        <w:rPr>
          <w:noProof/>
        </w:rPr>
        <w:tab/>
      </w:r>
      <w:r>
        <w:rPr>
          <w:noProof/>
        </w:rPr>
        <w:fldChar w:fldCharType="begin"/>
      </w:r>
      <w:r>
        <w:rPr>
          <w:noProof/>
        </w:rPr>
        <w:instrText xml:space="preserve"> PAGEREF _Toc244589883 \h </w:instrText>
      </w:r>
      <w:r>
        <w:rPr>
          <w:noProof/>
        </w:rPr>
      </w:r>
      <w:r>
        <w:rPr>
          <w:noProof/>
        </w:rPr>
        <w:fldChar w:fldCharType="separate"/>
      </w:r>
      <w:r>
        <w:rPr>
          <w:noProof/>
        </w:rPr>
        <w:t>22</w:t>
      </w:r>
      <w:r>
        <w:rPr>
          <w:noProof/>
        </w:rPr>
        <w:fldChar w:fldCharType="end"/>
      </w:r>
    </w:p>
    <w:p w:rsidR="001A024E" w:rsidRPr="001A024E" w:rsidRDefault="001A024E" w:rsidP="001A024E">
      <w:pPr>
        <w:rPr>
          <w:rFonts w:eastAsiaTheme="minorEastAsia"/>
        </w:rPr>
      </w:pPr>
    </w:p>
    <w:p w:rsidR="001A024E" w:rsidRDefault="001A024E">
      <w:pPr>
        <w:pStyle w:val="TOC2"/>
        <w:rPr>
          <w:rFonts w:asciiTheme="minorHAnsi" w:eastAsiaTheme="minorEastAsia" w:hAnsiTheme="minorHAnsi" w:cstheme="minorBidi"/>
          <w:smallCaps w:val="0"/>
          <w:noProof/>
          <w:sz w:val="22"/>
          <w:szCs w:val="22"/>
        </w:rPr>
      </w:pPr>
      <w:r w:rsidRPr="00DE167F">
        <w:rPr>
          <w:rFonts w:ascii="Arial" w:hAnsi="Arial" w:cs="Arial"/>
          <w:noProof/>
        </w:rPr>
        <w:t>Attachments 3, 4, 5, and 6 are separate documents containing power flow, post-transient and dynamic stability plots.  The plots included represent the overall study results.  Plots for contingencies not included in the attachments are available upon request.</w:t>
      </w:r>
      <w:r>
        <w:rPr>
          <w:noProof/>
        </w:rPr>
        <w:tab/>
      </w:r>
      <w:r>
        <w:rPr>
          <w:noProof/>
        </w:rPr>
        <w:fldChar w:fldCharType="begin"/>
      </w:r>
      <w:r>
        <w:rPr>
          <w:noProof/>
        </w:rPr>
        <w:instrText xml:space="preserve"> PAGEREF _Toc244589884 \h </w:instrText>
      </w:r>
      <w:r>
        <w:rPr>
          <w:noProof/>
        </w:rPr>
      </w:r>
      <w:r>
        <w:rPr>
          <w:noProof/>
        </w:rPr>
        <w:fldChar w:fldCharType="separate"/>
      </w:r>
      <w:r>
        <w:rPr>
          <w:noProof/>
        </w:rPr>
        <w:t>24</w:t>
      </w:r>
      <w:r>
        <w:rPr>
          <w:noProof/>
        </w:rPr>
        <w:fldChar w:fldCharType="end"/>
      </w:r>
    </w:p>
    <w:p w:rsidR="00013CD1" w:rsidRDefault="00F66BCC" w:rsidP="00367124">
      <w:pPr>
        <w:widowControl/>
        <w:rPr>
          <w:rFonts w:ascii="Arial" w:hAnsi="Arial" w:cs="Arial"/>
          <w:sz w:val="24"/>
        </w:rPr>
      </w:pPr>
      <w:r>
        <w:rPr>
          <w:rFonts w:ascii="Arial" w:hAnsi="Arial" w:cs="Arial"/>
          <w:sz w:val="24"/>
        </w:rPr>
        <w:fldChar w:fldCharType="end"/>
      </w:r>
    </w:p>
    <w:p w:rsidR="009A4865" w:rsidRDefault="009A4865" w:rsidP="009A4865">
      <w:pPr>
        <w:pStyle w:val="TOC2"/>
        <w:ind w:left="1620" w:hanging="1440"/>
        <w:rPr>
          <w:rFonts w:asciiTheme="minorHAnsi" w:eastAsiaTheme="minorEastAsia" w:hAnsiTheme="minorHAnsi" w:cstheme="minorBidi"/>
          <w:smallCaps w:val="0"/>
          <w:noProof/>
          <w:sz w:val="22"/>
          <w:szCs w:val="22"/>
        </w:rPr>
      </w:pPr>
      <w:r w:rsidRPr="000622D7">
        <w:rPr>
          <w:rFonts w:ascii="Arial" w:hAnsi="Arial" w:cs="Arial"/>
          <w:noProof/>
        </w:rPr>
        <w:t>Attachment 3:  Category A (NERC Planning Standard TPL-001): All Facilities in Service, (N-0) Includes Power Flow, Post Transient and Dynamic Stability Plots</w:t>
      </w:r>
    </w:p>
    <w:p w:rsidR="009A4865" w:rsidRDefault="009A4865" w:rsidP="009A4865">
      <w:pPr>
        <w:pStyle w:val="TOC2"/>
        <w:ind w:left="1620" w:hanging="1420"/>
        <w:rPr>
          <w:rFonts w:asciiTheme="minorHAnsi" w:eastAsiaTheme="minorEastAsia" w:hAnsiTheme="minorHAnsi" w:cstheme="minorBidi"/>
          <w:smallCaps w:val="0"/>
          <w:noProof/>
          <w:sz w:val="22"/>
          <w:szCs w:val="22"/>
        </w:rPr>
      </w:pPr>
      <w:r w:rsidRPr="000622D7">
        <w:rPr>
          <w:rFonts w:ascii="Arial" w:hAnsi="Arial" w:cs="Arial"/>
          <w:noProof/>
        </w:rPr>
        <w:t>Attachment 4:  Category B (NERC Planning Standard TPL-002): Single Element Outage, (N-1) Includes Power Flow, Post-Transient and Dynamic Stability Plots</w:t>
      </w:r>
    </w:p>
    <w:p w:rsidR="009A4865" w:rsidRDefault="009A4865" w:rsidP="009A4865">
      <w:pPr>
        <w:pStyle w:val="TOC2"/>
        <w:ind w:left="1620" w:hanging="1420"/>
        <w:rPr>
          <w:rFonts w:asciiTheme="minorHAnsi" w:eastAsiaTheme="minorEastAsia" w:hAnsiTheme="minorHAnsi" w:cstheme="minorBidi"/>
          <w:smallCaps w:val="0"/>
          <w:noProof/>
          <w:sz w:val="22"/>
          <w:szCs w:val="22"/>
        </w:rPr>
      </w:pPr>
      <w:r w:rsidRPr="000622D7">
        <w:rPr>
          <w:rFonts w:ascii="Arial" w:hAnsi="Arial" w:cs="Arial"/>
          <w:noProof/>
        </w:rPr>
        <w:t>Attachment 5:  Category C (NERC Planning Standard TPL-003): Double Element Outages, (N-2) Power Flow , Post-Transient and Dynamic Stability Plots</w:t>
      </w:r>
    </w:p>
    <w:p w:rsidR="009A4865" w:rsidRDefault="009A4865" w:rsidP="009A4865">
      <w:pPr>
        <w:pStyle w:val="TOC2"/>
        <w:ind w:left="1620" w:hanging="1420"/>
        <w:rPr>
          <w:rFonts w:asciiTheme="minorHAnsi" w:eastAsiaTheme="minorEastAsia" w:hAnsiTheme="minorHAnsi" w:cstheme="minorBidi"/>
          <w:smallCaps w:val="0"/>
          <w:noProof/>
          <w:sz w:val="22"/>
          <w:szCs w:val="22"/>
        </w:rPr>
      </w:pPr>
      <w:r w:rsidRPr="000622D7">
        <w:rPr>
          <w:rFonts w:ascii="Arial" w:hAnsi="Arial" w:cs="Arial"/>
          <w:noProof/>
        </w:rPr>
        <w:t>Attachment 6:  Category D (NERC Planning Standard TPL-004): Extreme Events Outages (N-2 plus) Power Flow , Post-Transient and Dynamic Stability Plots</w:t>
      </w:r>
    </w:p>
    <w:p w:rsidR="009A4865" w:rsidRDefault="009A4865" w:rsidP="00367124">
      <w:pPr>
        <w:widowControl/>
        <w:rPr>
          <w:rFonts w:ascii="Arial" w:hAnsi="Arial" w:cs="Arial"/>
          <w:sz w:val="24"/>
        </w:rPr>
        <w:sectPr w:rsidR="009A4865" w:rsidSect="00CD0D6E">
          <w:headerReference w:type="default" r:id="rId10"/>
          <w:footerReference w:type="even" r:id="rId11"/>
          <w:footerReference w:type="default" r:id="rId12"/>
          <w:headerReference w:type="first" r:id="rId13"/>
          <w:pgSz w:w="12240" w:h="15840"/>
          <w:pgMar w:top="1440" w:right="1440" w:bottom="1440" w:left="1440" w:header="720" w:footer="720" w:gutter="0"/>
          <w:cols w:space="720"/>
          <w:titlePg/>
          <w:docGrid w:linePitch="272"/>
        </w:sectPr>
      </w:pPr>
    </w:p>
    <w:p w:rsidR="00367124" w:rsidRDefault="00367124" w:rsidP="00367124">
      <w:pPr>
        <w:widowControl/>
        <w:rPr>
          <w:rFonts w:ascii="Arial" w:hAnsi="Arial" w:cs="Arial"/>
          <w:sz w:val="24"/>
        </w:rPr>
      </w:pPr>
    </w:p>
    <w:p w:rsidR="00403E3C" w:rsidRDefault="00403E3C" w:rsidP="00AC74C3">
      <w:pPr>
        <w:ind w:left="1530" w:hanging="1530"/>
        <w:rPr>
          <w:rFonts w:ascii="Arial" w:hAnsi="Arial" w:cs="Arial"/>
        </w:rPr>
      </w:pPr>
    </w:p>
    <w:tbl>
      <w:tblPr>
        <w:tblW w:w="0" w:type="auto"/>
        <w:tblLayout w:type="fixed"/>
        <w:tblLook w:val="0000"/>
      </w:tblPr>
      <w:tblGrid>
        <w:gridCol w:w="9576"/>
      </w:tblGrid>
      <w:tr w:rsidR="00E3420E">
        <w:tc>
          <w:tcPr>
            <w:tcW w:w="9576" w:type="dxa"/>
            <w:shd w:val="clear" w:color="auto" w:fill="000000"/>
          </w:tcPr>
          <w:p w:rsidR="00E3420E" w:rsidRDefault="00E3420E">
            <w:pPr>
              <w:pStyle w:val="Heading1"/>
              <w:widowControl/>
              <w:jc w:val="both"/>
              <w:rPr>
                <w:rFonts w:ascii="Arial" w:hAnsi="Arial" w:cs="Arial"/>
              </w:rPr>
            </w:pPr>
            <w:r>
              <w:rPr>
                <w:rFonts w:ascii="Arial" w:hAnsi="Arial" w:cs="Arial"/>
                <w:b w:val="0"/>
                <w:caps/>
              </w:rPr>
              <w:br w:type="page"/>
            </w:r>
            <w:r>
              <w:rPr>
                <w:rFonts w:ascii="Arial" w:hAnsi="Arial" w:cs="Arial"/>
                <w:b w:val="0"/>
                <w:kern w:val="0"/>
                <w:sz w:val="20"/>
              </w:rPr>
              <w:br w:type="page"/>
            </w:r>
            <w:r>
              <w:rPr>
                <w:rFonts w:ascii="Arial" w:hAnsi="Arial" w:cs="Arial"/>
              </w:rPr>
              <w:br w:type="page"/>
            </w:r>
            <w:bookmarkStart w:id="0" w:name="_Toc506650511"/>
            <w:bookmarkStart w:id="1" w:name="_Toc506913431"/>
            <w:bookmarkStart w:id="2" w:name="_Toc503520749"/>
            <w:bookmarkStart w:id="3" w:name="_Toc244589865"/>
            <w:r>
              <w:rPr>
                <w:rFonts w:ascii="Arial" w:hAnsi="Arial" w:cs="Arial"/>
              </w:rPr>
              <w:t>Introduction</w:t>
            </w:r>
            <w:bookmarkEnd w:id="0"/>
            <w:bookmarkEnd w:id="1"/>
            <w:bookmarkEnd w:id="3"/>
          </w:p>
        </w:tc>
      </w:tr>
      <w:bookmarkEnd w:id="2"/>
    </w:tbl>
    <w:p w:rsidR="00E3420E" w:rsidRDefault="00E3420E">
      <w:pPr>
        <w:widowControl/>
        <w:rPr>
          <w:rFonts w:ascii="Arial" w:hAnsi="Arial" w:cs="Arial"/>
          <w:sz w:val="24"/>
        </w:rPr>
      </w:pPr>
    </w:p>
    <w:p w:rsidR="00E3420E" w:rsidRDefault="00F97C66" w:rsidP="00564F5F">
      <w:pPr>
        <w:widowControl/>
        <w:jc w:val="both"/>
        <w:rPr>
          <w:rFonts w:ascii="Arial" w:hAnsi="Arial" w:cs="Arial"/>
          <w:sz w:val="24"/>
        </w:rPr>
      </w:pPr>
      <w:r>
        <w:rPr>
          <w:rFonts w:ascii="Arial" w:hAnsi="Arial" w:cs="Arial"/>
          <w:sz w:val="24"/>
        </w:rPr>
        <w:t xml:space="preserve">The Western Area Power Administration – Sierra Nevada Region’s (WASN) transmission system annual assessment </w:t>
      </w:r>
      <w:r w:rsidR="00F661CA">
        <w:rPr>
          <w:rFonts w:ascii="Arial" w:hAnsi="Arial" w:cs="Arial"/>
          <w:sz w:val="24"/>
        </w:rPr>
        <w:t>was</w:t>
      </w:r>
      <w:r>
        <w:rPr>
          <w:rFonts w:ascii="Arial" w:hAnsi="Arial" w:cs="Arial"/>
          <w:sz w:val="24"/>
        </w:rPr>
        <w:t xml:space="preserve"> conducted i</w:t>
      </w:r>
      <w:r w:rsidR="00E3420E">
        <w:rPr>
          <w:rFonts w:ascii="Arial" w:hAnsi="Arial" w:cs="Arial"/>
          <w:sz w:val="24"/>
        </w:rPr>
        <w:t xml:space="preserve">n accordance with </w:t>
      </w:r>
      <w:r w:rsidR="00197ED9">
        <w:rPr>
          <w:rFonts w:ascii="Arial" w:hAnsi="Arial" w:cs="Arial"/>
          <w:sz w:val="24"/>
        </w:rPr>
        <w:t>North American Electric Reliability Corporation (NERC)</w:t>
      </w:r>
      <w:r w:rsidR="005A4338">
        <w:rPr>
          <w:rFonts w:ascii="Arial" w:hAnsi="Arial" w:cs="Arial"/>
          <w:sz w:val="24"/>
        </w:rPr>
        <w:t xml:space="preserve"> Transmission Planning Standards</w:t>
      </w:r>
      <w:r w:rsidR="00F661CA">
        <w:rPr>
          <w:rFonts w:ascii="Arial" w:hAnsi="Arial" w:cs="Arial"/>
          <w:sz w:val="24"/>
        </w:rPr>
        <w:t>.  The</w:t>
      </w:r>
      <w:r w:rsidR="00D02590">
        <w:rPr>
          <w:rFonts w:ascii="Arial" w:hAnsi="Arial" w:cs="Arial"/>
          <w:sz w:val="24"/>
        </w:rPr>
        <w:t xml:space="preserve"> assessment </w:t>
      </w:r>
      <w:r w:rsidR="00B3673F">
        <w:rPr>
          <w:rFonts w:ascii="Arial" w:hAnsi="Arial" w:cs="Arial"/>
          <w:sz w:val="24"/>
        </w:rPr>
        <w:t>covers critical system conditions over a</w:t>
      </w:r>
      <w:r w:rsidR="00D02590">
        <w:rPr>
          <w:rFonts w:ascii="Arial" w:hAnsi="Arial" w:cs="Arial"/>
          <w:sz w:val="24"/>
        </w:rPr>
        <w:t xml:space="preserve"> ten year p</w:t>
      </w:r>
      <w:r w:rsidR="004A4DEA">
        <w:rPr>
          <w:rFonts w:ascii="Arial" w:hAnsi="Arial" w:cs="Arial"/>
          <w:sz w:val="24"/>
        </w:rPr>
        <w:t>eriod from 2010 thru 2019</w:t>
      </w:r>
      <w:r w:rsidR="00F661CA">
        <w:rPr>
          <w:rFonts w:ascii="Arial" w:hAnsi="Arial" w:cs="Arial"/>
          <w:sz w:val="24"/>
        </w:rPr>
        <w:t xml:space="preserve"> and is</w:t>
      </w:r>
      <w:r w:rsidR="00D02590">
        <w:rPr>
          <w:rFonts w:ascii="Arial" w:hAnsi="Arial" w:cs="Arial"/>
          <w:sz w:val="24"/>
        </w:rPr>
        <w:t xml:space="preserve"> consistent with meeting the requirements of NERC Transmission Planning Standards TPL-001 thru TPL-004.  </w:t>
      </w:r>
      <w:r w:rsidR="00B162EC">
        <w:rPr>
          <w:rFonts w:ascii="Arial" w:hAnsi="Arial" w:cs="Arial"/>
          <w:sz w:val="24"/>
        </w:rPr>
        <w:t>This is an analysis of WASN’s transmission system</w:t>
      </w:r>
      <w:r w:rsidR="00866BEC">
        <w:rPr>
          <w:rFonts w:ascii="Arial" w:hAnsi="Arial" w:cs="Arial"/>
          <w:sz w:val="24"/>
        </w:rPr>
        <w:t>.</w:t>
      </w:r>
      <w:r w:rsidR="00B162EC">
        <w:rPr>
          <w:rFonts w:ascii="Arial" w:hAnsi="Arial" w:cs="Arial"/>
          <w:sz w:val="24"/>
        </w:rPr>
        <w:t xml:space="preserve"> </w:t>
      </w:r>
      <w:r w:rsidR="00866BEC">
        <w:rPr>
          <w:rFonts w:ascii="Arial" w:hAnsi="Arial" w:cs="Arial"/>
          <w:sz w:val="24"/>
        </w:rPr>
        <w:t>I</w:t>
      </w:r>
      <w:r w:rsidR="00B23F8B">
        <w:rPr>
          <w:rFonts w:ascii="Arial" w:hAnsi="Arial" w:cs="Arial"/>
          <w:sz w:val="24"/>
        </w:rPr>
        <w:t>t does not include a</w:t>
      </w:r>
      <w:r w:rsidR="00B162EC">
        <w:rPr>
          <w:rFonts w:ascii="Arial" w:hAnsi="Arial" w:cs="Arial"/>
          <w:sz w:val="24"/>
        </w:rPr>
        <w:t xml:space="preserve"> d</w:t>
      </w:r>
      <w:r w:rsidR="002F4C48">
        <w:rPr>
          <w:rFonts w:ascii="Arial" w:hAnsi="Arial" w:cs="Arial"/>
          <w:sz w:val="24"/>
        </w:rPr>
        <w:t>etailed assessment of Load-S</w:t>
      </w:r>
      <w:r w:rsidR="00B162EC">
        <w:rPr>
          <w:rFonts w:ascii="Arial" w:hAnsi="Arial" w:cs="Arial"/>
          <w:sz w:val="24"/>
        </w:rPr>
        <w:t xml:space="preserve">erving Entities transmission systems </w:t>
      </w:r>
      <w:r w:rsidR="00E47FA2">
        <w:rPr>
          <w:rFonts w:ascii="Arial" w:hAnsi="Arial" w:cs="Arial"/>
          <w:sz w:val="24"/>
        </w:rPr>
        <w:t xml:space="preserve">connected to </w:t>
      </w:r>
      <w:r w:rsidR="00B162EC">
        <w:rPr>
          <w:rFonts w:ascii="Arial" w:hAnsi="Arial" w:cs="Arial"/>
          <w:sz w:val="24"/>
        </w:rPr>
        <w:t xml:space="preserve">WASN’s </w:t>
      </w:r>
      <w:r w:rsidR="00E47FA2">
        <w:rPr>
          <w:rFonts w:ascii="Arial" w:hAnsi="Arial" w:cs="Arial"/>
          <w:sz w:val="24"/>
        </w:rPr>
        <w:t>transmission system</w:t>
      </w:r>
      <w:r w:rsidR="00B162EC">
        <w:rPr>
          <w:rFonts w:ascii="Arial" w:hAnsi="Arial" w:cs="Arial"/>
          <w:sz w:val="24"/>
        </w:rPr>
        <w:t xml:space="preserve">.  </w:t>
      </w:r>
      <w:r w:rsidR="00D02590">
        <w:rPr>
          <w:rFonts w:ascii="Arial" w:hAnsi="Arial" w:cs="Arial"/>
          <w:sz w:val="24"/>
        </w:rPr>
        <w:t>Critical system conditions w</w:t>
      </w:r>
      <w:r w:rsidR="00733546">
        <w:rPr>
          <w:rFonts w:ascii="Arial" w:hAnsi="Arial" w:cs="Arial"/>
          <w:sz w:val="24"/>
        </w:rPr>
        <w:t>ere</w:t>
      </w:r>
      <w:r w:rsidR="00D02590">
        <w:rPr>
          <w:rFonts w:ascii="Arial" w:hAnsi="Arial" w:cs="Arial"/>
          <w:sz w:val="24"/>
        </w:rPr>
        <w:t xml:space="preserve"> analyzed</w:t>
      </w:r>
      <w:r w:rsidR="00E07D39">
        <w:rPr>
          <w:rFonts w:ascii="Arial" w:hAnsi="Arial" w:cs="Arial"/>
          <w:sz w:val="24"/>
        </w:rPr>
        <w:t xml:space="preserve">.  Where potential reliability problems </w:t>
      </w:r>
      <w:r w:rsidR="00733546">
        <w:rPr>
          <w:rFonts w:ascii="Arial" w:hAnsi="Arial" w:cs="Arial"/>
          <w:sz w:val="24"/>
        </w:rPr>
        <w:t>were</w:t>
      </w:r>
      <w:r w:rsidR="00E07D39">
        <w:rPr>
          <w:rFonts w:ascii="Arial" w:hAnsi="Arial" w:cs="Arial"/>
          <w:sz w:val="24"/>
        </w:rPr>
        <w:t xml:space="preserve"> identified, </w:t>
      </w:r>
      <w:r w:rsidR="00733546">
        <w:rPr>
          <w:rFonts w:ascii="Arial" w:hAnsi="Arial" w:cs="Arial"/>
          <w:sz w:val="24"/>
        </w:rPr>
        <w:t xml:space="preserve">existing or potential </w:t>
      </w:r>
      <w:r w:rsidR="00E07D39">
        <w:rPr>
          <w:rFonts w:ascii="Arial" w:hAnsi="Arial" w:cs="Arial"/>
          <w:sz w:val="24"/>
        </w:rPr>
        <w:t xml:space="preserve">mitigation measures </w:t>
      </w:r>
      <w:r w:rsidR="00733546">
        <w:rPr>
          <w:rFonts w:ascii="Arial" w:hAnsi="Arial" w:cs="Arial"/>
          <w:sz w:val="24"/>
        </w:rPr>
        <w:t>were</w:t>
      </w:r>
      <w:r w:rsidR="00E07D39">
        <w:rPr>
          <w:rFonts w:ascii="Arial" w:hAnsi="Arial" w:cs="Arial"/>
          <w:sz w:val="24"/>
        </w:rPr>
        <w:t xml:space="preserve"> identified to achieve required system performance.  </w:t>
      </w:r>
      <w:r w:rsidR="004F6839">
        <w:rPr>
          <w:rFonts w:ascii="Arial" w:hAnsi="Arial" w:cs="Arial"/>
          <w:sz w:val="24"/>
        </w:rPr>
        <w:t>Mitigation measures</w:t>
      </w:r>
      <w:r w:rsidR="00E07D39">
        <w:rPr>
          <w:rFonts w:ascii="Arial" w:hAnsi="Arial" w:cs="Arial"/>
          <w:sz w:val="24"/>
        </w:rPr>
        <w:t xml:space="preserve"> include </w:t>
      </w:r>
      <w:r w:rsidR="00E3420E">
        <w:rPr>
          <w:rFonts w:ascii="Arial" w:hAnsi="Arial" w:cs="Arial"/>
          <w:sz w:val="24"/>
        </w:rPr>
        <w:t xml:space="preserve">proposed </w:t>
      </w:r>
      <w:r w:rsidR="004F6839">
        <w:rPr>
          <w:rFonts w:ascii="Arial" w:hAnsi="Arial" w:cs="Arial"/>
          <w:sz w:val="24"/>
        </w:rPr>
        <w:t xml:space="preserve">new </w:t>
      </w:r>
      <w:r w:rsidR="00E3420E">
        <w:rPr>
          <w:rFonts w:ascii="Arial" w:hAnsi="Arial" w:cs="Arial"/>
          <w:sz w:val="24"/>
        </w:rPr>
        <w:t>transmission projects</w:t>
      </w:r>
      <w:r w:rsidR="004F6839">
        <w:rPr>
          <w:rFonts w:ascii="Arial" w:hAnsi="Arial" w:cs="Arial"/>
          <w:sz w:val="24"/>
        </w:rPr>
        <w:t xml:space="preserve"> </w:t>
      </w:r>
      <w:r w:rsidR="00E3420E">
        <w:rPr>
          <w:rFonts w:ascii="Arial" w:hAnsi="Arial" w:cs="Arial"/>
          <w:sz w:val="24"/>
        </w:rPr>
        <w:t>or other mitigation me</w:t>
      </w:r>
      <w:r w:rsidR="00E07D39">
        <w:rPr>
          <w:rFonts w:ascii="Arial" w:hAnsi="Arial" w:cs="Arial"/>
          <w:sz w:val="24"/>
        </w:rPr>
        <w:t xml:space="preserve">asures </w:t>
      </w:r>
      <w:r w:rsidR="004F6839">
        <w:rPr>
          <w:rFonts w:ascii="Arial" w:hAnsi="Arial" w:cs="Arial"/>
          <w:sz w:val="24"/>
        </w:rPr>
        <w:t>such as operating procedures including operating nomograms</w:t>
      </w:r>
      <w:r w:rsidR="00E07D39">
        <w:rPr>
          <w:rFonts w:ascii="Arial" w:hAnsi="Arial" w:cs="Arial"/>
          <w:sz w:val="24"/>
        </w:rPr>
        <w:t>.</w:t>
      </w:r>
      <w:r w:rsidR="00530E5B">
        <w:rPr>
          <w:rFonts w:ascii="Arial" w:hAnsi="Arial" w:cs="Arial"/>
          <w:sz w:val="24"/>
        </w:rPr>
        <w:t xml:space="preserve">  Analysis was conducted to assess the continuing need for planned transmission reinforcement projects.</w:t>
      </w:r>
    </w:p>
    <w:p w:rsidR="00E3420E" w:rsidRDefault="00E3420E">
      <w:pPr>
        <w:widowControl/>
        <w:rPr>
          <w:rFonts w:ascii="Arial" w:hAnsi="Arial" w:cs="Arial"/>
          <w:sz w:val="24"/>
        </w:rPr>
      </w:pPr>
    </w:p>
    <w:p w:rsidR="000F2A13" w:rsidRDefault="000F2A13" w:rsidP="00564F5F">
      <w:pPr>
        <w:widowControl/>
        <w:jc w:val="both"/>
        <w:rPr>
          <w:rFonts w:ascii="Arial" w:hAnsi="Arial" w:cs="Arial"/>
          <w:sz w:val="24"/>
        </w:rPr>
      </w:pPr>
      <w:r>
        <w:rPr>
          <w:rFonts w:ascii="Arial" w:hAnsi="Arial" w:cs="Arial"/>
          <w:sz w:val="24"/>
        </w:rPr>
        <w:t xml:space="preserve">This </w:t>
      </w:r>
      <w:r w:rsidR="00940F17">
        <w:rPr>
          <w:rFonts w:ascii="Arial" w:hAnsi="Arial" w:cs="Arial"/>
          <w:sz w:val="24"/>
        </w:rPr>
        <w:t xml:space="preserve">annual transmission assessment is the basis for maintaining a reliable transmission system supporting customer demand and transmission services at various demand levels over the range of forecast system demands and within the levels of reliability described within NERC Planning Standards.  </w:t>
      </w:r>
      <w:r>
        <w:rPr>
          <w:rFonts w:ascii="Arial" w:hAnsi="Arial" w:cs="Arial"/>
          <w:sz w:val="24"/>
        </w:rPr>
        <w:t xml:space="preserve">While this assessment is the basis of a ten-year transmission </w:t>
      </w:r>
      <w:r w:rsidR="00B162EC">
        <w:rPr>
          <w:rFonts w:ascii="Arial" w:hAnsi="Arial" w:cs="Arial"/>
          <w:sz w:val="24"/>
        </w:rPr>
        <w:t>planning horizon</w:t>
      </w:r>
      <w:r>
        <w:rPr>
          <w:rFonts w:ascii="Arial" w:hAnsi="Arial" w:cs="Arial"/>
          <w:sz w:val="24"/>
        </w:rPr>
        <w:t xml:space="preserve"> for maintaining</w:t>
      </w:r>
      <w:r w:rsidR="00BF4ADF">
        <w:rPr>
          <w:rFonts w:ascii="Arial" w:hAnsi="Arial" w:cs="Arial"/>
          <w:sz w:val="24"/>
        </w:rPr>
        <w:t xml:space="preserve"> system reliability, emphasis was</w:t>
      </w:r>
      <w:r>
        <w:rPr>
          <w:rFonts w:ascii="Arial" w:hAnsi="Arial" w:cs="Arial"/>
          <w:sz w:val="24"/>
        </w:rPr>
        <w:t xml:space="preserve"> p</w:t>
      </w:r>
      <w:r w:rsidR="00064C94">
        <w:rPr>
          <w:rFonts w:ascii="Arial" w:hAnsi="Arial" w:cs="Arial"/>
          <w:sz w:val="24"/>
        </w:rPr>
        <w:t>laced on the first 5 years (2010-2014</w:t>
      </w:r>
      <w:r>
        <w:rPr>
          <w:rFonts w:ascii="Arial" w:hAnsi="Arial" w:cs="Arial"/>
          <w:sz w:val="24"/>
        </w:rPr>
        <w:t>) of the plan</w:t>
      </w:r>
      <w:r w:rsidR="00B23F8B">
        <w:rPr>
          <w:rFonts w:ascii="Arial" w:hAnsi="Arial" w:cs="Arial"/>
          <w:sz w:val="24"/>
        </w:rPr>
        <w:t>.  I</w:t>
      </w:r>
      <w:r>
        <w:rPr>
          <w:rFonts w:ascii="Arial" w:hAnsi="Arial" w:cs="Arial"/>
          <w:sz w:val="24"/>
        </w:rPr>
        <w:t>nterconnected transmission system reliability is addressed and potential performance deficiencies are identified and corresponding projects that resolve these problems are developed.  As require</w:t>
      </w:r>
      <w:r w:rsidR="00B93C3C">
        <w:rPr>
          <w:rFonts w:ascii="Arial" w:hAnsi="Arial" w:cs="Arial"/>
          <w:sz w:val="24"/>
        </w:rPr>
        <w:t>d, analysis out to the year 2019</w:t>
      </w:r>
      <w:r>
        <w:rPr>
          <w:rFonts w:ascii="Arial" w:hAnsi="Arial" w:cs="Arial"/>
          <w:sz w:val="24"/>
        </w:rPr>
        <w:t xml:space="preserve"> </w:t>
      </w:r>
      <w:r w:rsidR="00BF4ADF">
        <w:rPr>
          <w:rFonts w:ascii="Arial" w:hAnsi="Arial" w:cs="Arial"/>
          <w:sz w:val="24"/>
        </w:rPr>
        <w:t>was conducted</w:t>
      </w:r>
      <w:r>
        <w:rPr>
          <w:rFonts w:ascii="Arial" w:hAnsi="Arial" w:cs="Arial"/>
          <w:sz w:val="24"/>
        </w:rPr>
        <w:t xml:space="preserve"> to identify potential reliability concerns, which may require longer lead-times associated with significant 230 kV and 500 kV systems reinforcements.</w:t>
      </w:r>
    </w:p>
    <w:p w:rsidR="00E3420E" w:rsidRDefault="00E3420E">
      <w:pPr>
        <w:widowControl/>
        <w:rPr>
          <w:rFonts w:ascii="Arial" w:hAnsi="Arial" w:cs="Arial"/>
          <w:sz w:val="24"/>
        </w:rPr>
      </w:pPr>
    </w:p>
    <w:p w:rsidR="00E3420E" w:rsidRDefault="00E3420E" w:rsidP="00564F5F">
      <w:pPr>
        <w:widowControl/>
        <w:jc w:val="both"/>
        <w:rPr>
          <w:rFonts w:ascii="Arial" w:hAnsi="Arial" w:cs="Arial"/>
          <w:sz w:val="24"/>
        </w:rPr>
      </w:pPr>
      <w:r>
        <w:rPr>
          <w:rFonts w:ascii="Arial" w:hAnsi="Arial" w:cs="Arial"/>
          <w:sz w:val="24"/>
        </w:rPr>
        <w:t>Specifi</w:t>
      </w:r>
      <w:r w:rsidR="005F03BA">
        <w:rPr>
          <w:rFonts w:ascii="Arial" w:hAnsi="Arial" w:cs="Arial"/>
          <w:sz w:val="24"/>
        </w:rPr>
        <w:t xml:space="preserve">cally, an assessment of </w:t>
      </w:r>
      <w:r w:rsidR="00F258C4">
        <w:rPr>
          <w:rFonts w:ascii="Arial" w:hAnsi="Arial" w:cs="Arial"/>
          <w:sz w:val="24"/>
        </w:rPr>
        <w:t>WASN’s</w:t>
      </w:r>
      <w:r w:rsidR="00537AFD">
        <w:rPr>
          <w:rFonts w:ascii="Arial" w:hAnsi="Arial" w:cs="Arial"/>
          <w:sz w:val="24"/>
        </w:rPr>
        <w:t xml:space="preserve"> transmission facilities </w:t>
      </w:r>
      <w:r w:rsidR="00B25824">
        <w:rPr>
          <w:rFonts w:ascii="Arial" w:hAnsi="Arial" w:cs="Arial"/>
          <w:sz w:val="24"/>
        </w:rPr>
        <w:t>was</w:t>
      </w:r>
      <w:r>
        <w:rPr>
          <w:rFonts w:ascii="Arial" w:hAnsi="Arial" w:cs="Arial"/>
          <w:sz w:val="24"/>
        </w:rPr>
        <w:t xml:space="preserve"> performed to identify reliability </w:t>
      </w:r>
      <w:r w:rsidR="00537AFD">
        <w:rPr>
          <w:rFonts w:ascii="Arial" w:hAnsi="Arial" w:cs="Arial"/>
          <w:sz w:val="24"/>
        </w:rPr>
        <w:t>problems</w:t>
      </w:r>
      <w:r>
        <w:rPr>
          <w:rFonts w:ascii="Arial" w:hAnsi="Arial" w:cs="Arial"/>
          <w:sz w:val="24"/>
        </w:rPr>
        <w:t xml:space="preserve"> </w:t>
      </w:r>
      <w:r w:rsidR="0019567D">
        <w:rPr>
          <w:rFonts w:ascii="Arial" w:hAnsi="Arial" w:cs="Arial"/>
          <w:sz w:val="24"/>
        </w:rPr>
        <w:t>(</w:t>
      </w:r>
      <w:r w:rsidR="001B796C">
        <w:rPr>
          <w:rFonts w:ascii="Arial" w:hAnsi="Arial" w:cs="Arial"/>
          <w:sz w:val="24"/>
        </w:rPr>
        <w:t>within the years 2010</w:t>
      </w:r>
      <w:r w:rsidR="00DA2215">
        <w:rPr>
          <w:rFonts w:ascii="Arial" w:hAnsi="Arial" w:cs="Arial"/>
          <w:sz w:val="24"/>
        </w:rPr>
        <w:t xml:space="preserve"> to </w:t>
      </w:r>
      <w:r w:rsidR="001B796C">
        <w:rPr>
          <w:rFonts w:ascii="Arial" w:hAnsi="Arial" w:cs="Arial"/>
          <w:sz w:val="24"/>
        </w:rPr>
        <w:t>2019</w:t>
      </w:r>
      <w:r w:rsidR="0019567D">
        <w:rPr>
          <w:rFonts w:ascii="Arial" w:hAnsi="Arial" w:cs="Arial"/>
          <w:sz w:val="24"/>
        </w:rPr>
        <w:t>)</w:t>
      </w:r>
      <w:r w:rsidR="00693398">
        <w:rPr>
          <w:rFonts w:ascii="Arial" w:hAnsi="Arial" w:cs="Arial"/>
          <w:sz w:val="24"/>
        </w:rPr>
        <w:t xml:space="preserve"> </w:t>
      </w:r>
      <w:r w:rsidR="0019567D">
        <w:rPr>
          <w:rFonts w:ascii="Arial" w:hAnsi="Arial" w:cs="Arial"/>
          <w:sz w:val="24"/>
        </w:rPr>
        <w:t xml:space="preserve">associated with </w:t>
      </w:r>
      <w:r w:rsidR="00693398">
        <w:rPr>
          <w:rFonts w:ascii="Arial" w:hAnsi="Arial" w:cs="Arial"/>
          <w:sz w:val="24"/>
        </w:rPr>
        <w:t>delivering transmission</w:t>
      </w:r>
      <w:r w:rsidR="000E599B">
        <w:rPr>
          <w:rFonts w:ascii="Arial" w:hAnsi="Arial" w:cs="Arial"/>
          <w:sz w:val="24"/>
        </w:rPr>
        <w:t xml:space="preserve"> service obligations</w:t>
      </w:r>
      <w:r>
        <w:rPr>
          <w:rFonts w:ascii="Arial" w:hAnsi="Arial" w:cs="Arial"/>
          <w:sz w:val="24"/>
        </w:rPr>
        <w:t xml:space="preserve">.  </w:t>
      </w:r>
      <w:r w:rsidR="003B0B3F">
        <w:rPr>
          <w:rFonts w:ascii="Arial" w:hAnsi="Arial" w:cs="Arial"/>
          <w:sz w:val="24"/>
        </w:rPr>
        <w:t xml:space="preserve">Full compliance with NERC Planning Standards TPL-001, TPL-002, TPL-003 and TPL-004 was achieved.  </w:t>
      </w:r>
      <w:r>
        <w:rPr>
          <w:rFonts w:ascii="Arial" w:hAnsi="Arial" w:cs="Arial"/>
          <w:sz w:val="24"/>
        </w:rPr>
        <w:t xml:space="preserve">For each identified </w:t>
      </w:r>
      <w:r w:rsidR="00537AFD">
        <w:rPr>
          <w:rFonts w:ascii="Arial" w:hAnsi="Arial" w:cs="Arial"/>
          <w:sz w:val="24"/>
        </w:rPr>
        <w:t>potential reliability problem directly associated with WA</w:t>
      </w:r>
      <w:r w:rsidR="00783668">
        <w:rPr>
          <w:rFonts w:ascii="Arial" w:hAnsi="Arial" w:cs="Arial"/>
          <w:sz w:val="24"/>
        </w:rPr>
        <w:t>SN</w:t>
      </w:r>
      <w:r w:rsidR="00537AFD">
        <w:rPr>
          <w:rFonts w:ascii="Arial" w:hAnsi="Arial" w:cs="Arial"/>
          <w:sz w:val="24"/>
        </w:rPr>
        <w:t>’s transmission system and obligations to transport power through its transmission system</w:t>
      </w:r>
      <w:r>
        <w:rPr>
          <w:rFonts w:ascii="Arial" w:hAnsi="Arial" w:cs="Arial"/>
          <w:sz w:val="24"/>
        </w:rPr>
        <w:t xml:space="preserve">, </w:t>
      </w:r>
      <w:r w:rsidR="00537AFD">
        <w:rPr>
          <w:rFonts w:ascii="Arial" w:hAnsi="Arial" w:cs="Arial"/>
          <w:sz w:val="24"/>
        </w:rPr>
        <w:t>a m</w:t>
      </w:r>
      <w:r w:rsidR="00F157D8">
        <w:rPr>
          <w:rFonts w:ascii="Arial" w:hAnsi="Arial" w:cs="Arial"/>
          <w:sz w:val="24"/>
        </w:rPr>
        <w:t xml:space="preserve">itigation plan </w:t>
      </w:r>
      <w:r w:rsidR="00B25824">
        <w:rPr>
          <w:rFonts w:ascii="Arial" w:hAnsi="Arial" w:cs="Arial"/>
          <w:sz w:val="24"/>
        </w:rPr>
        <w:t>has been</w:t>
      </w:r>
      <w:r w:rsidR="00F157D8">
        <w:rPr>
          <w:rFonts w:ascii="Arial" w:hAnsi="Arial" w:cs="Arial"/>
          <w:sz w:val="24"/>
        </w:rPr>
        <w:t xml:space="preserve"> proposed</w:t>
      </w:r>
      <w:r>
        <w:rPr>
          <w:rFonts w:ascii="Arial" w:hAnsi="Arial" w:cs="Arial"/>
          <w:sz w:val="24"/>
        </w:rPr>
        <w:t xml:space="preserve">.  </w:t>
      </w:r>
      <w:r w:rsidR="00537AFD">
        <w:rPr>
          <w:rFonts w:ascii="Arial" w:hAnsi="Arial" w:cs="Arial"/>
          <w:sz w:val="24"/>
        </w:rPr>
        <w:t>As appropriate, alternative mitigation plans will be developed</w:t>
      </w:r>
      <w:r>
        <w:rPr>
          <w:rFonts w:ascii="Arial" w:hAnsi="Arial" w:cs="Arial"/>
          <w:sz w:val="24"/>
        </w:rPr>
        <w:t xml:space="preserve"> to determine the preferred engineering </w:t>
      </w:r>
      <w:r w:rsidR="00537AFD">
        <w:rPr>
          <w:rFonts w:ascii="Arial" w:hAnsi="Arial" w:cs="Arial"/>
          <w:sz w:val="24"/>
        </w:rPr>
        <w:t>and economical mitigation plan</w:t>
      </w:r>
      <w:r w:rsidR="00B25824">
        <w:rPr>
          <w:rFonts w:ascii="Arial" w:hAnsi="Arial" w:cs="Arial"/>
          <w:sz w:val="24"/>
        </w:rPr>
        <w:t xml:space="preserve"> to implement</w:t>
      </w:r>
      <w:r>
        <w:rPr>
          <w:rFonts w:ascii="Arial" w:hAnsi="Arial" w:cs="Arial"/>
          <w:sz w:val="24"/>
        </w:rPr>
        <w:t>.</w:t>
      </w:r>
      <w:r w:rsidR="003B0B3F">
        <w:rPr>
          <w:rFonts w:ascii="Arial" w:hAnsi="Arial" w:cs="Arial"/>
          <w:sz w:val="24"/>
        </w:rPr>
        <w:t xml:space="preserve">  Details of the assessment are contained in the System Assessment </w:t>
      </w:r>
      <w:r w:rsidR="001C2B0B">
        <w:rPr>
          <w:rFonts w:ascii="Arial" w:hAnsi="Arial" w:cs="Arial"/>
          <w:sz w:val="24"/>
        </w:rPr>
        <w:t>section starting on page 13</w:t>
      </w:r>
      <w:r w:rsidR="006562EA">
        <w:rPr>
          <w:rFonts w:ascii="Arial" w:hAnsi="Arial" w:cs="Arial"/>
          <w:sz w:val="24"/>
        </w:rPr>
        <w:t xml:space="preserve"> and within</w:t>
      </w:r>
      <w:r w:rsidR="003B0B3F">
        <w:rPr>
          <w:rFonts w:ascii="Arial" w:hAnsi="Arial" w:cs="Arial"/>
          <w:sz w:val="24"/>
        </w:rPr>
        <w:t xml:space="preserve"> attachments to this report. </w:t>
      </w:r>
    </w:p>
    <w:p w:rsidR="00E3420E" w:rsidRDefault="00E3420E">
      <w:pPr>
        <w:widowControl/>
        <w:rPr>
          <w:rFonts w:ascii="Arial" w:hAnsi="Arial" w:cs="Arial"/>
          <w:sz w:val="24"/>
        </w:rPr>
      </w:pPr>
    </w:p>
    <w:tbl>
      <w:tblPr>
        <w:tblW w:w="0" w:type="auto"/>
        <w:tblLayout w:type="fixed"/>
        <w:tblLook w:val="0000"/>
      </w:tblPr>
      <w:tblGrid>
        <w:gridCol w:w="9576"/>
      </w:tblGrid>
      <w:tr w:rsidR="00E3420E">
        <w:tc>
          <w:tcPr>
            <w:tcW w:w="9576" w:type="dxa"/>
            <w:shd w:val="clear" w:color="auto" w:fill="000000"/>
          </w:tcPr>
          <w:p w:rsidR="00E3420E" w:rsidRDefault="00E3420E">
            <w:pPr>
              <w:pStyle w:val="Heading1"/>
              <w:widowControl/>
              <w:rPr>
                <w:rFonts w:ascii="Arial" w:hAnsi="Arial" w:cs="Arial"/>
              </w:rPr>
            </w:pPr>
            <w:r>
              <w:rPr>
                <w:rFonts w:ascii="Arial" w:hAnsi="Arial" w:cs="Arial"/>
                <w:b w:val="0"/>
                <w:kern w:val="0"/>
                <w:sz w:val="20"/>
              </w:rPr>
              <w:lastRenderedPageBreak/>
              <w:br w:type="page"/>
            </w:r>
            <w:r>
              <w:rPr>
                <w:rFonts w:ascii="Arial" w:hAnsi="Arial" w:cs="Arial"/>
              </w:rPr>
              <w:br w:type="page"/>
            </w:r>
            <w:bookmarkStart w:id="4" w:name="_Toc244589866"/>
            <w:r>
              <w:rPr>
                <w:rFonts w:ascii="Arial" w:hAnsi="Arial" w:cs="Arial"/>
              </w:rPr>
              <w:t>Responsibilities and Objectives</w:t>
            </w:r>
            <w:bookmarkEnd w:id="4"/>
          </w:p>
        </w:tc>
      </w:tr>
    </w:tbl>
    <w:p w:rsidR="00E3420E" w:rsidRDefault="00E3420E">
      <w:pPr>
        <w:rPr>
          <w:rFonts w:ascii="Arial" w:hAnsi="Arial" w:cs="Arial"/>
          <w:sz w:val="24"/>
        </w:rPr>
      </w:pPr>
    </w:p>
    <w:p w:rsidR="00E3420E" w:rsidRDefault="00E3420E" w:rsidP="00564F5F">
      <w:pPr>
        <w:jc w:val="both"/>
        <w:rPr>
          <w:rFonts w:ascii="Arial" w:hAnsi="Arial" w:cs="Arial"/>
          <w:sz w:val="24"/>
        </w:rPr>
      </w:pPr>
      <w:r>
        <w:rPr>
          <w:rFonts w:ascii="Arial" w:hAnsi="Arial" w:cs="Arial"/>
          <w:sz w:val="24"/>
        </w:rPr>
        <w:t xml:space="preserve">With </w:t>
      </w:r>
      <w:r w:rsidR="00E06C12">
        <w:rPr>
          <w:rFonts w:ascii="Arial" w:hAnsi="Arial" w:cs="Arial"/>
          <w:sz w:val="24"/>
        </w:rPr>
        <w:t>coordination</w:t>
      </w:r>
      <w:r>
        <w:rPr>
          <w:rFonts w:ascii="Arial" w:hAnsi="Arial" w:cs="Arial"/>
          <w:sz w:val="24"/>
        </w:rPr>
        <w:t xml:space="preserve"> and input from </w:t>
      </w:r>
      <w:r w:rsidR="00A0546D">
        <w:rPr>
          <w:rFonts w:ascii="Arial" w:hAnsi="Arial" w:cs="Arial"/>
          <w:sz w:val="24"/>
        </w:rPr>
        <w:t>surrounding and interconnected utilities, WA</w:t>
      </w:r>
      <w:r w:rsidR="00783668">
        <w:rPr>
          <w:rFonts w:ascii="Arial" w:hAnsi="Arial" w:cs="Arial"/>
          <w:sz w:val="24"/>
        </w:rPr>
        <w:t>SN</w:t>
      </w:r>
      <w:r>
        <w:rPr>
          <w:rFonts w:ascii="Arial" w:hAnsi="Arial" w:cs="Arial"/>
          <w:sz w:val="24"/>
        </w:rPr>
        <w:t xml:space="preserve"> is responsible for performing a system assessment and developing a transmission plan of its transmission facilities </w:t>
      </w:r>
      <w:r w:rsidR="00A0546D">
        <w:rPr>
          <w:rFonts w:ascii="Arial" w:hAnsi="Arial" w:cs="Arial"/>
          <w:sz w:val="24"/>
        </w:rPr>
        <w:t>covering</w:t>
      </w:r>
      <w:r>
        <w:rPr>
          <w:rFonts w:ascii="Arial" w:hAnsi="Arial" w:cs="Arial"/>
          <w:sz w:val="24"/>
        </w:rPr>
        <w:t xml:space="preserve"> </w:t>
      </w:r>
      <w:r w:rsidR="00B561CD">
        <w:rPr>
          <w:rFonts w:ascii="Arial" w:hAnsi="Arial" w:cs="Arial"/>
          <w:sz w:val="24"/>
        </w:rPr>
        <w:t xml:space="preserve">the </w:t>
      </w:r>
      <w:r>
        <w:rPr>
          <w:rFonts w:ascii="Arial" w:hAnsi="Arial" w:cs="Arial"/>
          <w:sz w:val="24"/>
        </w:rPr>
        <w:t xml:space="preserve">next 10 years.  </w:t>
      </w:r>
      <w:r w:rsidR="00A0546D">
        <w:rPr>
          <w:rFonts w:ascii="Arial" w:hAnsi="Arial" w:cs="Arial"/>
          <w:sz w:val="24"/>
        </w:rPr>
        <w:t>WA</w:t>
      </w:r>
      <w:r w:rsidR="00783668">
        <w:rPr>
          <w:rFonts w:ascii="Arial" w:hAnsi="Arial" w:cs="Arial"/>
          <w:sz w:val="24"/>
        </w:rPr>
        <w:t>SN</w:t>
      </w:r>
      <w:r>
        <w:rPr>
          <w:rFonts w:ascii="Arial" w:hAnsi="Arial" w:cs="Arial"/>
          <w:sz w:val="24"/>
        </w:rPr>
        <w:t xml:space="preserve"> will perform the following:</w:t>
      </w:r>
    </w:p>
    <w:p w:rsidR="00D64AB8" w:rsidRDefault="00D64AB8">
      <w:pPr>
        <w:rPr>
          <w:rFonts w:ascii="Arial" w:hAnsi="Arial" w:cs="Arial"/>
          <w:sz w:val="24"/>
        </w:rPr>
      </w:pPr>
    </w:p>
    <w:p w:rsidR="000F2A13" w:rsidRDefault="000F2A13" w:rsidP="00564F5F">
      <w:pPr>
        <w:numPr>
          <w:ilvl w:val="0"/>
          <w:numId w:val="5"/>
        </w:numPr>
        <w:jc w:val="both"/>
        <w:rPr>
          <w:rFonts w:ascii="Arial" w:hAnsi="Arial" w:cs="Arial"/>
          <w:sz w:val="24"/>
        </w:rPr>
      </w:pPr>
      <w:r>
        <w:rPr>
          <w:rFonts w:ascii="Arial" w:hAnsi="Arial" w:cs="Arial"/>
          <w:sz w:val="24"/>
        </w:rPr>
        <w:t>As required, revise power flow base cases obtained through the California Independent System Operator (CAISO), Pacific Gas and Electric (PG&amp;E) and Western Electricity Coordinating Council (WECC) that model the 10 year span of the studies under various seasonal conditions;</w:t>
      </w:r>
    </w:p>
    <w:p w:rsidR="00C95DC7" w:rsidRPr="00C95DC7" w:rsidRDefault="00C95DC7" w:rsidP="00D64AB8">
      <w:pPr>
        <w:ind w:left="720"/>
        <w:rPr>
          <w:rFonts w:ascii="Arial" w:hAnsi="Arial" w:cs="Arial"/>
          <w:sz w:val="24"/>
        </w:rPr>
      </w:pPr>
    </w:p>
    <w:p w:rsidR="00E3420E" w:rsidRDefault="00E3420E" w:rsidP="00564F5F">
      <w:pPr>
        <w:numPr>
          <w:ilvl w:val="0"/>
          <w:numId w:val="5"/>
        </w:numPr>
        <w:rPr>
          <w:rFonts w:ascii="Arial" w:hAnsi="Arial" w:cs="Arial"/>
          <w:sz w:val="24"/>
        </w:rPr>
      </w:pPr>
      <w:r>
        <w:rPr>
          <w:rFonts w:ascii="Arial" w:hAnsi="Arial" w:cs="Arial"/>
          <w:sz w:val="24"/>
        </w:rPr>
        <w:t xml:space="preserve">Conduct transmission system </w:t>
      </w:r>
      <w:r w:rsidR="00C95DC7">
        <w:rPr>
          <w:rFonts w:ascii="Arial" w:hAnsi="Arial" w:cs="Arial"/>
          <w:sz w:val="24"/>
        </w:rPr>
        <w:t xml:space="preserve"> studies and benchmark the </w:t>
      </w:r>
      <w:r>
        <w:rPr>
          <w:rFonts w:ascii="Arial" w:hAnsi="Arial" w:cs="Arial"/>
          <w:sz w:val="24"/>
        </w:rPr>
        <w:t xml:space="preserve">performance assessment of </w:t>
      </w:r>
      <w:r w:rsidR="00A75CD6">
        <w:rPr>
          <w:rFonts w:ascii="Arial" w:hAnsi="Arial" w:cs="Arial"/>
          <w:sz w:val="24"/>
        </w:rPr>
        <w:t>WAPA’s transmission</w:t>
      </w:r>
      <w:r>
        <w:rPr>
          <w:rFonts w:ascii="Arial" w:hAnsi="Arial" w:cs="Arial"/>
          <w:sz w:val="24"/>
        </w:rPr>
        <w:t xml:space="preserve"> facilities</w:t>
      </w:r>
      <w:r w:rsidR="00C95DC7">
        <w:rPr>
          <w:rFonts w:ascii="Arial" w:hAnsi="Arial" w:cs="Arial"/>
          <w:sz w:val="24"/>
        </w:rPr>
        <w:t>;</w:t>
      </w:r>
    </w:p>
    <w:p w:rsidR="00C95DC7" w:rsidRDefault="00C95DC7" w:rsidP="00B723C6">
      <w:pPr>
        <w:ind w:left="720"/>
        <w:rPr>
          <w:rFonts w:ascii="Arial" w:hAnsi="Arial" w:cs="Arial"/>
          <w:sz w:val="24"/>
        </w:rPr>
      </w:pPr>
    </w:p>
    <w:p w:rsidR="00E3420E" w:rsidRDefault="00E3420E" w:rsidP="00564F5F">
      <w:pPr>
        <w:numPr>
          <w:ilvl w:val="0"/>
          <w:numId w:val="5"/>
        </w:numPr>
        <w:jc w:val="both"/>
        <w:rPr>
          <w:rFonts w:ascii="Arial" w:hAnsi="Arial" w:cs="Arial"/>
          <w:sz w:val="24"/>
        </w:rPr>
      </w:pPr>
      <w:r>
        <w:rPr>
          <w:rFonts w:ascii="Arial" w:hAnsi="Arial" w:cs="Arial"/>
          <w:sz w:val="24"/>
        </w:rPr>
        <w:t xml:space="preserve">Identify </w:t>
      </w:r>
      <w:r w:rsidR="00A75CD6">
        <w:rPr>
          <w:rFonts w:ascii="Arial" w:hAnsi="Arial" w:cs="Arial"/>
          <w:sz w:val="24"/>
        </w:rPr>
        <w:t>potential reliability problems</w:t>
      </w:r>
      <w:r>
        <w:rPr>
          <w:rFonts w:ascii="Arial" w:hAnsi="Arial" w:cs="Arial"/>
          <w:sz w:val="24"/>
        </w:rPr>
        <w:t xml:space="preserve"> </w:t>
      </w:r>
      <w:r w:rsidR="00C95DC7">
        <w:rPr>
          <w:rFonts w:ascii="Arial" w:hAnsi="Arial" w:cs="Arial"/>
          <w:sz w:val="24"/>
        </w:rPr>
        <w:t xml:space="preserve">for the 5 and 10-year planning horizons </w:t>
      </w:r>
      <w:r>
        <w:rPr>
          <w:rFonts w:ascii="Arial" w:hAnsi="Arial" w:cs="Arial"/>
          <w:sz w:val="24"/>
        </w:rPr>
        <w:t xml:space="preserve">based on </w:t>
      </w:r>
      <w:r w:rsidR="00A75CD6">
        <w:rPr>
          <w:rFonts w:ascii="Arial" w:hAnsi="Arial" w:cs="Arial"/>
          <w:sz w:val="24"/>
        </w:rPr>
        <w:t>NERC Transmission Planning Standards and their requirements</w:t>
      </w:r>
      <w:r w:rsidR="00C95DC7">
        <w:rPr>
          <w:rFonts w:ascii="Arial" w:hAnsi="Arial" w:cs="Arial"/>
          <w:sz w:val="24"/>
        </w:rPr>
        <w:t>; and</w:t>
      </w:r>
    </w:p>
    <w:p w:rsidR="00C95DC7" w:rsidRDefault="00C95DC7">
      <w:pPr>
        <w:numPr>
          <w:ilvl w:val="0"/>
          <w:numId w:val="5"/>
        </w:numPr>
        <w:rPr>
          <w:rFonts w:ascii="Arial" w:hAnsi="Arial" w:cs="Arial"/>
          <w:sz w:val="24"/>
        </w:rPr>
      </w:pPr>
    </w:p>
    <w:p w:rsidR="00E3420E" w:rsidRDefault="007369A8">
      <w:pPr>
        <w:numPr>
          <w:ilvl w:val="0"/>
          <w:numId w:val="5"/>
        </w:numPr>
        <w:rPr>
          <w:rFonts w:ascii="Arial" w:hAnsi="Arial" w:cs="Arial"/>
          <w:sz w:val="24"/>
        </w:rPr>
      </w:pPr>
      <w:r>
        <w:rPr>
          <w:rFonts w:ascii="Arial" w:hAnsi="Arial" w:cs="Arial"/>
          <w:sz w:val="24"/>
        </w:rPr>
        <w:t>Propose</w:t>
      </w:r>
      <w:r w:rsidR="00E3420E">
        <w:rPr>
          <w:rFonts w:ascii="Arial" w:hAnsi="Arial" w:cs="Arial"/>
          <w:sz w:val="24"/>
        </w:rPr>
        <w:t xml:space="preserve"> mitigation plans to address </w:t>
      </w:r>
      <w:r w:rsidR="00C17095">
        <w:rPr>
          <w:rFonts w:ascii="Arial" w:hAnsi="Arial" w:cs="Arial"/>
          <w:sz w:val="24"/>
        </w:rPr>
        <w:t>potential rel</w:t>
      </w:r>
      <w:r w:rsidR="008E1A49">
        <w:rPr>
          <w:rFonts w:ascii="Arial" w:hAnsi="Arial" w:cs="Arial"/>
          <w:sz w:val="24"/>
        </w:rPr>
        <w:t>iability problems for years 2010 to 2019</w:t>
      </w:r>
    </w:p>
    <w:p w:rsidR="00E3420E" w:rsidRDefault="00E3420E">
      <w:pPr>
        <w:rPr>
          <w:rFonts w:ascii="Arial" w:hAnsi="Arial" w:cs="Arial"/>
          <w:sz w:val="24"/>
        </w:rPr>
      </w:pPr>
    </w:p>
    <w:p w:rsidR="00E3420E" w:rsidRDefault="00E3420E">
      <w:pPr>
        <w:rPr>
          <w:rFonts w:ascii="Arial" w:hAnsi="Arial" w:cs="Arial"/>
          <w:sz w:val="24"/>
        </w:rPr>
      </w:pPr>
      <w:r>
        <w:rPr>
          <w:rFonts w:ascii="Arial" w:hAnsi="Arial" w:cs="Arial"/>
          <w:sz w:val="24"/>
        </w:rPr>
        <w:t>The projects proposed in the transmission plan will accomplish the following objectives:</w:t>
      </w:r>
    </w:p>
    <w:p w:rsidR="00E3420E" w:rsidRDefault="00E3420E">
      <w:pPr>
        <w:rPr>
          <w:rFonts w:ascii="Arial" w:hAnsi="Arial" w:cs="Arial"/>
          <w:sz w:val="24"/>
        </w:rPr>
      </w:pPr>
    </w:p>
    <w:p w:rsidR="00E3420E" w:rsidRDefault="00E3420E">
      <w:pPr>
        <w:numPr>
          <w:ilvl w:val="0"/>
          <w:numId w:val="6"/>
        </w:numPr>
        <w:rPr>
          <w:rFonts w:ascii="Arial" w:hAnsi="Arial" w:cs="Arial"/>
          <w:sz w:val="24"/>
        </w:rPr>
      </w:pPr>
      <w:r>
        <w:rPr>
          <w:rFonts w:ascii="Arial" w:hAnsi="Arial" w:cs="Arial"/>
          <w:sz w:val="24"/>
        </w:rPr>
        <w:t xml:space="preserve">Comply with </w:t>
      </w:r>
      <w:r w:rsidR="007371B5">
        <w:rPr>
          <w:rFonts w:ascii="Arial" w:hAnsi="Arial" w:cs="Arial"/>
          <w:sz w:val="24"/>
        </w:rPr>
        <w:t>NERC Transmission Planning Standards</w:t>
      </w:r>
      <w:r w:rsidR="00C95DC7">
        <w:rPr>
          <w:rFonts w:ascii="Arial" w:hAnsi="Arial" w:cs="Arial"/>
          <w:sz w:val="24"/>
        </w:rPr>
        <w:t>;</w:t>
      </w:r>
    </w:p>
    <w:p w:rsidR="00C95DC7" w:rsidRDefault="00C95DC7" w:rsidP="00B723C6">
      <w:pPr>
        <w:ind w:left="720"/>
        <w:rPr>
          <w:rFonts w:ascii="Arial" w:hAnsi="Arial" w:cs="Arial"/>
          <w:sz w:val="24"/>
        </w:rPr>
      </w:pPr>
    </w:p>
    <w:p w:rsidR="00E3420E" w:rsidRDefault="002F7A0F">
      <w:pPr>
        <w:numPr>
          <w:ilvl w:val="0"/>
          <w:numId w:val="6"/>
        </w:numPr>
        <w:rPr>
          <w:rFonts w:ascii="Arial" w:hAnsi="Arial" w:cs="Arial"/>
          <w:sz w:val="24"/>
        </w:rPr>
      </w:pPr>
      <w:r>
        <w:rPr>
          <w:rFonts w:ascii="Arial" w:hAnsi="Arial" w:cs="Arial"/>
          <w:sz w:val="24"/>
        </w:rPr>
        <w:t>Provide reliable transmission service to</w:t>
      </w:r>
      <w:r w:rsidR="00E3420E">
        <w:rPr>
          <w:rFonts w:ascii="Arial" w:hAnsi="Arial" w:cs="Arial"/>
          <w:sz w:val="24"/>
        </w:rPr>
        <w:t xml:space="preserve"> electric customers </w:t>
      </w:r>
      <w:r>
        <w:rPr>
          <w:rFonts w:ascii="Arial" w:hAnsi="Arial" w:cs="Arial"/>
          <w:sz w:val="24"/>
        </w:rPr>
        <w:t>whose power is transmitted over WA</w:t>
      </w:r>
      <w:r w:rsidR="00783668">
        <w:rPr>
          <w:rFonts w:ascii="Arial" w:hAnsi="Arial" w:cs="Arial"/>
          <w:sz w:val="24"/>
        </w:rPr>
        <w:t>SN</w:t>
      </w:r>
      <w:r>
        <w:rPr>
          <w:rFonts w:ascii="Arial" w:hAnsi="Arial" w:cs="Arial"/>
          <w:sz w:val="24"/>
        </w:rPr>
        <w:t xml:space="preserve"> transmission lines</w:t>
      </w:r>
      <w:r w:rsidR="00C95DC7">
        <w:rPr>
          <w:rFonts w:ascii="Arial" w:hAnsi="Arial" w:cs="Arial"/>
          <w:sz w:val="24"/>
        </w:rPr>
        <w:t>;</w:t>
      </w:r>
    </w:p>
    <w:p w:rsidR="00C95DC7" w:rsidRDefault="00C95DC7" w:rsidP="00B723C6">
      <w:pPr>
        <w:ind w:left="720"/>
        <w:rPr>
          <w:rFonts w:ascii="Arial" w:hAnsi="Arial" w:cs="Arial"/>
          <w:sz w:val="24"/>
        </w:rPr>
      </w:pPr>
    </w:p>
    <w:p w:rsidR="00E3420E" w:rsidRDefault="00E3420E">
      <w:pPr>
        <w:numPr>
          <w:ilvl w:val="0"/>
          <w:numId w:val="6"/>
        </w:numPr>
        <w:rPr>
          <w:rFonts w:ascii="Arial" w:hAnsi="Arial" w:cs="Arial"/>
          <w:sz w:val="24"/>
        </w:rPr>
      </w:pPr>
      <w:r>
        <w:rPr>
          <w:rFonts w:ascii="Arial" w:hAnsi="Arial" w:cs="Arial"/>
          <w:sz w:val="24"/>
        </w:rPr>
        <w:t>Maintain acceptable system voltages and thermal loadings</w:t>
      </w:r>
      <w:r w:rsidR="00C95DC7">
        <w:rPr>
          <w:rFonts w:ascii="Arial" w:hAnsi="Arial" w:cs="Arial"/>
          <w:sz w:val="24"/>
        </w:rPr>
        <w:t>;</w:t>
      </w:r>
    </w:p>
    <w:p w:rsidR="00C95DC7" w:rsidRDefault="00C95DC7" w:rsidP="00B723C6">
      <w:pPr>
        <w:ind w:left="720"/>
        <w:rPr>
          <w:rFonts w:ascii="Arial" w:hAnsi="Arial" w:cs="Arial"/>
          <w:sz w:val="24"/>
        </w:rPr>
      </w:pPr>
    </w:p>
    <w:p w:rsidR="00B162EC" w:rsidRDefault="00B162EC" w:rsidP="00B162EC">
      <w:pPr>
        <w:numPr>
          <w:ilvl w:val="0"/>
          <w:numId w:val="6"/>
        </w:numPr>
        <w:rPr>
          <w:rFonts w:ascii="Arial" w:hAnsi="Arial" w:cs="Arial"/>
          <w:sz w:val="24"/>
        </w:rPr>
      </w:pPr>
      <w:r>
        <w:rPr>
          <w:rFonts w:ascii="Arial" w:hAnsi="Arial" w:cs="Arial"/>
          <w:sz w:val="24"/>
        </w:rPr>
        <w:t>Assess the performance and impact of planned transmission system additions and upgrades;</w:t>
      </w:r>
    </w:p>
    <w:p w:rsidR="00C95DC7" w:rsidRDefault="00C95DC7" w:rsidP="00B723C6">
      <w:pPr>
        <w:ind w:left="720"/>
        <w:rPr>
          <w:rFonts w:ascii="Arial" w:hAnsi="Arial" w:cs="Arial"/>
          <w:sz w:val="24"/>
        </w:rPr>
      </w:pPr>
    </w:p>
    <w:p w:rsidR="00E3420E" w:rsidRDefault="002F7A0F">
      <w:pPr>
        <w:numPr>
          <w:ilvl w:val="0"/>
          <w:numId w:val="6"/>
        </w:numPr>
        <w:rPr>
          <w:rFonts w:ascii="Arial" w:hAnsi="Arial" w:cs="Arial"/>
          <w:sz w:val="24"/>
        </w:rPr>
      </w:pPr>
      <w:r>
        <w:rPr>
          <w:rFonts w:ascii="Arial" w:hAnsi="Arial" w:cs="Arial"/>
          <w:sz w:val="24"/>
        </w:rPr>
        <w:t>Support coordinated operation with interconnected and parallel utilities transmission systems</w:t>
      </w:r>
      <w:r w:rsidR="00C95DC7">
        <w:rPr>
          <w:rFonts w:ascii="Arial" w:hAnsi="Arial" w:cs="Arial"/>
          <w:sz w:val="24"/>
        </w:rPr>
        <w:t>; and</w:t>
      </w:r>
    </w:p>
    <w:p w:rsidR="00C95DC7" w:rsidRDefault="00C95DC7" w:rsidP="00B723C6">
      <w:pPr>
        <w:ind w:left="720"/>
        <w:rPr>
          <w:rFonts w:ascii="Arial" w:hAnsi="Arial" w:cs="Arial"/>
          <w:sz w:val="24"/>
        </w:rPr>
      </w:pPr>
    </w:p>
    <w:p w:rsidR="00E3420E" w:rsidRDefault="00E3420E">
      <w:pPr>
        <w:numPr>
          <w:ilvl w:val="0"/>
          <w:numId w:val="6"/>
        </w:numPr>
        <w:rPr>
          <w:rFonts w:ascii="Arial" w:hAnsi="Arial" w:cs="Arial"/>
          <w:sz w:val="24"/>
        </w:rPr>
      </w:pPr>
      <w:r>
        <w:rPr>
          <w:rFonts w:ascii="Arial" w:hAnsi="Arial" w:cs="Arial"/>
          <w:sz w:val="24"/>
        </w:rPr>
        <w:t xml:space="preserve">Implement the results of </w:t>
      </w:r>
      <w:r w:rsidR="00CA5374">
        <w:rPr>
          <w:rFonts w:ascii="Arial" w:hAnsi="Arial" w:cs="Arial"/>
          <w:sz w:val="24"/>
        </w:rPr>
        <w:t>various previous and on-going transmission planning studies</w:t>
      </w:r>
      <w:r w:rsidR="00744AD6">
        <w:rPr>
          <w:rStyle w:val="FootnoteReference"/>
          <w:rFonts w:ascii="Arial" w:hAnsi="Arial" w:cs="Arial"/>
        </w:rPr>
        <w:footnoteReference w:id="1"/>
      </w:r>
    </w:p>
    <w:p w:rsidR="00E3420E" w:rsidRDefault="00E3420E">
      <w:pPr>
        <w:rPr>
          <w:rFonts w:ascii="Arial" w:hAnsi="Arial" w:cs="Arial"/>
          <w:sz w:val="24"/>
        </w:rPr>
      </w:pPr>
    </w:p>
    <w:tbl>
      <w:tblPr>
        <w:tblW w:w="0" w:type="auto"/>
        <w:tblLayout w:type="fixed"/>
        <w:tblLook w:val="0000"/>
      </w:tblPr>
      <w:tblGrid>
        <w:gridCol w:w="9576"/>
      </w:tblGrid>
      <w:tr w:rsidR="00E3420E">
        <w:tc>
          <w:tcPr>
            <w:tcW w:w="9576" w:type="dxa"/>
            <w:shd w:val="clear" w:color="auto" w:fill="000000"/>
          </w:tcPr>
          <w:p w:rsidR="00E3420E" w:rsidRDefault="00CE1DA0">
            <w:pPr>
              <w:pStyle w:val="Heading1"/>
              <w:widowControl/>
              <w:rPr>
                <w:rFonts w:ascii="Arial" w:hAnsi="Arial" w:cs="Arial"/>
              </w:rPr>
            </w:pPr>
            <w:bookmarkStart w:id="5" w:name="_Toc506650514"/>
            <w:bookmarkStart w:id="6" w:name="_Toc506913434"/>
            <w:bookmarkStart w:id="7" w:name="_Toc244589867"/>
            <w:r>
              <w:rPr>
                <w:rFonts w:ascii="Arial" w:hAnsi="Arial" w:cs="Arial"/>
              </w:rPr>
              <w:lastRenderedPageBreak/>
              <w:t xml:space="preserve">Reliability </w:t>
            </w:r>
            <w:r w:rsidR="00E3420E">
              <w:rPr>
                <w:rFonts w:ascii="Arial" w:hAnsi="Arial" w:cs="Arial"/>
              </w:rPr>
              <w:t>Standards</w:t>
            </w:r>
            <w:bookmarkEnd w:id="5"/>
            <w:bookmarkEnd w:id="6"/>
            <w:bookmarkEnd w:id="7"/>
          </w:p>
        </w:tc>
      </w:tr>
    </w:tbl>
    <w:p w:rsidR="00E3420E" w:rsidRDefault="00E3420E">
      <w:pPr>
        <w:rPr>
          <w:rFonts w:ascii="Arial" w:hAnsi="Arial" w:cs="Arial"/>
          <w:sz w:val="24"/>
        </w:rPr>
      </w:pPr>
    </w:p>
    <w:p w:rsidR="002074D4" w:rsidRDefault="00CE1DA0" w:rsidP="00564F5F">
      <w:pPr>
        <w:pStyle w:val="BodyText3"/>
        <w:widowControl w:val="0"/>
        <w:jc w:val="both"/>
        <w:rPr>
          <w:rFonts w:ascii="Arial" w:hAnsi="Arial" w:cs="Arial"/>
        </w:rPr>
      </w:pPr>
      <w:r>
        <w:rPr>
          <w:rFonts w:ascii="Arial" w:hAnsi="Arial" w:cs="Arial"/>
        </w:rPr>
        <w:t>NERC Transmission Planning Standards TPL-001, TPL-002, TPL-003 and TPL-004 and their requirements will be the basis for establishing completion of this annual assessment.</w:t>
      </w:r>
    </w:p>
    <w:p w:rsidR="002074D4" w:rsidRDefault="002074D4">
      <w:pPr>
        <w:pStyle w:val="BodyText3"/>
        <w:widowControl w:val="0"/>
        <w:rPr>
          <w:rFonts w:ascii="Arial" w:hAnsi="Arial" w:cs="Arial"/>
        </w:rPr>
      </w:pPr>
    </w:p>
    <w:p w:rsidR="002074D4" w:rsidRPr="00E95DB1" w:rsidRDefault="00CE1DA0" w:rsidP="00E01DF5">
      <w:pPr>
        <w:tabs>
          <w:tab w:val="left" w:pos="720"/>
          <w:tab w:val="left" w:pos="990"/>
        </w:tabs>
        <w:ind w:left="2700" w:hanging="2700"/>
        <w:rPr>
          <w:rFonts w:ascii="Arial" w:hAnsi="Arial" w:cs="Arial"/>
          <w:b/>
          <w:bCs/>
          <w:sz w:val="24"/>
          <w:szCs w:val="24"/>
        </w:rPr>
      </w:pPr>
      <w:r>
        <w:rPr>
          <w:rFonts w:ascii="Arial" w:hAnsi="Arial" w:cs="Arial"/>
        </w:rPr>
        <w:t xml:space="preserve"> </w:t>
      </w:r>
      <w:r w:rsidR="002074D4" w:rsidRPr="00E95DB1">
        <w:rPr>
          <w:rFonts w:ascii="Arial" w:hAnsi="Arial" w:cs="Arial"/>
          <w:b/>
          <w:bCs/>
          <w:sz w:val="24"/>
          <w:szCs w:val="24"/>
        </w:rPr>
        <w:t>Standard TPL-001-0 — System Performance Under Normal (No Contingency) Conditions (Category A)</w:t>
      </w:r>
    </w:p>
    <w:p w:rsidR="002074D4" w:rsidRPr="00E95DB1" w:rsidRDefault="002074D4" w:rsidP="002074D4">
      <w:pPr>
        <w:tabs>
          <w:tab w:val="left" w:pos="720"/>
          <w:tab w:val="left" w:pos="990"/>
        </w:tabs>
        <w:rPr>
          <w:rFonts w:ascii="Arial" w:hAnsi="Arial" w:cs="Arial"/>
          <w:b/>
          <w:bCs/>
          <w:sz w:val="24"/>
          <w:szCs w:val="24"/>
        </w:rPr>
      </w:pPr>
    </w:p>
    <w:p w:rsidR="002074D4" w:rsidRPr="00E95DB1" w:rsidRDefault="002074D4" w:rsidP="00E01DF5">
      <w:pPr>
        <w:widowControl/>
        <w:overflowPunct/>
        <w:ind w:left="2700" w:hanging="2700"/>
        <w:textAlignment w:val="auto"/>
        <w:rPr>
          <w:rFonts w:ascii="Arial" w:hAnsi="Arial" w:cs="Arial"/>
          <w:b/>
          <w:bCs/>
          <w:sz w:val="24"/>
          <w:szCs w:val="24"/>
        </w:rPr>
      </w:pPr>
      <w:r w:rsidRPr="00E95DB1">
        <w:rPr>
          <w:rFonts w:ascii="Arial" w:hAnsi="Arial" w:cs="Arial"/>
          <w:b/>
          <w:bCs/>
          <w:sz w:val="24"/>
          <w:szCs w:val="24"/>
        </w:rPr>
        <w:t>Standard TPL-002-0 — System Performance Following Loss of a Single Bulk Electric System</w:t>
      </w:r>
      <w:r w:rsidR="00E01DF5">
        <w:rPr>
          <w:rFonts w:ascii="Arial" w:hAnsi="Arial" w:cs="Arial"/>
          <w:b/>
          <w:bCs/>
          <w:sz w:val="24"/>
          <w:szCs w:val="24"/>
        </w:rPr>
        <w:t xml:space="preserve"> </w:t>
      </w:r>
      <w:r w:rsidRPr="00E95DB1">
        <w:rPr>
          <w:rFonts w:ascii="Arial" w:hAnsi="Arial" w:cs="Arial"/>
          <w:b/>
          <w:bCs/>
          <w:sz w:val="24"/>
          <w:szCs w:val="24"/>
        </w:rPr>
        <w:t>Element (Category B)</w:t>
      </w:r>
    </w:p>
    <w:p w:rsidR="002074D4" w:rsidRPr="00E95DB1" w:rsidRDefault="002074D4" w:rsidP="002074D4">
      <w:pPr>
        <w:tabs>
          <w:tab w:val="left" w:pos="720"/>
          <w:tab w:val="left" w:pos="990"/>
        </w:tabs>
        <w:rPr>
          <w:rFonts w:ascii="Arial" w:hAnsi="Arial" w:cs="Arial"/>
          <w:b/>
          <w:bCs/>
          <w:sz w:val="24"/>
          <w:szCs w:val="24"/>
        </w:rPr>
      </w:pPr>
    </w:p>
    <w:p w:rsidR="002074D4" w:rsidRPr="00E95DB1" w:rsidRDefault="002074D4" w:rsidP="00E01DF5">
      <w:pPr>
        <w:widowControl/>
        <w:overflowPunct/>
        <w:ind w:left="2700" w:hanging="2700"/>
        <w:textAlignment w:val="auto"/>
        <w:rPr>
          <w:rFonts w:ascii="Arial" w:hAnsi="Arial" w:cs="Arial"/>
          <w:b/>
          <w:bCs/>
          <w:sz w:val="24"/>
          <w:szCs w:val="24"/>
        </w:rPr>
      </w:pPr>
      <w:r w:rsidRPr="00E95DB1">
        <w:rPr>
          <w:rFonts w:ascii="Arial" w:hAnsi="Arial" w:cs="Arial"/>
          <w:b/>
          <w:bCs/>
          <w:sz w:val="24"/>
          <w:szCs w:val="24"/>
        </w:rPr>
        <w:t>Standard TPL-003-0 — System Performance Following Loss of Two or More Bulk Electric System Elements (Category C)</w:t>
      </w:r>
    </w:p>
    <w:p w:rsidR="002074D4" w:rsidRPr="00E95DB1" w:rsidRDefault="002074D4" w:rsidP="002074D4">
      <w:pPr>
        <w:tabs>
          <w:tab w:val="left" w:pos="720"/>
          <w:tab w:val="left" w:pos="990"/>
        </w:tabs>
        <w:rPr>
          <w:rFonts w:ascii="Arial" w:hAnsi="Arial" w:cs="Arial"/>
          <w:b/>
          <w:sz w:val="24"/>
          <w:szCs w:val="24"/>
        </w:rPr>
      </w:pPr>
    </w:p>
    <w:p w:rsidR="002074D4" w:rsidRDefault="002074D4" w:rsidP="00E01DF5">
      <w:pPr>
        <w:widowControl/>
        <w:overflowPunct/>
        <w:ind w:left="2700" w:hanging="2700"/>
        <w:textAlignment w:val="auto"/>
        <w:rPr>
          <w:rFonts w:ascii="Arial" w:hAnsi="Arial" w:cs="Arial"/>
          <w:b/>
          <w:sz w:val="24"/>
          <w:szCs w:val="24"/>
        </w:rPr>
      </w:pPr>
      <w:r w:rsidRPr="00E95DB1">
        <w:rPr>
          <w:rFonts w:ascii="Arial" w:hAnsi="Arial" w:cs="Arial"/>
          <w:b/>
          <w:bCs/>
          <w:sz w:val="24"/>
          <w:szCs w:val="24"/>
        </w:rPr>
        <w:t xml:space="preserve">Standard TPL-004-0 — </w:t>
      </w:r>
      <w:r w:rsidRPr="00E95DB1">
        <w:rPr>
          <w:rFonts w:ascii="Arial" w:hAnsi="Arial" w:cs="Arial"/>
          <w:b/>
          <w:sz w:val="24"/>
          <w:szCs w:val="24"/>
        </w:rPr>
        <w:t>System Performance Following Extreme Events Resulting in the Loss of Two or</w:t>
      </w:r>
      <w:r w:rsidR="00E01DF5">
        <w:rPr>
          <w:rFonts w:ascii="Arial" w:hAnsi="Arial" w:cs="Arial"/>
          <w:b/>
          <w:sz w:val="24"/>
          <w:szCs w:val="24"/>
        </w:rPr>
        <w:t xml:space="preserve"> </w:t>
      </w:r>
      <w:r w:rsidRPr="00E95DB1">
        <w:rPr>
          <w:rFonts w:ascii="Arial" w:hAnsi="Arial" w:cs="Arial"/>
          <w:b/>
          <w:sz w:val="24"/>
          <w:szCs w:val="24"/>
        </w:rPr>
        <w:t>More Bulk Electric System Elements (Category D)</w:t>
      </w:r>
    </w:p>
    <w:p w:rsidR="006D2687" w:rsidRDefault="006D2687" w:rsidP="00E01DF5">
      <w:pPr>
        <w:widowControl/>
        <w:overflowPunct/>
        <w:ind w:left="2700" w:hanging="2700"/>
        <w:textAlignment w:val="auto"/>
        <w:rPr>
          <w:rFonts w:ascii="Arial" w:hAnsi="Arial" w:cs="Arial"/>
          <w:b/>
          <w:sz w:val="24"/>
          <w:szCs w:val="24"/>
        </w:rPr>
      </w:pPr>
    </w:p>
    <w:p w:rsidR="002074D4" w:rsidRDefault="00EF24F2">
      <w:pPr>
        <w:pStyle w:val="BodyText3"/>
        <w:widowControl w:val="0"/>
        <w:rPr>
          <w:rFonts w:ascii="Arial" w:hAnsi="Arial" w:cs="Arial"/>
        </w:rPr>
      </w:pPr>
      <w:r w:rsidRPr="00F66BCC">
        <w:rPr>
          <w:rFonts w:ascii="Arial" w:hAnsi="Arial" w:cs="Arial"/>
          <w:b/>
          <w:szCs w:val="24"/>
        </w:rPr>
        <w:lastRenderedPageBreak/>
        <w:pict>
          <v:shape id="_x0000_i1025" type="#_x0000_t75" style="width:466.5pt;height:489pt">
            <v:imagedata r:id="rId14" o:title="NERC Table 1 part 1"/>
          </v:shape>
        </w:pict>
      </w:r>
    </w:p>
    <w:p w:rsidR="004437BF" w:rsidRDefault="00EF24F2">
      <w:pPr>
        <w:pStyle w:val="BodyText3"/>
        <w:widowControl w:val="0"/>
        <w:rPr>
          <w:rFonts w:ascii="Arial" w:hAnsi="Arial" w:cs="Arial"/>
        </w:rPr>
      </w:pPr>
      <w:r w:rsidRPr="00F66BCC">
        <w:rPr>
          <w:rFonts w:ascii="Arial" w:hAnsi="Arial" w:cs="Arial"/>
        </w:rPr>
        <w:lastRenderedPageBreak/>
        <w:pict>
          <v:shape id="_x0000_i1026" type="#_x0000_t75" style="width:468pt;height:496.5pt">
            <v:imagedata r:id="rId15" o:title="NERC Table 1 part 2"/>
          </v:shape>
        </w:pict>
      </w:r>
    </w:p>
    <w:p w:rsidR="004437BF" w:rsidRDefault="004437BF">
      <w:pPr>
        <w:pStyle w:val="BodyText3"/>
        <w:widowControl w:val="0"/>
        <w:rPr>
          <w:rFonts w:ascii="Arial" w:hAnsi="Arial" w:cs="Arial"/>
        </w:rPr>
      </w:pPr>
    </w:p>
    <w:tbl>
      <w:tblPr>
        <w:tblW w:w="0" w:type="auto"/>
        <w:tblLayout w:type="fixed"/>
        <w:tblLook w:val="0000"/>
      </w:tblPr>
      <w:tblGrid>
        <w:gridCol w:w="9576"/>
      </w:tblGrid>
      <w:tr w:rsidR="00E3420E">
        <w:tc>
          <w:tcPr>
            <w:tcW w:w="9576" w:type="dxa"/>
            <w:shd w:val="clear" w:color="auto" w:fill="000000"/>
          </w:tcPr>
          <w:p w:rsidR="00E3420E" w:rsidRDefault="00E3420E" w:rsidP="00261A45">
            <w:pPr>
              <w:pStyle w:val="Heading1"/>
              <w:widowControl/>
              <w:rPr>
                <w:rFonts w:ascii="Arial" w:hAnsi="Arial" w:cs="Arial"/>
              </w:rPr>
            </w:pPr>
            <w:bookmarkStart w:id="8" w:name="_Toc503520750"/>
            <w:r>
              <w:rPr>
                <w:rFonts w:ascii="Arial" w:hAnsi="Arial" w:cs="Arial"/>
                <w:u w:val="single"/>
              </w:rPr>
              <w:br w:type="page"/>
            </w:r>
            <w:bookmarkStart w:id="9" w:name="_Toc506650515"/>
            <w:bookmarkStart w:id="10" w:name="_Toc506913435"/>
            <w:bookmarkStart w:id="11" w:name="_Toc536354169"/>
            <w:r w:rsidR="00261A45" w:rsidRPr="00261A45">
              <w:rPr>
                <w:rFonts w:ascii="Arial" w:hAnsi="Arial" w:cs="Arial"/>
              </w:rPr>
              <w:t xml:space="preserve"> </w:t>
            </w:r>
            <w:bookmarkStart w:id="12" w:name="_Toc244589868"/>
            <w:r>
              <w:rPr>
                <w:rFonts w:ascii="Arial" w:hAnsi="Arial" w:cs="Arial"/>
              </w:rPr>
              <w:t>Study Assumptions</w:t>
            </w:r>
            <w:bookmarkEnd w:id="9"/>
            <w:bookmarkEnd w:id="10"/>
            <w:bookmarkEnd w:id="11"/>
            <w:bookmarkEnd w:id="12"/>
          </w:p>
        </w:tc>
      </w:tr>
      <w:bookmarkEnd w:id="8"/>
    </w:tbl>
    <w:p w:rsidR="00E3420E" w:rsidRDefault="00E3420E">
      <w:pPr>
        <w:widowControl/>
        <w:jc w:val="both"/>
        <w:rPr>
          <w:rFonts w:ascii="Arial" w:hAnsi="Arial" w:cs="Arial"/>
          <w:sz w:val="24"/>
        </w:rPr>
      </w:pPr>
    </w:p>
    <w:p w:rsidR="000F2A13" w:rsidRDefault="000F2A13" w:rsidP="00564F5F">
      <w:pPr>
        <w:widowControl/>
        <w:jc w:val="both"/>
        <w:rPr>
          <w:rFonts w:ascii="Arial" w:hAnsi="Arial" w:cs="Arial"/>
          <w:sz w:val="24"/>
        </w:rPr>
      </w:pPr>
      <w:bookmarkStart w:id="13" w:name="_Toc503520751"/>
      <w:bookmarkStart w:id="14" w:name="_Toc506650516"/>
      <w:bookmarkStart w:id="15" w:name="_Toc506913436"/>
      <w:bookmarkStart w:id="16" w:name="_Toc536354170"/>
      <w:r>
        <w:rPr>
          <w:rFonts w:ascii="Arial" w:hAnsi="Arial" w:cs="Arial"/>
          <w:sz w:val="24"/>
        </w:rPr>
        <w:t>The annual transmission planning process starts with the development of power flow base cases that model WASN’s transmission system within Northern California as well within the WECC reliability area.  This section discusses the assumptions used in developing the power flow base cases for this study.</w:t>
      </w:r>
    </w:p>
    <w:p w:rsidR="00E3420E" w:rsidRDefault="00E3420E">
      <w:pPr>
        <w:pStyle w:val="Heading2"/>
        <w:widowControl/>
        <w:ind w:left="720"/>
        <w:rPr>
          <w:rFonts w:ascii="Arial" w:hAnsi="Arial" w:cs="Arial"/>
        </w:rPr>
      </w:pPr>
      <w:bookmarkStart w:id="17" w:name="_Toc244589869"/>
      <w:r>
        <w:rPr>
          <w:rFonts w:ascii="Arial" w:hAnsi="Arial" w:cs="Arial"/>
        </w:rPr>
        <w:lastRenderedPageBreak/>
        <w:t>A.</w:t>
      </w:r>
      <w:r>
        <w:rPr>
          <w:rFonts w:ascii="Arial" w:hAnsi="Arial" w:cs="Arial"/>
        </w:rPr>
        <w:tab/>
        <w:t>Base Case</w:t>
      </w:r>
      <w:bookmarkEnd w:id="13"/>
      <w:bookmarkEnd w:id="14"/>
      <w:r>
        <w:rPr>
          <w:rFonts w:ascii="Arial" w:hAnsi="Arial" w:cs="Arial"/>
        </w:rPr>
        <w:t>s</w:t>
      </w:r>
      <w:bookmarkEnd w:id="15"/>
      <w:bookmarkEnd w:id="16"/>
      <w:r>
        <w:rPr>
          <w:rFonts w:ascii="Arial" w:hAnsi="Arial" w:cs="Arial"/>
        </w:rPr>
        <w:t xml:space="preserve"> Developed for </w:t>
      </w:r>
      <w:r w:rsidR="00465FE1">
        <w:rPr>
          <w:rFonts w:ascii="Arial" w:hAnsi="Arial" w:cs="Arial"/>
        </w:rPr>
        <w:t xml:space="preserve">Transmission </w:t>
      </w:r>
      <w:r>
        <w:rPr>
          <w:rFonts w:ascii="Arial" w:hAnsi="Arial" w:cs="Arial"/>
        </w:rPr>
        <w:t>System Assessment</w:t>
      </w:r>
      <w:bookmarkEnd w:id="17"/>
    </w:p>
    <w:p w:rsidR="00E3420E" w:rsidRDefault="00E3420E">
      <w:pPr>
        <w:widowControl/>
        <w:ind w:left="720"/>
        <w:rPr>
          <w:rFonts w:ascii="Arial" w:hAnsi="Arial" w:cs="Arial"/>
          <w:sz w:val="24"/>
        </w:rPr>
      </w:pPr>
    </w:p>
    <w:p w:rsidR="001840B4" w:rsidRDefault="001840B4" w:rsidP="00564F5F">
      <w:pPr>
        <w:widowControl/>
        <w:numPr>
          <w:ilvl w:val="12"/>
          <w:numId w:val="0"/>
        </w:numPr>
        <w:ind w:left="720"/>
        <w:jc w:val="both"/>
        <w:rPr>
          <w:rFonts w:ascii="Arial" w:hAnsi="Arial" w:cs="Arial"/>
          <w:sz w:val="24"/>
        </w:rPr>
      </w:pPr>
      <w:r>
        <w:rPr>
          <w:rFonts w:ascii="Arial" w:hAnsi="Arial" w:cs="Arial"/>
          <w:sz w:val="24"/>
        </w:rPr>
        <w:t xml:space="preserve">Power flow base cases for this annual assessment are base cases developed by </w:t>
      </w:r>
      <w:r w:rsidR="008E1A49">
        <w:rPr>
          <w:rFonts w:ascii="Arial" w:hAnsi="Arial" w:cs="Arial"/>
          <w:sz w:val="24"/>
        </w:rPr>
        <w:t xml:space="preserve">PG&amp;E for their and the California Independent System Operator (CAISO) </w:t>
      </w:r>
      <w:r>
        <w:rPr>
          <w:rFonts w:ascii="Arial" w:hAnsi="Arial" w:cs="Arial"/>
          <w:sz w:val="24"/>
        </w:rPr>
        <w:t>transmission planning assessment</w:t>
      </w:r>
      <w:r w:rsidR="003A3601">
        <w:rPr>
          <w:rFonts w:ascii="Arial" w:hAnsi="Arial" w:cs="Arial"/>
          <w:sz w:val="24"/>
        </w:rPr>
        <w:t>s</w:t>
      </w:r>
      <w:r w:rsidR="008E1A49">
        <w:rPr>
          <w:rFonts w:ascii="Arial" w:hAnsi="Arial" w:cs="Arial"/>
          <w:sz w:val="24"/>
        </w:rPr>
        <w:t>.  For the years 2010-2013, PG&amp;E base case</w:t>
      </w:r>
      <w:r w:rsidR="00C4163E">
        <w:rPr>
          <w:rFonts w:ascii="Arial" w:hAnsi="Arial" w:cs="Arial"/>
          <w:sz w:val="24"/>
        </w:rPr>
        <w:t>s</w:t>
      </w:r>
      <w:r w:rsidR="008E1A49">
        <w:rPr>
          <w:rFonts w:ascii="Arial" w:hAnsi="Arial" w:cs="Arial"/>
          <w:sz w:val="24"/>
        </w:rPr>
        <w:t xml:space="preserve"> representing Northern California were used.  For years 2014 &amp; 2019, PG&amp;E base cases representing the whole of the Western Electricity Coordinating Council (WECC) were used.</w:t>
      </w:r>
    </w:p>
    <w:p w:rsidR="00A522E9" w:rsidRDefault="00A522E9">
      <w:pPr>
        <w:widowControl/>
        <w:numPr>
          <w:ilvl w:val="12"/>
          <w:numId w:val="0"/>
        </w:numPr>
        <w:ind w:left="720"/>
        <w:rPr>
          <w:rFonts w:ascii="Arial" w:hAnsi="Arial" w:cs="Arial"/>
          <w:sz w:val="24"/>
        </w:rPr>
      </w:pPr>
    </w:p>
    <w:p w:rsidR="00703B30" w:rsidRDefault="00592D5C" w:rsidP="00564F5F">
      <w:pPr>
        <w:widowControl/>
        <w:numPr>
          <w:ilvl w:val="12"/>
          <w:numId w:val="0"/>
        </w:numPr>
        <w:ind w:left="720"/>
        <w:jc w:val="both"/>
        <w:rPr>
          <w:rFonts w:ascii="Arial" w:hAnsi="Arial" w:cs="Arial"/>
          <w:sz w:val="24"/>
        </w:rPr>
      </w:pPr>
      <w:r>
        <w:rPr>
          <w:rFonts w:ascii="Arial" w:hAnsi="Arial" w:cs="Arial"/>
          <w:sz w:val="24"/>
        </w:rPr>
        <w:t>T</w:t>
      </w:r>
      <w:r w:rsidR="00A522E9">
        <w:rPr>
          <w:rFonts w:ascii="Arial" w:hAnsi="Arial" w:cs="Arial"/>
          <w:sz w:val="24"/>
        </w:rPr>
        <w:t>he base cases were developed through review and any required revision by WA</w:t>
      </w:r>
      <w:r w:rsidR="00783668">
        <w:rPr>
          <w:rFonts w:ascii="Arial" w:hAnsi="Arial" w:cs="Arial"/>
          <w:sz w:val="24"/>
        </w:rPr>
        <w:t>SN</w:t>
      </w:r>
      <w:r w:rsidR="00A522E9">
        <w:rPr>
          <w:rFonts w:ascii="Arial" w:hAnsi="Arial" w:cs="Arial"/>
          <w:sz w:val="24"/>
        </w:rPr>
        <w:t>, those entities that supply and re</w:t>
      </w:r>
      <w:r w:rsidR="00703B30">
        <w:rPr>
          <w:rFonts w:ascii="Arial" w:hAnsi="Arial" w:cs="Arial"/>
          <w:sz w:val="24"/>
        </w:rPr>
        <w:t xml:space="preserve">ceive </w:t>
      </w:r>
      <w:r w:rsidR="00A522E9">
        <w:rPr>
          <w:rFonts w:ascii="Arial" w:hAnsi="Arial" w:cs="Arial"/>
          <w:sz w:val="24"/>
        </w:rPr>
        <w:t>power over WA</w:t>
      </w:r>
      <w:r w:rsidR="00783668">
        <w:rPr>
          <w:rFonts w:ascii="Arial" w:hAnsi="Arial" w:cs="Arial"/>
          <w:sz w:val="24"/>
        </w:rPr>
        <w:t>SN</w:t>
      </w:r>
      <w:r w:rsidR="00A522E9">
        <w:rPr>
          <w:rFonts w:ascii="Arial" w:hAnsi="Arial" w:cs="Arial"/>
          <w:sz w:val="24"/>
        </w:rPr>
        <w:t>’s transmission system and other utilities within Northern California</w:t>
      </w:r>
      <w:r w:rsidR="008E1A49">
        <w:rPr>
          <w:rFonts w:ascii="Arial" w:hAnsi="Arial" w:cs="Arial"/>
          <w:sz w:val="24"/>
        </w:rPr>
        <w:t>.  The cases representing</w:t>
      </w:r>
      <w:r w:rsidR="00CE3258">
        <w:rPr>
          <w:rFonts w:ascii="Arial" w:hAnsi="Arial" w:cs="Arial"/>
          <w:sz w:val="24"/>
        </w:rPr>
        <w:t xml:space="preserve"> 2014 and 2019 </w:t>
      </w:r>
      <w:r w:rsidR="008E1A49">
        <w:rPr>
          <w:rFonts w:ascii="Arial" w:hAnsi="Arial" w:cs="Arial"/>
          <w:sz w:val="24"/>
        </w:rPr>
        <w:t xml:space="preserve">are based </w:t>
      </w:r>
      <w:r w:rsidR="00CE3258">
        <w:rPr>
          <w:rFonts w:ascii="Arial" w:hAnsi="Arial" w:cs="Arial"/>
          <w:sz w:val="24"/>
        </w:rPr>
        <w:t xml:space="preserve">on </w:t>
      </w:r>
      <w:r w:rsidR="008E1A49">
        <w:rPr>
          <w:rFonts w:ascii="Arial" w:hAnsi="Arial" w:cs="Arial"/>
          <w:sz w:val="24"/>
        </w:rPr>
        <w:t>base case</w:t>
      </w:r>
      <w:r w:rsidR="00CE3258">
        <w:rPr>
          <w:rFonts w:ascii="Arial" w:hAnsi="Arial" w:cs="Arial"/>
          <w:sz w:val="24"/>
        </w:rPr>
        <w:t>s (2013 HS1a and 2018 hs1a)</w:t>
      </w:r>
      <w:r w:rsidR="008E1A49">
        <w:rPr>
          <w:rFonts w:ascii="Arial" w:hAnsi="Arial" w:cs="Arial"/>
          <w:sz w:val="24"/>
        </w:rPr>
        <w:t xml:space="preserve"> initially developed</w:t>
      </w:r>
      <w:r w:rsidR="00CE3258">
        <w:rPr>
          <w:rFonts w:ascii="Arial" w:hAnsi="Arial" w:cs="Arial"/>
          <w:sz w:val="24"/>
        </w:rPr>
        <w:t xml:space="preserve"> by WECC with review </w:t>
      </w:r>
      <w:r w:rsidR="008E1A49">
        <w:rPr>
          <w:rFonts w:ascii="Arial" w:hAnsi="Arial" w:cs="Arial"/>
          <w:sz w:val="24"/>
        </w:rPr>
        <w:t xml:space="preserve">and revision by WECC members.  </w:t>
      </w:r>
      <w:r w:rsidR="00703B30">
        <w:rPr>
          <w:rFonts w:ascii="Arial" w:hAnsi="Arial" w:cs="Arial"/>
          <w:sz w:val="24"/>
        </w:rPr>
        <w:t>The transmission system configuration has been updated to reflect, according to the projected year of operation, new planned transmission system reinforcements expected to be approved and become operational.</w:t>
      </w:r>
    </w:p>
    <w:p w:rsidR="00E3420E" w:rsidRDefault="00E3420E" w:rsidP="001B0E04">
      <w:pPr>
        <w:widowControl/>
        <w:rPr>
          <w:rFonts w:ascii="Arial" w:hAnsi="Arial" w:cs="Arial"/>
          <w:sz w:val="24"/>
        </w:rPr>
      </w:pPr>
    </w:p>
    <w:p w:rsidR="00C10CF5" w:rsidRDefault="00C10CF5" w:rsidP="00C10CF5">
      <w:pPr>
        <w:widowControl/>
        <w:ind w:left="720"/>
        <w:jc w:val="both"/>
        <w:rPr>
          <w:rFonts w:ascii="Arial" w:hAnsi="Arial" w:cs="Arial"/>
          <w:sz w:val="24"/>
        </w:rPr>
      </w:pPr>
      <w:r>
        <w:rPr>
          <w:rFonts w:ascii="Arial" w:hAnsi="Arial" w:cs="Arial"/>
          <w:sz w:val="24"/>
        </w:rPr>
        <w:t>Historically, maximum power flow through WASN’s transmission system has occurred during summer peak load and high hydroelec</w:t>
      </w:r>
      <w:r w:rsidR="00DE2865">
        <w:rPr>
          <w:rFonts w:ascii="Arial" w:hAnsi="Arial" w:cs="Arial"/>
          <w:sz w:val="24"/>
        </w:rPr>
        <w:t>tric</w:t>
      </w:r>
      <w:r>
        <w:rPr>
          <w:rFonts w:ascii="Arial" w:hAnsi="Arial" w:cs="Arial"/>
          <w:sz w:val="24"/>
        </w:rPr>
        <w:t xml:space="preserve"> power generating conditions when pre-dominate power flow through the 500 kV transmission system in California is from North to South. </w:t>
      </w:r>
    </w:p>
    <w:p w:rsidR="001B0E04" w:rsidRDefault="001B0E04">
      <w:pPr>
        <w:widowControl/>
        <w:ind w:left="720"/>
        <w:rPr>
          <w:rFonts w:ascii="Arial" w:hAnsi="Arial" w:cs="Arial"/>
          <w:sz w:val="24"/>
        </w:rPr>
      </w:pPr>
    </w:p>
    <w:p w:rsidR="00E3420E" w:rsidRDefault="00E3420E" w:rsidP="00564F5F">
      <w:pPr>
        <w:widowControl/>
        <w:ind w:left="720"/>
        <w:jc w:val="both"/>
        <w:rPr>
          <w:rFonts w:ascii="Arial" w:hAnsi="Arial" w:cs="Arial"/>
          <w:b/>
          <w:sz w:val="24"/>
        </w:rPr>
      </w:pPr>
      <w:r>
        <w:rPr>
          <w:rFonts w:ascii="Arial" w:hAnsi="Arial" w:cs="Arial"/>
          <w:sz w:val="24"/>
        </w:rPr>
        <w:t xml:space="preserve">However, there are </w:t>
      </w:r>
      <w:r w:rsidR="00AD1AD9">
        <w:rPr>
          <w:rFonts w:ascii="Arial" w:hAnsi="Arial" w:cs="Arial"/>
          <w:sz w:val="24"/>
        </w:rPr>
        <w:t xml:space="preserve">system conditions that occur during other seasons </w:t>
      </w:r>
      <w:r w:rsidR="001B0E04">
        <w:rPr>
          <w:rFonts w:ascii="Arial" w:hAnsi="Arial" w:cs="Arial"/>
          <w:sz w:val="24"/>
        </w:rPr>
        <w:t xml:space="preserve">or load conditions </w:t>
      </w:r>
      <w:r w:rsidR="00AD1AD9">
        <w:rPr>
          <w:rFonts w:ascii="Arial" w:hAnsi="Arial" w:cs="Arial"/>
          <w:sz w:val="24"/>
        </w:rPr>
        <w:t>that warrant investigation</w:t>
      </w:r>
      <w:r w:rsidR="000A772C">
        <w:rPr>
          <w:rFonts w:ascii="Arial" w:hAnsi="Arial" w:cs="Arial"/>
          <w:sz w:val="24"/>
        </w:rPr>
        <w:t>.  This</w:t>
      </w:r>
      <w:r w:rsidR="001B0E04">
        <w:rPr>
          <w:rFonts w:ascii="Arial" w:hAnsi="Arial" w:cs="Arial"/>
          <w:sz w:val="24"/>
        </w:rPr>
        <w:t xml:space="preserve"> include</w:t>
      </w:r>
      <w:r w:rsidR="000A772C">
        <w:rPr>
          <w:rFonts w:ascii="Arial" w:hAnsi="Arial" w:cs="Arial"/>
          <w:sz w:val="24"/>
        </w:rPr>
        <w:t>s</w:t>
      </w:r>
      <w:r w:rsidR="001B0E04">
        <w:rPr>
          <w:rFonts w:ascii="Arial" w:hAnsi="Arial" w:cs="Arial"/>
          <w:sz w:val="24"/>
        </w:rPr>
        <w:t xml:space="preserve"> summer off</w:t>
      </w:r>
      <w:r w:rsidR="000A772C">
        <w:rPr>
          <w:rFonts w:ascii="Arial" w:hAnsi="Arial" w:cs="Arial"/>
          <w:sz w:val="24"/>
        </w:rPr>
        <w:t>-peak</w:t>
      </w:r>
      <w:r w:rsidR="00AD1AD9">
        <w:rPr>
          <w:rFonts w:ascii="Arial" w:hAnsi="Arial" w:cs="Arial"/>
          <w:sz w:val="24"/>
        </w:rPr>
        <w:t xml:space="preserve"> </w:t>
      </w:r>
      <w:r w:rsidR="000A772C">
        <w:rPr>
          <w:rFonts w:ascii="Arial" w:hAnsi="Arial" w:cs="Arial"/>
          <w:sz w:val="24"/>
        </w:rPr>
        <w:t xml:space="preserve">conditions </w:t>
      </w:r>
      <w:r w:rsidR="00AD1AD9">
        <w:rPr>
          <w:rFonts w:ascii="Arial" w:hAnsi="Arial" w:cs="Arial"/>
          <w:sz w:val="24"/>
        </w:rPr>
        <w:t>when loads are lower</w:t>
      </w:r>
      <w:r w:rsidR="001B0E04">
        <w:rPr>
          <w:rFonts w:ascii="Arial" w:hAnsi="Arial" w:cs="Arial"/>
          <w:sz w:val="24"/>
        </w:rPr>
        <w:t xml:space="preserve">, hydro power is </w:t>
      </w:r>
      <w:r w:rsidR="000A772C">
        <w:rPr>
          <w:rFonts w:ascii="Arial" w:hAnsi="Arial" w:cs="Arial"/>
          <w:sz w:val="24"/>
        </w:rPr>
        <w:t>lower</w:t>
      </w:r>
      <w:r w:rsidR="00AD1AD9">
        <w:rPr>
          <w:rFonts w:ascii="Arial" w:hAnsi="Arial" w:cs="Arial"/>
          <w:sz w:val="24"/>
        </w:rPr>
        <w:t xml:space="preserve"> and the direction of pre-dominate power flow through the 500 kV transmission system in California </w:t>
      </w:r>
      <w:r w:rsidR="001E42A3">
        <w:rPr>
          <w:rFonts w:ascii="Arial" w:hAnsi="Arial" w:cs="Arial"/>
          <w:sz w:val="24"/>
        </w:rPr>
        <w:t>can be</w:t>
      </w:r>
      <w:r w:rsidR="00AD1AD9">
        <w:rPr>
          <w:rFonts w:ascii="Arial" w:hAnsi="Arial" w:cs="Arial"/>
          <w:sz w:val="24"/>
        </w:rPr>
        <w:t xml:space="preserve"> in a South to North direction</w:t>
      </w:r>
      <w:r w:rsidR="000A772C">
        <w:rPr>
          <w:rFonts w:ascii="Arial" w:hAnsi="Arial" w:cs="Arial"/>
          <w:sz w:val="24"/>
        </w:rPr>
        <w:t xml:space="preserve"> and Winter Peak conditions when loads and hydro power is lower, some thermal units are off-line for annual maintenance and the load pattern is different from summer and reflects winter heating demands</w:t>
      </w:r>
      <w:r w:rsidR="00AD1AD9">
        <w:rPr>
          <w:rFonts w:ascii="Arial" w:hAnsi="Arial" w:cs="Arial"/>
          <w:sz w:val="24"/>
        </w:rPr>
        <w:t xml:space="preserve">.  </w:t>
      </w:r>
    </w:p>
    <w:p w:rsidR="00E3420E" w:rsidRDefault="00E3420E">
      <w:pPr>
        <w:widowControl/>
        <w:ind w:left="720"/>
        <w:rPr>
          <w:rFonts w:ascii="Arial" w:hAnsi="Arial" w:cs="Arial"/>
          <w:sz w:val="24"/>
        </w:rPr>
      </w:pPr>
    </w:p>
    <w:p w:rsidR="00E3420E" w:rsidRDefault="00577105">
      <w:pPr>
        <w:widowControl/>
        <w:ind w:left="720"/>
        <w:rPr>
          <w:rFonts w:ascii="Arial" w:hAnsi="Arial" w:cs="Arial"/>
          <w:sz w:val="24"/>
        </w:rPr>
      </w:pPr>
      <w:r>
        <w:rPr>
          <w:rFonts w:ascii="Arial" w:hAnsi="Arial" w:cs="Arial"/>
          <w:sz w:val="24"/>
        </w:rPr>
        <w:t xml:space="preserve">Base cases that were </w:t>
      </w:r>
      <w:r w:rsidR="00F82AA0">
        <w:rPr>
          <w:rFonts w:ascii="Arial" w:hAnsi="Arial" w:cs="Arial"/>
          <w:sz w:val="24"/>
        </w:rPr>
        <w:t>utilized</w:t>
      </w:r>
      <w:r w:rsidR="00E3420E">
        <w:rPr>
          <w:rFonts w:ascii="Arial" w:hAnsi="Arial" w:cs="Arial"/>
          <w:sz w:val="24"/>
        </w:rPr>
        <w:t xml:space="preserve"> for this </w:t>
      </w:r>
      <w:r w:rsidR="00F82AA0">
        <w:rPr>
          <w:rFonts w:ascii="Arial" w:hAnsi="Arial" w:cs="Arial"/>
          <w:sz w:val="24"/>
        </w:rPr>
        <w:t>annual transmission assessment</w:t>
      </w:r>
      <w:r w:rsidR="00E3420E">
        <w:rPr>
          <w:rFonts w:ascii="Arial" w:hAnsi="Arial" w:cs="Arial"/>
          <w:sz w:val="24"/>
        </w:rPr>
        <w:t xml:space="preserve"> are summarized in Table 1.</w:t>
      </w:r>
    </w:p>
    <w:p w:rsidR="00E3420E" w:rsidRDefault="00E3420E">
      <w:pPr>
        <w:widowControl/>
        <w:ind w:left="720"/>
        <w:rPr>
          <w:rFonts w:ascii="Arial" w:hAnsi="Arial" w:cs="Arial"/>
          <w:sz w:val="24"/>
        </w:rPr>
      </w:pPr>
    </w:p>
    <w:p w:rsidR="00E3420E" w:rsidRPr="00094F97" w:rsidRDefault="00E3420E" w:rsidP="003E26A9">
      <w:pPr>
        <w:pStyle w:val="Caption"/>
        <w:keepNext/>
        <w:ind w:left="1170" w:hanging="1170"/>
        <w:jc w:val="both"/>
        <w:rPr>
          <w:rFonts w:ascii="Arial" w:hAnsi="Arial" w:cs="Arial"/>
          <w:sz w:val="24"/>
          <w:szCs w:val="24"/>
        </w:rPr>
      </w:pPr>
      <w:r w:rsidRPr="00094F97">
        <w:rPr>
          <w:rFonts w:ascii="Arial" w:hAnsi="Arial" w:cs="Arial"/>
          <w:sz w:val="24"/>
          <w:szCs w:val="24"/>
        </w:rPr>
        <w:t xml:space="preserve">Table </w:t>
      </w:r>
      <w:r w:rsidR="00F66BCC" w:rsidRPr="00094F97">
        <w:rPr>
          <w:rFonts w:ascii="Arial" w:hAnsi="Arial" w:cs="Arial"/>
          <w:sz w:val="24"/>
          <w:szCs w:val="24"/>
        </w:rPr>
        <w:fldChar w:fldCharType="begin"/>
      </w:r>
      <w:r w:rsidRPr="00094F97">
        <w:rPr>
          <w:rFonts w:ascii="Arial" w:hAnsi="Arial" w:cs="Arial"/>
          <w:sz w:val="24"/>
          <w:szCs w:val="24"/>
        </w:rPr>
        <w:instrText xml:space="preserve"> SEQ Table \* ARABIC </w:instrText>
      </w:r>
      <w:r w:rsidR="00F66BCC" w:rsidRPr="00094F97">
        <w:rPr>
          <w:rFonts w:ascii="Arial" w:hAnsi="Arial" w:cs="Arial"/>
          <w:sz w:val="24"/>
          <w:szCs w:val="24"/>
        </w:rPr>
        <w:fldChar w:fldCharType="separate"/>
      </w:r>
      <w:r w:rsidR="00027220">
        <w:rPr>
          <w:rFonts w:ascii="Arial" w:hAnsi="Arial" w:cs="Arial"/>
          <w:noProof/>
          <w:sz w:val="24"/>
          <w:szCs w:val="24"/>
        </w:rPr>
        <w:t>1</w:t>
      </w:r>
      <w:r w:rsidR="00F66BCC" w:rsidRPr="00094F97">
        <w:rPr>
          <w:rFonts w:ascii="Arial" w:hAnsi="Arial" w:cs="Arial"/>
          <w:sz w:val="24"/>
          <w:szCs w:val="24"/>
        </w:rPr>
        <w:fldChar w:fldCharType="end"/>
      </w:r>
      <w:r w:rsidRPr="00094F97">
        <w:rPr>
          <w:rFonts w:ascii="Arial" w:hAnsi="Arial" w:cs="Arial"/>
          <w:sz w:val="24"/>
          <w:szCs w:val="24"/>
        </w:rPr>
        <w:t xml:space="preserve">:  </w:t>
      </w:r>
      <w:r w:rsidR="00094F97" w:rsidRPr="00094F97">
        <w:rPr>
          <w:rFonts w:ascii="Arial" w:hAnsi="Arial" w:cs="Arial"/>
          <w:sz w:val="24"/>
          <w:szCs w:val="24"/>
        </w:rPr>
        <w:t>List</w:t>
      </w:r>
      <w:r w:rsidRPr="00094F97">
        <w:rPr>
          <w:rFonts w:ascii="Arial" w:hAnsi="Arial" w:cs="Arial"/>
          <w:sz w:val="24"/>
          <w:szCs w:val="24"/>
        </w:rPr>
        <w:t xml:space="preserve"> of Study Base Cases</w:t>
      </w:r>
      <w:r w:rsidR="00094F97" w:rsidRPr="00094F97">
        <w:rPr>
          <w:rFonts w:ascii="Arial" w:hAnsi="Arial" w:cs="Arial"/>
          <w:sz w:val="24"/>
          <w:szCs w:val="24"/>
        </w:rPr>
        <w:t xml:space="preserve"> </w:t>
      </w:r>
      <w:r w:rsidR="003E26A9">
        <w:rPr>
          <w:rFonts w:ascii="Arial" w:hAnsi="Arial" w:cs="Arial"/>
          <w:sz w:val="24"/>
          <w:szCs w:val="24"/>
        </w:rPr>
        <w:t>PG&amp;E Annual Assessment Base cases</w:t>
      </w:r>
    </w:p>
    <w:p w:rsidR="00E3420E" w:rsidRDefault="00094F97">
      <w:pPr>
        <w:widowControl/>
        <w:ind w:left="720"/>
        <w:rPr>
          <w:rFonts w:ascii="Arial" w:hAnsi="Arial" w:cs="Arial"/>
          <w:sz w:val="24"/>
          <w:szCs w:val="24"/>
        </w:rPr>
      </w:pPr>
      <w:r w:rsidRPr="00094F97">
        <w:rPr>
          <w:rFonts w:ascii="Arial" w:hAnsi="Arial" w:cs="Arial"/>
          <w:sz w:val="24"/>
          <w:szCs w:val="24"/>
        </w:rPr>
        <w:t>20</w:t>
      </w:r>
      <w:r w:rsidR="00EA3F74">
        <w:rPr>
          <w:rFonts w:ascii="Arial" w:hAnsi="Arial" w:cs="Arial"/>
          <w:sz w:val="24"/>
          <w:szCs w:val="24"/>
        </w:rPr>
        <w:t>10 Summer Peak – Northern California</w:t>
      </w:r>
    </w:p>
    <w:p w:rsidR="00EA3F74" w:rsidRDefault="00EA3F74" w:rsidP="00EA3F74">
      <w:pPr>
        <w:widowControl/>
        <w:ind w:left="720"/>
        <w:rPr>
          <w:rFonts w:ascii="Arial" w:hAnsi="Arial" w:cs="Arial"/>
          <w:sz w:val="24"/>
          <w:szCs w:val="24"/>
        </w:rPr>
      </w:pPr>
      <w:r w:rsidRPr="00094F97">
        <w:rPr>
          <w:rFonts w:ascii="Arial" w:hAnsi="Arial" w:cs="Arial"/>
          <w:sz w:val="24"/>
          <w:szCs w:val="24"/>
        </w:rPr>
        <w:t>20</w:t>
      </w:r>
      <w:r>
        <w:rPr>
          <w:rFonts w:ascii="Arial" w:hAnsi="Arial" w:cs="Arial"/>
          <w:sz w:val="24"/>
          <w:szCs w:val="24"/>
        </w:rPr>
        <w:t>11 Summer Peak – Northern California</w:t>
      </w:r>
    </w:p>
    <w:p w:rsidR="00EA3F74" w:rsidRDefault="00EA3F74" w:rsidP="00EA3F74">
      <w:pPr>
        <w:widowControl/>
        <w:ind w:left="720"/>
        <w:rPr>
          <w:rFonts w:ascii="Arial" w:hAnsi="Arial" w:cs="Arial"/>
          <w:sz w:val="24"/>
          <w:szCs w:val="24"/>
        </w:rPr>
      </w:pPr>
      <w:r w:rsidRPr="00094F97">
        <w:rPr>
          <w:rFonts w:ascii="Arial" w:hAnsi="Arial" w:cs="Arial"/>
          <w:sz w:val="24"/>
          <w:szCs w:val="24"/>
        </w:rPr>
        <w:t>20</w:t>
      </w:r>
      <w:r>
        <w:rPr>
          <w:rFonts w:ascii="Arial" w:hAnsi="Arial" w:cs="Arial"/>
          <w:sz w:val="24"/>
          <w:szCs w:val="24"/>
        </w:rPr>
        <w:t>12 Summer Peak – Northern California</w:t>
      </w:r>
    </w:p>
    <w:p w:rsidR="00EA3F74" w:rsidRDefault="00EA3F74" w:rsidP="00EA3F74">
      <w:pPr>
        <w:widowControl/>
        <w:ind w:left="720"/>
        <w:rPr>
          <w:rFonts w:ascii="Arial" w:hAnsi="Arial" w:cs="Arial"/>
          <w:sz w:val="24"/>
          <w:szCs w:val="24"/>
        </w:rPr>
      </w:pPr>
      <w:r w:rsidRPr="00094F97">
        <w:rPr>
          <w:rFonts w:ascii="Arial" w:hAnsi="Arial" w:cs="Arial"/>
          <w:sz w:val="24"/>
          <w:szCs w:val="24"/>
        </w:rPr>
        <w:t>20</w:t>
      </w:r>
      <w:r>
        <w:rPr>
          <w:rFonts w:ascii="Arial" w:hAnsi="Arial" w:cs="Arial"/>
          <w:sz w:val="24"/>
          <w:szCs w:val="24"/>
        </w:rPr>
        <w:t>13 Summer Peak – Northern California</w:t>
      </w:r>
    </w:p>
    <w:p w:rsidR="00094F97" w:rsidRDefault="00EA3F74">
      <w:pPr>
        <w:widowControl/>
        <w:ind w:left="720"/>
        <w:rPr>
          <w:rFonts w:ascii="Arial" w:hAnsi="Arial" w:cs="Arial"/>
          <w:sz w:val="24"/>
          <w:szCs w:val="24"/>
        </w:rPr>
      </w:pPr>
      <w:r>
        <w:rPr>
          <w:rFonts w:ascii="Arial" w:hAnsi="Arial" w:cs="Arial"/>
          <w:sz w:val="24"/>
          <w:szCs w:val="24"/>
        </w:rPr>
        <w:t>2014 Summer Peak – WECC</w:t>
      </w:r>
    </w:p>
    <w:p w:rsidR="00492098" w:rsidRDefault="00492098" w:rsidP="00492098">
      <w:pPr>
        <w:widowControl/>
        <w:ind w:left="720"/>
        <w:rPr>
          <w:rFonts w:ascii="Arial" w:hAnsi="Arial" w:cs="Arial"/>
          <w:sz w:val="24"/>
          <w:szCs w:val="24"/>
        </w:rPr>
      </w:pPr>
      <w:r>
        <w:rPr>
          <w:rFonts w:ascii="Arial" w:hAnsi="Arial" w:cs="Arial"/>
          <w:sz w:val="24"/>
          <w:szCs w:val="24"/>
        </w:rPr>
        <w:t>2014 Summer Off-Peak – WECC</w:t>
      </w:r>
    </w:p>
    <w:p w:rsidR="00492098" w:rsidRDefault="00492098" w:rsidP="00492098">
      <w:pPr>
        <w:widowControl/>
        <w:ind w:left="720"/>
        <w:rPr>
          <w:rFonts w:ascii="Arial" w:hAnsi="Arial" w:cs="Arial"/>
          <w:sz w:val="24"/>
          <w:szCs w:val="24"/>
        </w:rPr>
      </w:pPr>
      <w:r>
        <w:rPr>
          <w:rFonts w:ascii="Arial" w:hAnsi="Arial" w:cs="Arial"/>
          <w:sz w:val="24"/>
          <w:szCs w:val="24"/>
        </w:rPr>
        <w:t>2014 Winter Peak – WECC</w:t>
      </w:r>
    </w:p>
    <w:p w:rsidR="00492098" w:rsidRDefault="00492098" w:rsidP="00492098">
      <w:pPr>
        <w:widowControl/>
        <w:ind w:left="720"/>
        <w:rPr>
          <w:rFonts w:ascii="Arial" w:hAnsi="Arial" w:cs="Arial"/>
          <w:sz w:val="24"/>
          <w:szCs w:val="24"/>
        </w:rPr>
      </w:pPr>
      <w:r>
        <w:rPr>
          <w:rFonts w:ascii="Arial" w:hAnsi="Arial" w:cs="Arial"/>
          <w:sz w:val="24"/>
          <w:szCs w:val="24"/>
        </w:rPr>
        <w:t>2015 Summer Peak</w:t>
      </w:r>
      <w:r w:rsidR="001E42A3">
        <w:rPr>
          <w:rFonts w:ascii="Arial" w:hAnsi="Arial" w:cs="Arial"/>
          <w:sz w:val="24"/>
          <w:szCs w:val="24"/>
        </w:rPr>
        <w:t xml:space="preserve"> - WECC</w:t>
      </w:r>
    </w:p>
    <w:p w:rsidR="00EA3F74" w:rsidRDefault="00EA3F74">
      <w:pPr>
        <w:widowControl/>
        <w:ind w:left="720"/>
        <w:rPr>
          <w:rFonts w:ascii="Arial" w:hAnsi="Arial" w:cs="Arial"/>
          <w:sz w:val="24"/>
          <w:szCs w:val="24"/>
        </w:rPr>
      </w:pPr>
      <w:r>
        <w:rPr>
          <w:rFonts w:ascii="Arial" w:hAnsi="Arial" w:cs="Arial"/>
          <w:sz w:val="24"/>
          <w:szCs w:val="24"/>
        </w:rPr>
        <w:t>2019 Summer Peak – WECC</w:t>
      </w:r>
    </w:p>
    <w:p w:rsidR="003A3601" w:rsidRPr="00094F97" w:rsidRDefault="003A3601" w:rsidP="003A3601">
      <w:pPr>
        <w:widowControl/>
        <w:ind w:left="720"/>
        <w:rPr>
          <w:rFonts w:ascii="Arial" w:hAnsi="Arial" w:cs="Arial"/>
          <w:sz w:val="24"/>
          <w:szCs w:val="24"/>
        </w:rPr>
      </w:pPr>
    </w:p>
    <w:p w:rsidR="00E3420E" w:rsidRDefault="00B037B0">
      <w:pPr>
        <w:widowControl/>
        <w:ind w:left="720"/>
        <w:rPr>
          <w:rFonts w:ascii="Arial" w:hAnsi="Arial" w:cs="Arial"/>
          <w:sz w:val="24"/>
        </w:rPr>
      </w:pPr>
      <w:r>
        <w:rPr>
          <w:rFonts w:ascii="Arial" w:hAnsi="Arial" w:cs="Arial"/>
          <w:sz w:val="24"/>
        </w:rPr>
        <w:lastRenderedPageBreak/>
        <w:t xml:space="preserve">See Attachment 1 for a </w:t>
      </w:r>
      <w:r w:rsidR="000A012F">
        <w:rPr>
          <w:rFonts w:ascii="Arial" w:hAnsi="Arial" w:cs="Arial"/>
          <w:sz w:val="24"/>
        </w:rPr>
        <w:t xml:space="preserve">basic </w:t>
      </w:r>
      <w:r>
        <w:rPr>
          <w:rFonts w:ascii="Arial" w:hAnsi="Arial" w:cs="Arial"/>
          <w:sz w:val="24"/>
        </w:rPr>
        <w:t>diagram</w:t>
      </w:r>
      <w:r w:rsidR="00E3420E">
        <w:rPr>
          <w:rFonts w:ascii="Arial" w:hAnsi="Arial" w:cs="Arial"/>
          <w:sz w:val="24"/>
        </w:rPr>
        <w:t xml:space="preserve"> of the</w:t>
      </w:r>
      <w:r w:rsidR="00133113">
        <w:rPr>
          <w:rFonts w:ascii="Arial" w:hAnsi="Arial" w:cs="Arial"/>
          <w:sz w:val="24"/>
        </w:rPr>
        <w:t xml:space="preserve"> </w:t>
      </w:r>
      <w:r w:rsidR="0022671F">
        <w:rPr>
          <w:rFonts w:ascii="Arial" w:hAnsi="Arial" w:cs="Arial"/>
          <w:sz w:val="24"/>
        </w:rPr>
        <w:t>WASN</w:t>
      </w:r>
      <w:r>
        <w:rPr>
          <w:rFonts w:ascii="Arial" w:hAnsi="Arial" w:cs="Arial"/>
          <w:sz w:val="24"/>
        </w:rPr>
        <w:t xml:space="preserve"> system within Northern </w:t>
      </w:r>
      <w:r w:rsidR="003D7468">
        <w:rPr>
          <w:rFonts w:ascii="Arial" w:hAnsi="Arial" w:cs="Arial"/>
          <w:sz w:val="24"/>
        </w:rPr>
        <w:t>CA</w:t>
      </w:r>
      <w:r>
        <w:rPr>
          <w:rFonts w:ascii="Arial" w:hAnsi="Arial" w:cs="Arial"/>
          <w:sz w:val="24"/>
        </w:rPr>
        <w:t>.</w:t>
      </w:r>
    </w:p>
    <w:p w:rsidR="00E3420E" w:rsidRDefault="00E3420E">
      <w:pPr>
        <w:widowControl/>
        <w:numPr>
          <w:ilvl w:val="12"/>
          <w:numId w:val="0"/>
        </w:numPr>
        <w:ind w:left="720"/>
        <w:rPr>
          <w:rFonts w:ascii="Arial" w:hAnsi="Arial" w:cs="Arial"/>
          <w:sz w:val="24"/>
        </w:rPr>
      </w:pPr>
    </w:p>
    <w:p w:rsidR="00E3420E" w:rsidRDefault="00E3420E" w:rsidP="00564F5F">
      <w:pPr>
        <w:widowControl/>
        <w:numPr>
          <w:ilvl w:val="12"/>
          <w:numId w:val="0"/>
        </w:numPr>
        <w:ind w:left="720"/>
        <w:jc w:val="both"/>
        <w:rPr>
          <w:rFonts w:ascii="Arial" w:hAnsi="Arial" w:cs="Arial"/>
          <w:sz w:val="24"/>
        </w:rPr>
      </w:pPr>
      <w:r>
        <w:rPr>
          <w:rFonts w:ascii="Arial" w:hAnsi="Arial" w:cs="Arial"/>
          <w:sz w:val="24"/>
        </w:rPr>
        <w:t xml:space="preserve">All transmission projects that </w:t>
      </w:r>
      <w:r w:rsidR="00D07E9F">
        <w:rPr>
          <w:rFonts w:ascii="Arial" w:hAnsi="Arial" w:cs="Arial"/>
          <w:sz w:val="24"/>
        </w:rPr>
        <w:t>are planned and expected to become operational are modeled</w:t>
      </w:r>
      <w:r w:rsidR="003E26A9">
        <w:rPr>
          <w:rFonts w:ascii="Arial" w:hAnsi="Arial" w:cs="Arial"/>
          <w:sz w:val="24"/>
        </w:rPr>
        <w:t xml:space="preserve"> as submitted</w:t>
      </w:r>
      <w:r w:rsidR="003A3601">
        <w:rPr>
          <w:rFonts w:ascii="Arial" w:hAnsi="Arial" w:cs="Arial"/>
          <w:sz w:val="24"/>
        </w:rPr>
        <w:t xml:space="preserve"> for inclusion in WECC </w:t>
      </w:r>
      <w:r w:rsidR="003E26A9">
        <w:rPr>
          <w:rFonts w:ascii="Arial" w:hAnsi="Arial" w:cs="Arial"/>
          <w:sz w:val="24"/>
        </w:rPr>
        <w:t xml:space="preserve">base cases.  Some specific projects modeled include </w:t>
      </w:r>
      <w:r w:rsidR="00EA1AC4">
        <w:rPr>
          <w:rFonts w:ascii="Arial" w:hAnsi="Arial" w:cs="Arial"/>
          <w:sz w:val="24"/>
        </w:rPr>
        <w:t>the Sacramento Voltage Support Project</w:t>
      </w:r>
      <w:r w:rsidR="00004D34">
        <w:rPr>
          <w:rFonts w:ascii="Arial" w:hAnsi="Arial" w:cs="Arial"/>
          <w:sz w:val="24"/>
        </w:rPr>
        <w:t xml:space="preserve"> (in 2011)</w:t>
      </w:r>
      <w:r w:rsidR="00EA1AC4">
        <w:rPr>
          <w:rFonts w:ascii="Arial" w:hAnsi="Arial" w:cs="Arial"/>
          <w:sz w:val="24"/>
        </w:rPr>
        <w:t>, the Redding Business</w:t>
      </w:r>
      <w:r w:rsidR="00DE7FE7">
        <w:rPr>
          <w:rFonts w:ascii="Arial" w:hAnsi="Arial" w:cs="Arial"/>
          <w:sz w:val="24"/>
        </w:rPr>
        <w:t xml:space="preserve"> Park</w:t>
      </w:r>
      <w:r w:rsidR="00EA1AC4">
        <w:rPr>
          <w:rFonts w:ascii="Arial" w:hAnsi="Arial" w:cs="Arial"/>
          <w:sz w:val="24"/>
        </w:rPr>
        <w:t xml:space="preserve"> Development P</w:t>
      </w:r>
      <w:r w:rsidR="003E26A9">
        <w:rPr>
          <w:rFonts w:ascii="Arial" w:hAnsi="Arial" w:cs="Arial"/>
          <w:sz w:val="24"/>
        </w:rPr>
        <w:t>rojects</w:t>
      </w:r>
      <w:r w:rsidR="00004D34">
        <w:rPr>
          <w:rFonts w:ascii="Arial" w:hAnsi="Arial" w:cs="Arial"/>
          <w:sz w:val="24"/>
        </w:rPr>
        <w:t xml:space="preserve"> (in 2011)</w:t>
      </w:r>
      <w:r w:rsidR="003E26A9">
        <w:rPr>
          <w:rFonts w:ascii="Arial" w:hAnsi="Arial" w:cs="Arial"/>
          <w:sz w:val="24"/>
        </w:rPr>
        <w:t>, the Folsom Loop Project</w:t>
      </w:r>
      <w:r w:rsidR="001B7359">
        <w:rPr>
          <w:rFonts w:ascii="Arial" w:hAnsi="Arial" w:cs="Arial"/>
          <w:sz w:val="24"/>
        </w:rPr>
        <w:t xml:space="preserve"> (completed</w:t>
      </w:r>
      <w:r w:rsidR="00004D34">
        <w:rPr>
          <w:rFonts w:ascii="Arial" w:hAnsi="Arial" w:cs="Arial"/>
          <w:sz w:val="24"/>
        </w:rPr>
        <w:t xml:space="preserve"> </w:t>
      </w:r>
      <w:r w:rsidR="001B7359">
        <w:rPr>
          <w:rFonts w:ascii="Arial" w:hAnsi="Arial" w:cs="Arial"/>
          <w:sz w:val="24"/>
        </w:rPr>
        <w:t xml:space="preserve">October </w:t>
      </w:r>
      <w:r w:rsidR="00004D34">
        <w:rPr>
          <w:rFonts w:ascii="Arial" w:hAnsi="Arial" w:cs="Arial"/>
          <w:sz w:val="24"/>
        </w:rPr>
        <w:t>2009)</w:t>
      </w:r>
      <w:r w:rsidR="003E26A9">
        <w:rPr>
          <w:rFonts w:ascii="Arial" w:hAnsi="Arial" w:cs="Arial"/>
          <w:sz w:val="24"/>
        </w:rPr>
        <w:t xml:space="preserve"> and the Re</w:t>
      </w:r>
      <w:r w:rsidR="007C3C5D">
        <w:rPr>
          <w:rFonts w:ascii="Arial" w:hAnsi="Arial" w:cs="Arial"/>
          <w:sz w:val="24"/>
        </w:rPr>
        <w:t>-configuration</w:t>
      </w:r>
      <w:r w:rsidR="003E26A9">
        <w:rPr>
          <w:rFonts w:ascii="Arial" w:hAnsi="Arial" w:cs="Arial"/>
          <w:sz w:val="24"/>
        </w:rPr>
        <w:t xml:space="preserve"> of the Shasta 230 kV Bus Project</w:t>
      </w:r>
      <w:r w:rsidR="00004D34">
        <w:rPr>
          <w:rFonts w:ascii="Arial" w:hAnsi="Arial" w:cs="Arial"/>
          <w:sz w:val="24"/>
        </w:rPr>
        <w:t xml:space="preserve"> (</w:t>
      </w:r>
      <w:r w:rsidR="001B7359">
        <w:rPr>
          <w:rFonts w:ascii="Arial" w:hAnsi="Arial" w:cs="Arial"/>
          <w:sz w:val="24"/>
        </w:rPr>
        <w:t xml:space="preserve">completed </w:t>
      </w:r>
      <w:r w:rsidR="00004D34">
        <w:rPr>
          <w:rFonts w:ascii="Arial" w:hAnsi="Arial" w:cs="Arial"/>
          <w:sz w:val="24"/>
        </w:rPr>
        <w:t xml:space="preserve">in </w:t>
      </w:r>
      <w:r w:rsidR="00E83CA9">
        <w:rPr>
          <w:rFonts w:ascii="Arial" w:hAnsi="Arial" w:cs="Arial"/>
          <w:sz w:val="24"/>
        </w:rPr>
        <w:t xml:space="preserve">August </w:t>
      </w:r>
      <w:r w:rsidR="00004D34">
        <w:rPr>
          <w:rFonts w:ascii="Arial" w:hAnsi="Arial" w:cs="Arial"/>
          <w:sz w:val="24"/>
        </w:rPr>
        <w:t>2009)</w:t>
      </w:r>
      <w:r w:rsidR="003E26A9">
        <w:rPr>
          <w:rFonts w:ascii="Arial" w:hAnsi="Arial" w:cs="Arial"/>
          <w:sz w:val="24"/>
        </w:rPr>
        <w:t>.</w:t>
      </w:r>
    </w:p>
    <w:p w:rsidR="00E3420E" w:rsidRDefault="00E3420E">
      <w:pPr>
        <w:pStyle w:val="Heading2"/>
        <w:widowControl/>
        <w:spacing w:after="0"/>
        <w:ind w:firstLine="720"/>
        <w:jc w:val="both"/>
        <w:rPr>
          <w:rFonts w:ascii="Arial" w:hAnsi="Arial" w:cs="Arial"/>
        </w:rPr>
      </w:pPr>
      <w:bookmarkStart w:id="18" w:name="_Toc503520752"/>
      <w:bookmarkStart w:id="19" w:name="_Toc504283563"/>
      <w:bookmarkStart w:id="20" w:name="_Toc506650517"/>
      <w:bookmarkStart w:id="21" w:name="_Toc506913437"/>
      <w:bookmarkStart w:id="22" w:name="_Toc507579473"/>
      <w:bookmarkStart w:id="23" w:name="_Toc244589870"/>
      <w:r>
        <w:rPr>
          <w:rFonts w:ascii="Arial" w:hAnsi="Arial" w:cs="Arial"/>
        </w:rPr>
        <w:t>B.</w:t>
      </w:r>
      <w:r>
        <w:rPr>
          <w:rFonts w:ascii="Arial" w:hAnsi="Arial" w:cs="Arial"/>
        </w:rPr>
        <w:tab/>
        <w:t xml:space="preserve">Electric Demand and </w:t>
      </w:r>
      <w:r w:rsidR="00525EEE">
        <w:rPr>
          <w:rFonts w:ascii="Arial" w:hAnsi="Arial" w:cs="Arial"/>
        </w:rPr>
        <w:t xml:space="preserve">Power Factor Assumptions </w:t>
      </w:r>
      <w:r>
        <w:rPr>
          <w:rFonts w:ascii="Arial" w:hAnsi="Arial" w:cs="Arial"/>
        </w:rPr>
        <w:t>Methodology</w:t>
      </w:r>
      <w:bookmarkEnd w:id="18"/>
      <w:bookmarkEnd w:id="19"/>
      <w:bookmarkEnd w:id="20"/>
      <w:bookmarkEnd w:id="21"/>
      <w:bookmarkEnd w:id="22"/>
      <w:bookmarkEnd w:id="23"/>
    </w:p>
    <w:p w:rsidR="00E3420E" w:rsidRDefault="00E3420E">
      <w:pPr>
        <w:pStyle w:val="BodyText2"/>
        <w:ind w:left="720"/>
        <w:jc w:val="left"/>
        <w:rPr>
          <w:rFonts w:ascii="Arial" w:hAnsi="Arial" w:cs="Arial"/>
        </w:rPr>
      </w:pPr>
    </w:p>
    <w:p w:rsidR="00DE7FE7" w:rsidRPr="00081849" w:rsidRDefault="00DE7FE7" w:rsidP="00A72E2C">
      <w:pPr>
        <w:tabs>
          <w:tab w:val="left" w:pos="840"/>
        </w:tabs>
        <w:spacing w:line="284" w:lineRule="exact"/>
        <w:ind w:left="720"/>
        <w:jc w:val="both"/>
        <w:rPr>
          <w:rFonts w:ascii="Arial" w:hAnsi="Arial" w:cs="Arial"/>
          <w:sz w:val="24"/>
          <w:szCs w:val="24"/>
        </w:rPr>
      </w:pPr>
      <w:r w:rsidRPr="00081849">
        <w:rPr>
          <w:rFonts w:ascii="Arial" w:hAnsi="Arial" w:cs="Arial"/>
          <w:sz w:val="24"/>
          <w:szCs w:val="24"/>
        </w:rPr>
        <w:t xml:space="preserve">Base case assumptions for electric demand and power factor represented projected summer peak load conditions as reported by WASN’s planning area Load Serving Entities (LSE) consistent with the California Energy Commission’s (CEC) Integrated Energy Policy Report (IEPR) which includes load projections for all of Northern California as well as separately for public and privately owned electric utilities and independent power producers generation.  </w:t>
      </w:r>
      <w:r w:rsidR="00081849" w:rsidRPr="00081849">
        <w:rPr>
          <w:rFonts w:ascii="Arial" w:hAnsi="Arial" w:cs="Arial"/>
          <w:color w:val="000000"/>
          <w:sz w:val="24"/>
          <w:szCs w:val="24"/>
        </w:rPr>
        <w:t>Reactive Power resources are modeled and put on-line as required to ensure that adequate reactive resources are available to meet system performance.</w:t>
      </w:r>
      <w:r w:rsidR="00081849">
        <w:rPr>
          <w:rFonts w:ascii="Arial" w:hAnsi="Arial" w:cs="Arial"/>
          <w:color w:val="000000"/>
          <w:sz w:val="24"/>
          <w:szCs w:val="24"/>
        </w:rPr>
        <w:t xml:space="preserve">  </w:t>
      </w:r>
      <w:r w:rsidRPr="00081849">
        <w:rPr>
          <w:rFonts w:ascii="Arial" w:hAnsi="Arial" w:cs="Arial"/>
          <w:sz w:val="24"/>
          <w:szCs w:val="24"/>
        </w:rPr>
        <w:t>Electric demand and power factor assumptions for the WECC system-wide base cases will incorporate a 1-in-5 year adverse weather assumption based on ambient temperature.  Similarly, the North Valley area base cases incorporate a 1-in-10 year adverse weather assumption.  Additional information on the electric demand forecast is listed below:</w:t>
      </w:r>
    </w:p>
    <w:p w:rsidR="00967D29" w:rsidRDefault="00967D29" w:rsidP="003E56AA">
      <w:pPr>
        <w:tabs>
          <w:tab w:val="left" w:pos="720"/>
          <w:tab w:val="left" w:pos="990"/>
        </w:tabs>
        <w:ind w:left="720"/>
        <w:rPr>
          <w:rFonts w:ascii="Arial" w:hAnsi="Arial" w:cs="Arial"/>
          <w:sz w:val="24"/>
        </w:rPr>
      </w:pPr>
    </w:p>
    <w:tbl>
      <w:tblPr>
        <w:tblW w:w="8498" w:type="dxa"/>
        <w:tblInd w:w="93" w:type="dxa"/>
        <w:tblLook w:val="04A0"/>
      </w:tblPr>
      <w:tblGrid>
        <w:gridCol w:w="8710"/>
        <w:gridCol w:w="960"/>
      </w:tblGrid>
      <w:tr w:rsidR="00F63644" w:rsidRPr="00F63644" w:rsidTr="001A3E3C">
        <w:trPr>
          <w:trHeight w:val="315"/>
        </w:trPr>
        <w:tc>
          <w:tcPr>
            <w:tcW w:w="7538" w:type="dxa"/>
            <w:tcBorders>
              <w:top w:val="nil"/>
              <w:left w:val="nil"/>
              <w:bottom w:val="nil"/>
              <w:right w:val="nil"/>
            </w:tcBorders>
            <w:shd w:val="clear" w:color="auto" w:fill="auto"/>
            <w:noWrap/>
            <w:vAlign w:val="bottom"/>
            <w:hideMark/>
          </w:tcPr>
          <w:tbl>
            <w:tblPr>
              <w:tblW w:w="8494" w:type="dxa"/>
              <w:tblLook w:val="04A0"/>
            </w:tblPr>
            <w:tblGrid>
              <w:gridCol w:w="3493"/>
              <w:gridCol w:w="1347"/>
              <w:gridCol w:w="1347"/>
              <w:gridCol w:w="1347"/>
              <w:gridCol w:w="960"/>
            </w:tblGrid>
            <w:tr w:rsidR="001A3E3C" w:rsidRPr="001A3E3C" w:rsidTr="00CA7210">
              <w:trPr>
                <w:trHeight w:val="315"/>
              </w:trPr>
              <w:tc>
                <w:tcPr>
                  <w:tcW w:w="7534" w:type="dxa"/>
                  <w:gridSpan w:val="4"/>
                  <w:tcBorders>
                    <w:top w:val="nil"/>
                    <w:left w:val="nil"/>
                    <w:bottom w:val="nil"/>
                    <w:right w:val="nil"/>
                  </w:tcBorders>
                  <w:shd w:val="clear" w:color="auto" w:fill="auto"/>
                  <w:noWrap/>
                  <w:vAlign w:val="bottom"/>
                  <w:hideMark/>
                </w:tcPr>
                <w:p w:rsidR="001A3E3C" w:rsidRPr="001A3E3C" w:rsidRDefault="001A3E3C" w:rsidP="001A3E3C">
                  <w:pPr>
                    <w:widowControl/>
                    <w:overflowPunct/>
                    <w:autoSpaceDE/>
                    <w:autoSpaceDN/>
                    <w:adjustRightInd/>
                    <w:ind w:left="519"/>
                    <w:textAlignment w:val="auto"/>
                    <w:rPr>
                      <w:rFonts w:ascii="Arial" w:hAnsi="Arial" w:cs="Arial"/>
                      <w:b/>
                      <w:bCs/>
                    </w:rPr>
                  </w:pPr>
                  <w:r w:rsidRPr="001A3E3C">
                    <w:rPr>
                      <w:rFonts w:ascii="Arial" w:hAnsi="Arial" w:cs="Arial"/>
                      <w:b/>
                      <w:bCs/>
                    </w:rPr>
                    <w:t>Forecasted Load in MW</w:t>
                  </w:r>
                </w:p>
              </w:tc>
              <w:tc>
                <w:tcPr>
                  <w:tcW w:w="960" w:type="dxa"/>
                  <w:tcBorders>
                    <w:top w:val="nil"/>
                    <w:left w:val="nil"/>
                    <w:bottom w:val="nil"/>
                    <w:right w:val="nil"/>
                  </w:tcBorders>
                  <w:shd w:val="clear" w:color="auto" w:fill="auto"/>
                  <w:noWrap/>
                  <w:vAlign w:val="bottom"/>
                  <w:hideMark/>
                </w:tcPr>
                <w:p w:rsidR="001A3E3C" w:rsidRPr="001A3E3C" w:rsidRDefault="001A3E3C" w:rsidP="001A3E3C">
                  <w:pPr>
                    <w:widowControl/>
                    <w:overflowPunct/>
                    <w:autoSpaceDE/>
                    <w:autoSpaceDN/>
                    <w:adjustRightInd/>
                    <w:textAlignment w:val="auto"/>
                    <w:rPr>
                      <w:rFonts w:ascii="Arial" w:hAnsi="Arial" w:cs="Arial"/>
                      <w:sz w:val="24"/>
                      <w:szCs w:val="24"/>
                    </w:rPr>
                  </w:pPr>
                </w:p>
              </w:tc>
            </w:tr>
            <w:tr w:rsidR="001A3E3C" w:rsidRPr="001A3E3C" w:rsidTr="00CA7210">
              <w:trPr>
                <w:trHeight w:val="315"/>
              </w:trPr>
              <w:tc>
                <w:tcPr>
                  <w:tcW w:w="3493" w:type="dxa"/>
                  <w:tcBorders>
                    <w:top w:val="nil"/>
                    <w:left w:val="nil"/>
                    <w:bottom w:val="nil"/>
                    <w:right w:val="nil"/>
                  </w:tcBorders>
                  <w:shd w:val="clear" w:color="auto" w:fill="auto"/>
                  <w:noWrap/>
                  <w:vAlign w:val="bottom"/>
                  <w:hideMark/>
                </w:tcPr>
                <w:p w:rsidR="001A3E3C" w:rsidRPr="001A3E3C" w:rsidRDefault="001A3E3C" w:rsidP="001A3E3C">
                  <w:pPr>
                    <w:widowControl/>
                    <w:overflowPunct/>
                    <w:autoSpaceDE/>
                    <w:autoSpaceDN/>
                    <w:adjustRightInd/>
                    <w:ind w:left="519"/>
                    <w:textAlignment w:val="auto"/>
                    <w:rPr>
                      <w:rFonts w:ascii="Arial" w:hAnsi="Arial" w:cs="Arial"/>
                      <w:b/>
                      <w:bCs/>
                      <w:u w:val="single"/>
                    </w:rPr>
                  </w:pPr>
                  <w:r w:rsidRPr="001A3E3C">
                    <w:rPr>
                      <w:rFonts w:ascii="Arial" w:hAnsi="Arial" w:cs="Arial"/>
                      <w:b/>
                      <w:bCs/>
                      <w:u w:val="single"/>
                    </w:rPr>
                    <w:t>Year</w:t>
                  </w:r>
                </w:p>
              </w:tc>
              <w:tc>
                <w:tcPr>
                  <w:tcW w:w="1347" w:type="dxa"/>
                  <w:tcBorders>
                    <w:top w:val="nil"/>
                    <w:left w:val="nil"/>
                    <w:bottom w:val="nil"/>
                    <w:right w:val="nil"/>
                  </w:tcBorders>
                  <w:shd w:val="clear" w:color="auto" w:fill="auto"/>
                  <w:noWrap/>
                  <w:vAlign w:val="bottom"/>
                  <w:hideMark/>
                </w:tcPr>
                <w:p w:rsidR="001A3E3C" w:rsidRPr="001A3E3C" w:rsidRDefault="001A3E3C" w:rsidP="001A3E3C">
                  <w:pPr>
                    <w:widowControl/>
                    <w:overflowPunct/>
                    <w:autoSpaceDE/>
                    <w:autoSpaceDN/>
                    <w:adjustRightInd/>
                    <w:ind w:left="519"/>
                    <w:jc w:val="center"/>
                    <w:textAlignment w:val="auto"/>
                    <w:rPr>
                      <w:rFonts w:ascii="Arial" w:hAnsi="Arial" w:cs="Arial"/>
                      <w:b/>
                      <w:bCs/>
                      <w:u w:val="single"/>
                    </w:rPr>
                  </w:pPr>
                  <w:r w:rsidRPr="001A3E3C">
                    <w:rPr>
                      <w:rFonts w:ascii="Arial" w:hAnsi="Arial" w:cs="Arial"/>
                      <w:b/>
                      <w:bCs/>
                      <w:u w:val="single"/>
                    </w:rPr>
                    <w:t>20</w:t>
                  </w:r>
                  <w:r w:rsidR="00DD7760">
                    <w:rPr>
                      <w:rFonts w:ascii="Arial" w:hAnsi="Arial" w:cs="Arial"/>
                      <w:b/>
                      <w:bCs/>
                      <w:u w:val="single"/>
                    </w:rPr>
                    <w:t>10</w:t>
                  </w:r>
                </w:p>
              </w:tc>
              <w:tc>
                <w:tcPr>
                  <w:tcW w:w="1347" w:type="dxa"/>
                  <w:tcBorders>
                    <w:top w:val="nil"/>
                    <w:left w:val="nil"/>
                    <w:bottom w:val="nil"/>
                    <w:right w:val="nil"/>
                  </w:tcBorders>
                  <w:shd w:val="clear" w:color="auto" w:fill="auto"/>
                  <w:noWrap/>
                  <w:vAlign w:val="bottom"/>
                  <w:hideMark/>
                </w:tcPr>
                <w:p w:rsidR="001A3E3C" w:rsidRPr="001A3E3C" w:rsidRDefault="00250C7B" w:rsidP="001A3E3C">
                  <w:pPr>
                    <w:widowControl/>
                    <w:overflowPunct/>
                    <w:autoSpaceDE/>
                    <w:autoSpaceDN/>
                    <w:adjustRightInd/>
                    <w:ind w:left="519"/>
                    <w:jc w:val="center"/>
                    <w:textAlignment w:val="auto"/>
                    <w:rPr>
                      <w:rFonts w:ascii="Arial" w:hAnsi="Arial" w:cs="Arial"/>
                      <w:b/>
                      <w:bCs/>
                      <w:u w:val="single"/>
                    </w:rPr>
                  </w:pPr>
                  <w:r>
                    <w:rPr>
                      <w:rFonts w:ascii="Arial" w:hAnsi="Arial" w:cs="Arial"/>
                      <w:b/>
                      <w:bCs/>
                      <w:u w:val="single"/>
                    </w:rPr>
                    <w:t>201</w:t>
                  </w:r>
                  <w:r w:rsidR="00DD7760">
                    <w:rPr>
                      <w:rFonts w:ascii="Arial" w:hAnsi="Arial" w:cs="Arial"/>
                      <w:b/>
                      <w:bCs/>
                      <w:u w:val="single"/>
                    </w:rPr>
                    <w:t>4</w:t>
                  </w:r>
                </w:p>
              </w:tc>
              <w:tc>
                <w:tcPr>
                  <w:tcW w:w="1347" w:type="dxa"/>
                  <w:tcBorders>
                    <w:top w:val="nil"/>
                    <w:left w:val="nil"/>
                    <w:bottom w:val="nil"/>
                    <w:right w:val="nil"/>
                  </w:tcBorders>
                  <w:shd w:val="clear" w:color="auto" w:fill="auto"/>
                  <w:noWrap/>
                  <w:vAlign w:val="bottom"/>
                  <w:hideMark/>
                </w:tcPr>
                <w:p w:rsidR="001A3E3C" w:rsidRPr="001A3E3C" w:rsidRDefault="00250C7B" w:rsidP="001A3E3C">
                  <w:pPr>
                    <w:widowControl/>
                    <w:overflowPunct/>
                    <w:autoSpaceDE/>
                    <w:autoSpaceDN/>
                    <w:adjustRightInd/>
                    <w:ind w:left="519"/>
                    <w:jc w:val="center"/>
                    <w:textAlignment w:val="auto"/>
                    <w:rPr>
                      <w:rFonts w:ascii="Arial" w:hAnsi="Arial" w:cs="Arial"/>
                      <w:b/>
                      <w:bCs/>
                      <w:u w:val="single"/>
                    </w:rPr>
                  </w:pPr>
                  <w:r>
                    <w:rPr>
                      <w:rFonts w:ascii="Arial" w:hAnsi="Arial" w:cs="Arial"/>
                      <w:b/>
                      <w:bCs/>
                      <w:u w:val="single"/>
                    </w:rPr>
                    <w:t>201</w:t>
                  </w:r>
                  <w:r w:rsidR="003B49D3">
                    <w:rPr>
                      <w:rFonts w:ascii="Arial" w:hAnsi="Arial" w:cs="Arial"/>
                      <w:b/>
                      <w:bCs/>
                      <w:u w:val="single"/>
                    </w:rPr>
                    <w:t>9</w:t>
                  </w:r>
                </w:p>
              </w:tc>
              <w:tc>
                <w:tcPr>
                  <w:tcW w:w="960" w:type="dxa"/>
                  <w:tcBorders>
                    <w:top w:val="nil"/>
                    <w:left w:val="nil"/>
                    <w:bottom w:val="nil"/>
                    <w:right w:val="nil"/>
                  </w:tcBorders>
                  <w:shd w:val="clear" w:color="auto" w:fill="auto"/>
                  <w:noWrap/>
                  <w:vAlign w:val="bottom"/>
                  <w:hideMark/>
                </w:tcPr>
                <w:p w:rsidR="001A3E3C" w:rsidRPr="001A3E3C" w:rsidRDefault="001A3E3C" w:rsidP="001A3E3C">
                  <w:pPr>
                    <w:widowControl/>
                    <w:overflowPunct/>
                    <w:autoSpaceDE/>
                    <w:autoSpaceDN/>
                    <w:adjustRightInd/>
                    <w:textAlignment w:val="auto"/>
                    <w:rPr>
                      <w:rFonts w:ascii="Arial" w:hAnsi="Arial" w:cs="Arial"/>
                      <w:sz w:val="24"/>
                      <w:szCs w:val="24"/>
                    </w:rPr>
                  </w:pPr>
                </w:p>
              </w:tc>
            </w:tr>
            <w:tr w:rsidR="001A3E3C" w:rsidRPr="001A3E3C" w:rsidTr="00CA7210">
              <w:trPr>
                <w:trHeight w:val="300"/>
              </w:trPr>
              <w:tc>
                <w:tcPr>
                  <w:tcW w:w="3493" w:type="dxa"/>
                  <w:tcBorders>
                    <w:top w:val="nil"/>
                    <w:left w:val="nil"/>
                    <w:bottom w:val="nil"/>
                    <w:right w:val="nil"/>
                  </w:tcBorders>
                  <w:shd w:val="clear" w:color="auto" w:fill="auto"/>
                  <w:noWrap/>
                  <w:vAlign w:val="bottom"/>
                  <w:hideMark/>
                </w:tcPr>
                <w:p w:rsidR="001A3E3C" w:rsidRPr="001A3E3C" w:rsidRDefault="001A3E3C" w:rsidP="001A3E3C">
                  <w:pPr>
                    <w:widowControl/>
                    <w:overflowPunct/>
                    <w:autoSpaceDE/>
                    <w:autoSpaceDN/>
                    <w:adjustRightInd/>
                    <w:ind w:left="519"/>
                    <w:textAlignment w:val="auto"/>
                    <w:rPr>
                      <w:rFonts w:ascii="Arial" w:hAnsi="Arial" w:cs="Arial"/>
                    </w:rPr>
                  </w:pPr>
                  <w:r w:rsidRPr="001A3E3C">
                    <w:rPr>
                      <w:rFonts w:ascii="Arial" w:hAnsi="Arial" w:cs="Arial"/>
                    </w:rPr>
                    <w:t>SMUD</w:t>
                  </w:r>
                </w:p>
              </w:tc>
              <w:tc>
                <w:tcPr>
                  <w:tcW w:w="1347" w:type="dxa"/>
                  <w:tcBorders>
                    <w:top w:val="nil"/>
                    <w:left w:val="nil"/>
                    <w:bottom w:val="nil"/>
                    <w:right w:val="nil"/>
                  </w:tcBorders>
                  <w:shd w:val="clear" w:color="auto" w:fill="auto"/>
                  <w:noWrap/>
                  <w:vAlign w:val="bottom"/>
                  <w:hideMark/>
                </w:tcPr>
                <w:p w:rsidR="001A3E3C" w:rsidRPr="001A3E3C" w:rsidRDefault="001A3E3C" w:rsidP="001A3E3C">
                  <w:pPr>
                    <w:widowControl/>
                    <w:overflowPunct/>
                    <w:autoSpaceDE/>
                    <w:autoSpaceDN/>
                    <w:adjustRightInd/>
                    <w:ind w:left="519"/>
                    <w:jc w:val="center"/>
                    <w:textAlignment w:val="auto"/>
                    <w:rPr>
                      <w:rFonts w:ascii="Arial" w:hAnsi="Arial" w:cs="Arial"/>
                    </w:rPr>
                  </w:pPr>
                  <w:r w:rsidRPr="001A3E3C">
                    <w:rPr>
                      <w:rFonts w:ascii="Arial" w:hAnsi="Arial" w:cs="Arial"/>
                    </w:rPr>
                    <w:t>3</w:t>
                  </w:r>
                  <w:r w:rsidR="00950DB6">
                    <w:rPr>
                      <w:rFonts w:ascii="Arial" w:hAnsi="Arial" w:cs="Arial"/>
                    </w:rPr>
                    <w:t>181</w:t>
                  </w:r>
                </w:p>
              </w:tc>
              <w:tc>
                <w:tcPr>
                  <w:tcW w:w="1347" w:type="dxa"/>
                  <w:tcBorders>
                    <w:top w:val="nil"/>
                    <w:left w:val="nil"/>
                    <w:bottom w:val="nil"/>
                    <w:right w:val="nil"/>
                  </w:tcBorders>
                  <w:shd w:val="clear" w:color="auto" w:fill="auto"/>
                  <w:noWrap/>
                  <w:vAlign w:val="bottom"/>
                  <w:hideMark/>
                </w:tcPr>
                <w:p w:rsidR="001A3E3C" w:rsidRPr="001A3E3C" w:rsidRDefault="00950DB6" w:rsidP="001A3E3C">
                  <w:pPr>
                    <w:widowControl/>
                    <w:overflowPunct/>
                    <w:autoSpaceDE/>
                    <w:autoSpaceDN/>
                    <w:adjustRightInd/>
                    <w:ind w:left="519"/>
                    <w:jc w:val="center"/>
                    <w:textAlignment w:val="auto"/>
                    <w:rPr>
                      <w:rFonts w:ascii="Arial" w:hAnsi="Arial" w:cs="Arial"/>
                    </w:rPr>
                  </w:pPr>
                  <w:r>
                    <w:rPr>
                      <w:rFonts w:ascii="Arial" w:hAnsi="Arial" w:cs="Arial"/>
                    </w:rPr>
                    <w:t>3221</w:t>
                  </w:r>
                </w:p>
              </w:tc>
              <w:tc>
                <w:tcPr>
                  <w:tcW w:w="1347" w:type="dxa"/>
                  <w:tcBorders>
                    <w:top w:val="nil"/>
                    <w:left w:val="nil"/>
                    <w:bottom w:val="nil"/>
                    <w:right w:val="nil"/>
                  </w:tcBorders>
                  <w:shd w:val="clear" w:color="auto" w:fill="auto"/>
                  <w:noWrap/>
                  <w:vAlign w:val="bottom"/>
                  <w:hideMark/>
                </w:tcPr>
                <w:p w:rsidR="001A3E3C" w:rsidRPr="001A3E3C" w:rsidRDefault="00950DB6" w:rsidP="001A3E3C">
                  <w:pPr>
                    <w:widowControl/>
                    <w:overflowPunct/>
                    <w:autoSpaceDE/>
                    <w:autoSpaceDN/>
                    <w:adjustRightInd/>
                    <w:ind w:left="519"/>
                    <w:jc w:val="center"/>
                    <w:textAlignment w:val="auto"/>
                    <w:rPr>
                      <w:rFonts w:ascii="Arial" w:hAnsi="Arial" w:cs="Arial"/>
                    </w:rPr>
                  </w:pPr>
                  <w:r>
                    <w:rPr>
                      <w:rFonts w:ascii="Arial" w:hAnsi="Arial" w:cs="Arial"/>
                    </w:rPr>
                    <w:t>3485</w:t>
                  </w:r>
                </w:p>
              </w:tc>
              <w:tc>
                <w:tcPr>
                  <w:tcW w:w="960" w:type="dxa"/>
                  <w:tcBorders>
                    <w:top w:val="nil"/>
                    <w:left w:val="nil"/>
                    <w:bottom w:val="nil"/>
                    <w:right w:val="nil"/>
                  </w:tcBorders>
                  <w:shd w:val="clear" w:color="auto" w:fill="auto"/>
                  <w:noWrap/>
                  <w:vAlign w:val="bottom"/>
                  <w:hideMark/>
                </w:tcPr>
                <w:p w:rsidR="001A3E3C" w:rsidRPr="001A3E3C" w:rsidRDefault="001A3E3C" w:rsidP="001A3E3C">
                  <w:pPr>
                    <w:widowControl/>
                    <w:overflowPunct/>
                    <w:autoSpaceDE/>
                    <w:autoSpaceDN/>
                    <w:adjustRightInd/>
                    <w:jc w:val="center"/>
                    <w:textAlignment w:val="auto"/>
                    <w:rPr>
                      <w:rFonts w:ascii="Arial" w:hAnsi="Arial" w:cs="Arial"/>
                      <w:sz w:val="24"/>
                      <w:szCs w:val="24"/>
                    </w:rPr>
                  </w:pPr>
                </w:p>
              </w:tc>
            </w:tr>
            <w:tr w:rsidR="001A3E3C" w:rsidRPr="001A3E3C" w:rsidTr="00CA7210">
              <w:trPr>
                <w:trHeight w:val="300"/>
              </w:trPr>
              <w:tc>
                <w:tcPr>
                  <w:tcW w:w="3493" w:type="dxa"/>
                  <w:tcBorders>
                    <w:top w:val="nil"/>
                    <w:left w:val="nil"/>
                    <w:bottom w:val="nil"/>
                    <w:right w:val="nil"/>
                  </w:tcBorders>
                  <w:shd w:val="clear" w:color="auto" w:fill="auto"/>
                  <w:noWrap/>
                  <w:vAlign w:val="bottom"/>
                  <w:hideMark/>
                </w:tcPr>
                <w:p w:rsidR="001A3E3C" w:rsidRPr="001A3E3C" w:rsidRDefault="001A3E3C" w:rsidP="001A3E3C">
                  <w:pPr>
                    <w:widowControl/>
                    <w:overflowPunct/>
                    <w:autoSpaceDE/>
                    <w:autoSpaceDN/>
                    <w:adjustRightInd/>
                    <w:ind w:left="519"/>
                    <w:textAlignment w:val="auto"/>
                    <w:rPr>
                      <w:rFonts w:ascii="Arial" w:hAnsi="Arial" w:cs="Arial"/>
                    </w:rPr>
                  </w:pPr>
                  <w:r w:rsidRPr="001A3E3C">
                    <w:rPr>
                      <w:rFonts w:ascii="Arial" w:hAnsi="Arial" w:cs="Arial"/>
                    </w:rPr>
                    <w:t>City of Redding</w:t>
                  </w:r>
                </w:p>
              </w:tc>
              <w:tc>
                <w:tcPr>
                  <w:tcW w:w="1347" w:type="dxa"/>
                  <w:tcBorders>
                    <w:top w:val="nil"/>
                    <w:left w:val="nil"/>
                    <w:bottom w:val="nil"/>
                    <w:right w:val="nil"/>
                  </w:tcBorders>
                  <w:shd w:val="clear" w:color="auto" w:fill="auto"/>
                  <w:noWrap/>
                  <w:vAlign w:val="bottom"/>
                  <w:hideMark/>
                </w:tcPr>
                <w:p w:rsidR="001A3E3C" w:rsidRPr="001A3E3C" w:rsidRDefault="00950DB6" w:rsidP="001A3E3C">
                  <w:pPr>
                    <w:widowControl/>
                    <w:overflowPunct/>
                    <w:autoSpaceDE/>
                    <w:autoSpaceDN/>
                    <w:adjustRightInd/>
                    <w:ind w:left="519"/>
                    <w:jc w:val="center"/>
                    <w:textAlignment w:val="auto"/>
                    <w:rPr>
                      <w:rFonts w:ascii="Arial" w:hAnsi="Arial" w:cs="Arial"/>
                    </w:rPr>
                  </w:pPr>
                  <w:r>
                    <w:rPr>
                      <w:rFonts w:ascii="Arial" w:hAnsi="Arial" w:cs="Arial"/>
                    </w:rPr>
                    <w:t>280</w:t>
                  </w:r>
                </w:p>
              </w:tc>
              <w:tc>
                <w:tcPr>
                  <w:tcW w:w="1347" w:type="dxa"/>
                  <w:tcBorders>
                    <w:top w:val="nil"/>
                    <w:left w:val="nil"/>
                    <w:bottom w:val="nil"/>
                    <w:right w:val="nil"/>
                  </w:tcBorders>
                  <w:shd w:val="clear" w:color="auto" w:fill="auto"/>
                  <w:noWrap/>
                  <w:vAlign w:val="bottom"/>
                  <w:hideMark/>
                </w:tcPr>
                <w:p w:rsidR="001A3E3C" w:rsidRPr="001A3E3C" w:rsidRDefault="00950DB6" w:rsidP="001A3E3C">
                  <w:pPr>
                    <w:widowControl/>
                    <w:overflowPunct/>
                    <w:autoSpaceDE/>
                    <w:autoSpaceDN/>
                    <w:adjustRightInd/>
                    <w:ind w:left="519"/>
                    <w:jc w:val="center"/>
                    <w:textAlignment w:val="auto"/>
                    <w:rPr>
                      <w:rFonts w:ascii="Arial" w:hAnsi="Arial" w:cs="Arial"/>
                    </w:rPr>
                  </w:pPr>
                  <w:r>
                    <w:rPr>
                      <w:rFonts w:ascii="Arial" w:hAnsi="Arial" w:cs="Arial"/>
                    </w:rPr>
                    <w:t>294</w:t>
                  </w:r>
                </w:p>
              </w:tc>
              <w:tc>
                <w:tcPr>
                  <w:tcW w:w="1347" w:type="dxa"/>
                  <w:tcBorders>
                    <w:top w:val="nil"/>
                    <w:left w:val="nil"/>
                    <w:bottom w:val="nil"/>
                    <w:right w:val="nil"/>
                  </w:tcBorders>
                  <w:shd w:val="clear" w:color="auto" w:fill="auto"/>
                  <w:noWrap/>
                  <w:vAlign w:val="bottom"/>
                  <w:hideMark/>
                </w:tcPr>
                <w:p w:rsidR="001A3E3C" w:rsidRPr="001A3E3C" w:rsidRDefault="00950DB6" w:rsidP="001A3E3C">
                  <w:pPr>
                    <w:widowControl/>
                    <w:overflowPunct/>
                    <w:autoSpaceDE/>
                    <w:autoSpaceDN/>
                    <w:adjustRightInd/>
                    <w:ind w:left="519"/>
                    <w:jc w:val="center"/>
                    <w:textAlignment w:val="auto"/>
                    <w:rPr>
                      <w:rFonts w:ascii="Arial" w:hAnsi="Arial" w:cs="Arial"/>
                    </w:rPr>
                  </w:pPr>
                  <w:r>
                    <w:rPr>
                      <w:rFonts w:ascii="Arial" w:hAnsi="Arial" w:cs="Arial"/>
                    </w:rPr>
                    <w:t>307</w:t>
                  </w:r>
                </w:p>
              </w:tc>
              <w:tc>
                <w:tcPr>
                  <w:tcW w:w="960" w:type="dxa"/>
                  <w:tcBorders>
                    <w:top w:val="nil"/>
                    <w:left w:val="nil"/>
                    <w:bottom w:val="nil"/>
                    <w:right w:val="nil"/>
                  </w:tcBorders>
                  <w:shd w:val="clear" w:color="auto" w:fill="auto"/>
                  <w:noWrap/>
                  <w:vAlign w:val="bottom"/>
                  <w:hideMark/>
                </w:tcPr>
                <w:p w:rsidR="001A3E3C" w:rsidRPr="001A3E3C" w:rsidRDefault="001A3E3C" w:rsidP="001A3E3C">
                  <w:pPr>
                    <w:widowControl/>
                    <w:overflowPunct/>
                    <w:autoSpaceDE/>
                    <w:autoSpaceDN/>
                    <w:adjustRightInd/>
                    <w:jc w:val="center"/>
                    <w:textAlignment w:val="auto"/>
                    <w:rPr>
                      <w:rFonts w:ascii="Arial" w:hAnsi="Arial" w:cs="Arial"/>
                      <w:sz w:val="24"/>
                      <w:szCs w:val="24"/>
                    </w:rPr>
                  </w:pPr>
                </w:p>
              </w:tc>
            </w:tr>
            <w:tr w:rsidR="001A3E3C" w:rsidRPr="001A3E3C" w:rsidTr="00CA7210">
              <w:trPr>
                <w:trHeight w:val="300"/>
              </w:trPr>
              <w:tc>
                <w:tcPr>
                  <w:tcW w:w="3493" w:type="dxa"/>
                  <w:tcBorders>
                    <w:top w:val="nil"/>
                    <w:left w:val="nil"/>
                    <w:bottom w:val="nil"/>
                    <w:right w:val="nil"/>
                  </w:tcBorders>
                  <w:shd w:val="clear" w:color="auto" w:fill="auto"/>
                  <w:noWrap/>
                  <w:vAlign w:val="bottom"/>
                  <w:hideMark/>
                </w:tcPr>
                <w:p w:rsidR="001A3E3C" w:rsidRPr="001A3E3C" w:rsidRDefault="001A3E3C" w:rsidP="001A3E3C">
                  <w:pPr>
                    <w:widowControl/>
                    <w:overflowPunct/>
                    <w:autoSpaceDE/>
                    <w:autoSpaceDN/>
                    <w:adjustRightInd/>
                    <w:ind w:left="519"/>
                    <w:textAlignment w:val="auto"/>
                    <w:rPr>
                      <w:rFonts w:ascii="Arial" w:hAnsi="Arial" w:cs="Arial"/>
                    </w:rPr>
                  </w:pPr>
                  <w:r w:rsidRPr="001A3E3C">
                    <w:rPr>
                      <w:rFonts w:ascii="Arial" w:hAnsi="Arial" w:cs="Arial"/>
                    </w:rPr>
                    <w:t>City of Roseville</w:t>
                  </w:r>
                </w:p>
              </w:tc>
              <w:tc>
                <w:tcPr>
                  <w:tcW w:w="1347" w:type="dxa"/>
                  <w:tcBorders>
                    <w:top w:val="nil"/>
                    <w:left w:val="nil"/>
                    <w:bottom w:val="nil"/>
                    <w:right w:val="nil"/>
                  </w:tcBorders>
                  <w:shd w:val="clear" w:color="auto" w:fill="auto"/>
                  <w:noWrap/>
                  <w:vAlign w:val="bottom"/>
                  <w:hideMark/>
                </w:tcPr>
                <w:p w:rsidR="001A3E3C" w:rsidRPr="001A3E3C" w:rsidRDefault="00950DB6" w:rsidP="001A3E3C">
                  <w:pPr>
                    <w:widowControl/>
                    <w:overflowPunct/>
                    <w:autoSpaceDE/>
                    <w:autoSpaceDN/>
                    <w:adjustRightInd/>
                    <w:ind w:left="519"/>
                    <w:jc w:val="center"/>
                    <w:textAlignment w:val="auto"/>
                    <w:rPr>
                      <w:rFonts w:ascii="Arial" w:hAnsi="Arial" w:cs="Arial"/>
                    </w:rPr>
                  </w:pPr>
                  <w:r>
                    <w:rPr>
                      <w:rFonts w:ascii="Arial" w:hAnsi="Arial" w:cs="Arial"/>
                    </w:rPr>
                    <w:t>382</w:t>
                  </w:r>
                </w:p>
              </w:tc>
              <w:tc>
                <w:tcPr>
                  <w:tcW w:w="1347" w:type="dxa"/>
                  <w:tcBorders>
                    <w:top w:val="nil"/>
                    <w:left w:val="nil"/>
                    <w:bottom w:val="nil"/>
                    <w:right w:val="nil"/>
                  </w:tcBorders>
                  <w:shd w:val="clear" w:color="auto" w:fill="auto"/>
                  <w:noWrap/>
                  <w:vAlign w:val="bottom"/>
                  <w:hideMark/>
                </w:tcPr>
                <w:p w:rsidR="001A3E3C" w:rsidRPr="001A3E3C" w:rsidRDefault="001A3E3C" w:rsidP="001A3E3C">
                  <w:pPr>
                    <w:widowControl/>
                    <w:overflowPunct/>
                    <w:autoSpaceDE/>
                    <w:autoSpaceDN/>
                    <w:adjustRightInd/>
                    <w:ind w:left="519"/>
                    <w:jc w:val="center"/>
                    <w:textAlignment w:val="auto"/>
                    <w:rPr>
                      <w:rFonts w:ascii="Arial" w:hAnsi="Arial" w:cs="Arial"/>
                    </w:rPr>
                  </w:pPr>
                  <w:r w:rsidRPr="001A3E3C">
                    <w:rPr>
                      <w:rFonts w:ascii="Arial" w:hAnsi="Arial" w:cs="Arial"/>
                    </w:rPr>
                    <w:t>450</w:t>
                  </w:r>
                </w:p>
              </w:tc>
              <w:tc>
                <w:tcPr>
                  <w:tcW w:w="1347" w:type="dxa"/>
                  <w:tcBorders>
                    <w:top w:val="nil"/>
                    <w:left w:val="nil"/>
                    <w:bottom w:val="nil"/>
                    <w:right w:val="nil"/>
                  </w:tcBorders>
                  <w:shd w:val="clear" w:color="auto" w:fill="auto"/>
                  <w:noWrap/>
                  <w:vAlign w:val="bottom"/>
                  <w:hideMark/>
                </w:tcPr>
                <w:p w:rsidR="001A3E3C" w:rsidRPr="001A3E3C" w:rsidRDefault="001A3E3C" w:rsidP="001A3E3C">
                  <w:pPr>
                    <w:widowControl/>
                    <w:overflowPunct/>
                    <w:autoSpaceDE/>
                    <w:autoSpaceDN/>
                    <w:adjustRightInd/>
                    <w:ind w:left="519"/>
                    <w:jc w:val="center"/>
                    <w:textAlignment w:val="auto"/>
                    <w:rPr>
                      <w:rFonts w:ascii="Arial" w:hAnsi="Arial" w:cs="Arial"/>
                    </w:rPr>
                  </w:pPr>
                  <w:r w:rsidRPr="001A3E3C">
                    <w:rPr>
                      <w:rFonts w:ascii="Arial" w:hAnsi="Arial" w:cs="Arial"/>
                    </w:rPr>
                    <w:t>506</w:t>
                  </w:r>
                </w:p>
              </w:tc>
              <w:tc>
                <w:tcPr>
                  <w:tcW w:w="960" w:type="dxa"/>
                  <w:tcBorders>
                    <w:top w:val="nil"/>
                    <w:left w:val="nil"/>
                    <w:bottom w:val="nil"/>
                    <w:right w:val="nil"/>
                  </w:tcBorders>
                  <w:shd w:val="clear" w:color="auto" w:fill="auto"/>
                  <w:noWrap/>
                  <w:vAlign w:val="bottom"/>
                  <w:hideMark/>
                </w:tcPr>
                <w:p w:rsidR="001A3E3C" w:rsidRPr="001A3E3C" w:rsidRDefault="001A3E3C" w:rsidP="001A3E3C">
                  <w:pPr>
                    <w:widowControl/>
                    <w:overflowPunct/>
                    <w:autoSpaceDE/>
                    <w:autoSpaceDN/>
                    <w:adjustRightInd/>
                    <w:jc w:val="center"/>
                    <w:textAlignment w:val="auto"/>
                    <w:rPr>
                      <w:rFonts w:ascii="Arial" w:hAnsi="Arial" w:cs="Arial"/>
                      <w:sz w:val="24"/>
                      <w:szCs w:val="24"/>
                    </w:rPr>
                  </w:pPr>
                </w:p>
              </w:tc>
            </w:tr>
            <w:tr w:rsidR="001A3E3C" w:rsidRPr="001A3E3C" w:rsidTr="00CA7210">
              <w:trPr>
                <w:trHeight w:val="300"/>
              </w:trPr>
              <w:tc>
                <w:tcPr>
                  <w:tcW w:w="3493" w:type="dxa"/>
                  <w:tcBorders>
                    <w:top w:val="nil"/>
                    <w:left w:val="nil"/>
                    <w:bottom w:val="nil"/>
                    <w:right w:val="nil"/>
                  </w:tcBorders>
                  <w:shd w:val="clear" w:color="auto" w:fill="auto"/>
                  <w:noWrap/>
                  <w:vAlign w:val="bottom"/>
                  <w:hideMark/>
                </w:tcPr>
                <w:p w:rsidR="001A3E3C" w:rsidRPr="001A3E3C" w:rsidRDefault="001A3E3C" w:rsidP="001A3E3C">
                  <w:pPr>
                    <w:widowControl/>
                    <w:overflowPunct/>
                    <w:autoSpaceDE/>
                    <w:autoSpaceDN/>
                    <w:adjustRightInd/>
                    <w:ind w:left="519"/>
                    <w:textAlignment w:val="auto"/>
                    <w:rPr>
                      <w:rFonts w:ascii="Arial" w:hAnsi="Arial" w:cs="Arial"/>
                    </w:rPr>
                  </w:pPr>
                  <w:r w:rsidRPr="001A3E3C">
                    <w:rPr>
                      <w:rFonts w:ascii="Arial" w:hAnsi="Arial" w:cs="Arial"/>
                    </w:rPr>
                    <w:t>MID</w:t>
                  </w:r>
                </w:p>
              </w:tc>
              <w:tc>
                <w:tcPr>
                  <w:tcW w:w="1347" w:type="dxa"/>
                  <w:tcBorders>
                    <w:top w:val="nil"/>
                    <w:left w:val="nil"/>
                    <w:bottom w:val="nil"/>
                    <w:right w:val="nil"/>
                  </w:tcBorders>
                  <w:shd w:val="clear" w:color="auto" w:fill="auto"/>
                  <w:noWrap/>
                  <w:vAlign w:val="bottom"/>
                  <w:hideMark/>
                </w:tcPr>
                <w:p w:rsidR="001A3E3C" w:rsidRPr="001A3E3C" w:rsidRDefault="00950DB6" w:rsidP="001A3E3C">
                  <w:pPr>
                    <w:widowControl/>
                    <w:overflowPunct/>
                    <w:autoSpaceDE/>
                    <w:autoSpaceDN/>
                    <w:adjustRightInd/>
                    <w:ind w:left="519"/>
                    <w:jc w:val="center"/>
                    <w:textAlignment w:val="auto"/>
                    <w:rPr>
                      <w:rFonts w:ascii="Arial" w:hAnsi="Arial" w:cs="Arial"/>
                    </w:rPr>
                  </w:pPr>
                  <w:r>
                    <w:rPr>
                      <w:rFonts w:ascii="Arial" w:hAnsi="Arial" w:cs="Arial"/>
                    </w:rPr>
                    <w:t>706</w:t>
                  </w:r>
                </w:p>
              </w:tc>
              <w:tc>
                <w:tcPr>
                  <w:tcW w:w="1347" w:type="dxa"/>
                  <w:tcBorders>
                    <w:top w:val="nil"/>
                    <w:left w:val="nil"/>
                    <w:bottom w:val="nil"/>
                    <w:right w:val="nil"/>
                  </w:tcBorders>
                  <w:shd w:val="clear" w:color="auto" w:fill="auto"/>
                  <w:noWrap/>
                  <w:vAlign w:val="bottom"/>
                  <w:hideMark/>
                </w:tcPr>
                <w:p w:rsidR="001A3E3C" w:rsidRPr="001A3E3C" w:rsidRDefault="00950DB6" w:rsidP="001A3E3C">
                  <w:pPr>
                    <w:widowControl/>
                    <w:overflowPunct/>
                    <w:autoSpaceDE/>
                    <w:autoSpaceDN/>
                    <w:adjustRightInd/>
                    <w:ind w:left="519"/>
                    <w:jc w:val="center"/>
                    <w:textAlignment w:val="auto"/>
                    <w:rPr>
                      <w:rFonts w:ascii="Arial" w:hAnsi="Arial" w:cs="Arial"/>
                    </w:rPr>
                  </w:pPr>
                  <w:r>
                    <w:rPr>
                      <w:rFonts w:ascii="Arial" w:hAnsi="Arial" w:cs="Arial"/>
                    </w:rPr>
                    <w:t>768</w:t>
                  </w:r>
                </w:p>
              </w:tc>
              <w:tc>
                <w:tcPr>
                  <w:tcW w:w="1347" w:type="dxa"/>
                  <w:tcBorders>
                    <w:top w:val="nil"/>
                    <w:left w:val="nil"/>
                    <w:bottom w:val="nil"/>
                    <w:right w:val="nil"/>
                  </w:tcBorders>
                  <w:shd w:val="clear" w:color="auto" w:fill="auto"/>
                  <w:noWrap/>
                  <w:vAlign w:val="bottom"/>
                  <w:hideMark/>
                </w:tcPr>
                <w:p w:rsidR="001A3E3C" w:rsidRPr="001A3E3C" w:rsidRDefault="00950DB6" w:rsidP="001A3E3C">
                  <w:pPr>
                    <w:widowControl/>
                    <w:overflowPunct/>
                    <w:autoSpaceDE/>
                    <w:autoSpaceDN/>
                    <w:adjustRightInd/>
                    <w:ind w:left="519"/>
                    <w:jc w:val="center"/>
                    <w:textAlignment w:val="auto"/>
                    <w:rPr>
                      <w:rFonts w:ascii="Arial" w:hAnsi="Arial" w:cs="Arial"/>
                    </w:rPr>
                  </w:pPr>
                  <w:r>
                    <w:rPr>
                      <w:rFonts w:ascii="Arial" w:hAnsi="Arial" w:cs="Arial"/>
                    </w:rPr>
                    <w:t>873</w:t>
                  </w:r>
                </w:p>
              </w:tc>
              <w:tc>
                <w:tcPr>
                  <w:tcW w:w="960" w:type="dxa"/>
                  <w:tcBorders>
                    <w:top w:val="nil"/>
                    <w:left w:val="nil"/>
                    <w:bottom w:val="nil"/>
                    <w:right w:val="nil"/>
                  </w:tcBorders>
                  <w:shd w:val="clear" w:color="auto" w:fill="auto"/>
                  <w:noWrap/>
                  <w:vAlign w:val="bottom"/>
                  <w:hideMark/>
                </w:tcPr>
                <w:p w:rsidR="001A3E3C" w:rsidRPr="001A3E3C" w:rsidRDefault="001A3E3C" w:rsidP="001A3E3C">
                  <w:pPr>
                    <w:widowControl/>
                    <w:overflowPunct/>
                    <w:autoSpaceDE/>
                    <w:autoSpaceDN/>
                    <w:adjustRightInd/>
                    <w:jc w:val="center"/>
                    <w:textAlignment w:val="auto"/>
                    <w:rPr>
                      <w:rFonts w:ascii="Arial" w:hAnsi="Arial" w:cs="Arial"/>
                      <w:sz w:val="24"/>
                      <w:szCs w:val="24"/>
                    </w:rPr>
                  </w:pPr>
                </w:p>
              </w:tc>
            </w:tr>
            <w:tr w:rsidR="001A3E3C" w:rsidRPr="001A3E3C" w:rsidTr="00CA7210">
              <w:trPr>
                <w:trHeight w:val="300"/>
              </w:trPr>
              <w:tc>
                <w:tcPr>
                  <w:tcW w:w="3493" w:type="dxa"/>
                  <w:tcBorders>
                    <w:top w:val="nil"/>
                    <w:left w:val="nil"/>
                    <w:bottom w:val="nil"/>
                    <w:right w:val="nil"/>
                  </w:tcBorders>
                  <w:shd w:val="clear" w:color="auto" w:fill="auto"/>
                  <w:noWrap/>
                  <w:vAlign w:val="bottom"/>
                  <w:hideMark/>
                </w:tcPr>
                <w:p w:rsidR="001A3E3C" w:rsidRPr="001A3E3C" w:rsidRDefault="001A3E3C" w:rsidP="001A3E3C">
                  <w:pPr>
                    <w:widowControl/>
                    <w:overflowPunct/>
                    <w:autoSpaceDE/>
                    <w:autoSpaceDN/>
                    <w:adjustRightInd/>
                    <w:ind w:left="519"/>
                    <w:textAlignment w:val="auto"/>
                    <w:rPr>
                      <w:rFonts w:ascii="Arial" w:hAnsi="Arial" w:cs="Arial"/>
                    </w:rPr>
                  </w:pPr>
                  <w:r w:rsidRPr="001A3E3C">
                    <w:rPr>
                      <w:rFonts w:ascii="Arial" w:hAnsi="Arial" w:cs="Arial"/>
                    </w:rPr>
                    <w:t>WAPA Direct Service(1)</w:t>
                  </w:r>
                </w:p>
              </w:tc>
              <w:tc>
                <w:tcPr>
                  <w:tcW w:w="1347" w:type="dxa"/>
                  <w:tcBorders>
                    <w:top w:val="nil"/>
                    <w:left w:val="nil"/>
                    <w:bottom w:val="nil"/>
                    <w:right w:val="nil"/>
                  </w:tcBorders>
                  <w:shd w:val="clear" w:color="auto" w:fill="auto"/>
                  <w:noWrap/>
                  <w:vAlign w:val="bottom"/>
                  <w:hideMark/>
                </w:tcPr>
                <w:p w:rsidR="001A3E3C" w:rsidRPr="001A3E3C" w:rsidRDefault="001A3E3C" w:rsidP="001A3E3C">
                  <w:pPr>
                    <w:widowControl/>
                    <w:overflowPunct/>
                    <w:autoSpaceDE/>
                    <w:autoSpaceDN/>
                    <w:adjustRightInd/>
                    <w:ind w:left="519"/>
                    <w:jc w:val="center"/>
                    <w:textAlignment w:val="auto"/>
                    <w:rPr>
                      <w:rFonts w:ascii="Arial" w:hAnsi="Arial" w:cs="Arial"/>
                    </w:rPr>
                  </w:pPr>
                  <w:r w:rsidRPr="001A3E3C">
                    <w:rPr>
                      <w:rFonts w:ascii="Arial" w:hAnsi="Arial" w:cs="Arial"/>
                    </w:rPr>
                    <w:t>2</w:t>
                  </w:r>
                  <w:r w:rsidR="00950DB6">
                    <w:rPr>
                      <w:rFonts w:ascii="Arial" w:hAnsi="Arial" w:cs="Arial"/>
                    </w:rPr>
                    <w:t>30</w:t>
                  </w:r>
                </w:p>
              </w:tc>
              <w:tc>
                <w:tcPr>
                  <w:tcW w:w="1347" w:type="dxa"/>
                  <w:tcBorders>
                    <w:top w:val="nil"/>
                    <w:left w:val="nil"/>
                    <w:bottom w:val="nil"/>
                    <w:right w:val="nil"/>
                  </w:tcBorders>
                  <w:shd w:val="clear" w:color="auto" w:fill="auto"/>
                  <w:noWrap/>
                  <w:vAlign w:val="bottom"/>
                  <w:hideMark/>
                </w:tcPr>
                <w:p w:rsidR="001A3E3C" w:rsidRPr="001A3E3C" w:rsidRDefault="00950DB6" w:rsidP="001A3E3C">
                  <w:pPr>
                    <w:widowControl/>
                    <w:overflowPunct/>
                    <w:autoSpaceDE/>
                    <w:autoSpaceDN/>
                    <w:adjustRightInd/>
                    <w:ind w:left="519"/>
                    <w:jc w:val="center"/>
                    <w:textAlignment w:val="auto"/>
                    <w:rPr>
                      <w:rFonts w:ascii="Arial" w:hAnsi="Arial" w:cs="Arial"/>
                    </w:rPr>
                  </w:pPr>
                  <w:r>
                    <w:rPr>
                      <w:rFonts w:ascii="Arial" w:hAnsi="Arial" w:cs="Arial"/>
                    </w:rPr>
                    <w:t>230</w:t>
                  </w:r>
                </w:p>
              </w:tc>
              <w:tc>
                <w:tcPr>
                  <w:tcW w:w="1347" w:type="dxa"/>
                  <w:tcBorders>
                    <w:top w:val="nil"/>
                    <w:left w:val="nil"/>
                    <w:bottom w:val="nil"/>
                    <w:right w:val="nil"/>
                  </w:tcBorders>
                  <w:shd w:val="clear" w:color="auto" w:fill="auto"/>
                  <w:noWrap/>
                  <w:vAlign w:val="bottom"/>
                  <w:hideMark/>
                </w:tcPr>
                <w:p w:rsidR="001A3E3C" w:rsidRPr="001A3E3C" w:rsidRDefault="00950DB6" w:rsidP="001A3E3C">
                  <w:pPr>
                    <w:widowControl/>
                    <w:overflowPunct/>
                    <w:autoSpaceDE/>
                    <w:autoSpaceDN/>
                    <w:adjustRightInd/>
                    <w:ind w:left="519"/>
                    <w:jc w:val="center"/>
                    <w:textAlignment w:val="auto"/>
                    <w:rPr>
                      <w:rFonts w:ascii="Arial" w:hAnsi="Arial" w:cs="Arial"/>
                    </w:rPr>
                  </w:pPr>
                  <w:r>
                    <w:rPr>
                      <w:rFonts w:ascii="Arial" w:hAnsi="Arial" w:cs="Arial"/>
                    </w:rPr>
                    <w:t>230</w:t>
                  </w:r>
                </w:p>
              </w:tc>
              <w:tc>
                <w:tcPr>
                  <w:tcW w:w="960" w:type="dxa"/>
                  <w:tcBorders>
                    <w:top w:val="nil"/>
                    <w:left w:val="nil"/>
                    <w:bottom w:val="nil"/>
                    <w:right w:val="nil"/>
                  </w:tcBorders>
                  <w:shd w:val="clear" w:color="auto" w:fill="auto"/>
                  <w:noWrap/>
                  <w:vAlign w:val="bottom"/>
                  <w:hideMark/>
                </w:tcPr>
                <w:p w:rsidR="001A3E3C" w:rsidRPr="001A3E3C" w:rsidRDefault="001A3E3C" w:rsidP="001A3E3C">
                  <w:pPr>
                    <w:widowControl/>
                    <w:overflowPunct/>
                    <w:autoSpaceDE/>
                    <w:autoSpaceDN/>
                    <w:adjustRightInd/>
                    <w:jc w:val="center"/>
                    <w:textAlignment w:val="auto"/>
                    <w:rPr>
                      <w:rFonts w:ascii="Arial" w:hAnsi="Arial" w:cs="Arial"/>
                      <w:sz w:val="24"/>
                      <w:szCs w:val="24"/>
                    </w:rPr>
                  </w:pPr>
                </w:p>
              </w:tc>
            </w:tr>
            <w:tr w:rsidR="001A3E3C" w:rsidRPr="001A3E3C" w:rsidTr="00CA7210">
              <w:trPr>
                <w:trHeight w:val="600"/>
              </w:trPr>
              <w:tc>
                <w:tcPr>
                  <w:tcW w:w="3493" w:type="dxa"/>
                  <w:tcBorders>
                    <w:top w:val="nil"/>
                    <w:left w:val="nil"/>
                    <w:bottom w:val="nil"/>
                    <w:right w:val="nil"/>
                  </w:tcBorders>
                  <w:shd w:val="clear" w:color="auto" w:fill="auto"/>
                  <w:vAlign w:val="bottom"/>
                  <w:hideMark/>
                </w:tcPr>
                <w:p w:rsidR="001A3E3C" w:rsidRPr="001A3E3C" w:rsidRDefault="001A3E3C" w:rsidP="001A3E3C">
                  <w:pPr>
                    <w:widowControl/>
                    <w:overflowPunct/>
                    <w:autoSpaceDE/>
                    <w:autoSpaceDN/>
                    <w:adjustRightInd/>
                    <w:ind w:left="519"/>
                    <w:textAlignment w:val="auto"/>
                    <w:rPr>
                      <w:rFonts w:ascii="Arial" w:hAnsi="Arial" w:cs="Arial"/>
                    </w:rPr>
                  </w:pPr>
                  <w:r w:rsidRPr="001A3E3C">
                    <w:rPr>
                      <w:rFonts w:ascii="Arial" w:hAnsi="Arial" w:cs="Arial"/>
                    </w:rPr>
                    <w:t>Total Northern California Area Load (2)</w:t>
                  </w:r>
                </w:p>
              </w:tc>
              <w:tc>
                <w:tcPr>
                  <w:tcW w:w="1347" w:type="dxa"/>
                  <w:tcBorders>
                    <w:top w:val="nil"/>
                    <w:left w:val="nil"/>
                    <w:bottom w:val="nil"/>
                    <w:right w:val="nil"/>
                  </w:tcBorders>
                  <w:shd w:val="clear" w:color="auto" w:fill="auto"/>
                  <w:noWrap/>
                  <w:vAlign w:val="bottom"/>
                  <w:hideMark/>
                </w:tcPr>
                <w:p w:rsidR="001A3E3C" w:rsidRPr="001C5B5C" w:rsidRDefault="001C5B5C" w:rsidP="001A3E3C">
                  <w:pPr>
                    <w:widowControl/>
                    <w:overflowPunct/>
                    <w:autoSpaceDE/>
                    <w:autoSpaceDN/>
                    <w:adjustRightInd/>
                    <w:ind w:left="519"/>
                    <w:jc w:val="center"/>
                    <w:textAlignment w:val="auto"/>
                    <w:rPr>
                      <w:rFonts w:ascii="Arial" w:hAnsi="Arial" w:cs="Arial"/>
                    </w:rPr>
                  </w:pPr>
                  <w:r w:rsidRPr="001C5B5C">
                    <w:rPr>
                      <w:rFonts w:ascii="Arial" w:hAnsi="Arial" w:cs="Arial"/>
                    </w:rPr>
                    <w:t>25,212</w:t>
                  </w:r>
                </w:p>
              </w:tc>
              <w:tc>
                <w:tcPr>
                  <w:tcW w:w="1347" w:type="dxa"/>
                  <w:tcBorders>
                    <w:top w:val="nil"/>
                    <w:left w:val="nil"/>
                    <w:bottom w:val="nil"/>
                    <w:right w:val="nil"/>
                  </w:tcBorders>
                  <w:shd w:val="clear" w:color="auto" w:fill="auto"/>
                  <w:noWrap/>
                  <w:vAlign w:val="bottom"/>
                  <w:hideMark/>
                </w:tcPr>
                <w:p w:rsidR="001A3E3C" w:rsidRPr="001C5B5C" w:rsidRDefault="001C5B5C" w:rsidP="001A3E3C">
                  <w:pPr>
                    <w:widowControl/>
                    <w:overflowPunct/>
                    <w:autoSpaceDE/>
                    <w:autoSpaceDN/>
                    <w:adjustRightInd/>
                    <w:ind w:left="519"/>
                    <w:jc w:val="center"/>
                    <w:textAlignment w:val="auto"/>
                    <w:rPr>
                      <w:rFonts w:ascii="Arial" w:hAnsi="Arial" w:cs="Arial"/>
                    </w:rPr>
                  </w:pPr>
                  <w:r w:rsidRPr="001C5B5C">
                    <w:rPr>
                      <w:rFonts w:ascii="Arial" w:hAnsi="Arial" w:cs="Arial"/>
                    </w:rPr>
                    <w:t>26,649</w:t>
                  </w:r>
                </w:p>
              </w:tc>
              <w:tc>
                <w:tcPr>
                  <w:tcW w:w="1347" w:type="dxa"/>
                  <w:tcBorders>
                    <w:top w:val="nil"/>
                    <w:left w:val="nil"/>
                    <w:bottom w:val="nil"/>
                    <w:right w:val="nil"/>
                  </w:tcBorders>
                  <w:shd w:val="clear" w:color="auto" w:fill="auto"/>
                  <w:noWrap/>
                  <w:vAlign w:val="bottom"/>
                  <w:hideMark/>
                </w:tcPr>
                <w:p w:rsidR="001A3E3C" w:rsidRPr="00111F24" w:rsidRDefault="00111F24" w:rsidP="001A3E3C">
                  <w:pPr>
                    <w:widowControl/>
                    <w:overflowPunct/>
                    <w:autoSpaceDE/>
                    <w:autoSpaceDN/>
                    <w:adjustRightInd/>
                    <w:ind w:left="519"/>
                    <w:jc w:val="center"/>
                    <w:textAlignment w:val="auto"/>
                    <w:rPr>
                      <w:rFonts w:ascii="Arial" w:hAnsi="Arial" w:cs="Arial"/>
                    </w:rPr>
                  </w:pPr>
                  <w:r w:rsidRPr="00111F24">
                    <w:rPr>
                      <w:rFonts w:ascii="Arial" w:hAnsi="Arial" w:cs="Arial"/>
                    </w:rPr>
                    <w:t>31,331</w:t>
                  </w:r>
                </w:p>
              </w:tc>
              <w:tc>
                <w:tcPr>
                  <w:tcW w:w="960" w:type="dxa"/>
                  <w:tcBorders>
                    <w:top w:val="nil"/>
                    <w:left w:val="nil"/>
                    <w:bottom w:val="nil"/>
                    <w:right w:val="nil"/>
                  </w:tcBorders>
                  <w:shd w:val="clear" w:color="auto" w:fill="auto"/>
                  <w:noWrap/>
                  <w:vAlign w:val="bottom"/>
                  <w:hideMark/>
                </w:tcPr>
                <w:p w:rsidR="001A3E3C" w:rsidRPr="001A3E3C" w:rsidRDefault="001A3E3C" w:rsidP="001A3E3C">
                  <w:pPr>
                    <w:widowControl/>
                    <w:overflowPunct/>
                    <w:autoSpaceDE/>
                    <w:autoSpaceDN/>
                    <w:adjustRightInd/>
                    <w:jc w:val="center"/>
                    <w:textAlignment w:val="auto"/>
                    <w:rPr>
                      <w:rFonts w:ascii="Arial" w:hAnsi="Arial" w:cs="Arial"/>
                      <w:sz w:val="24"/>
                      <w:szCs w:val="24"/>
                    </w:rPr>
                  </w:pPr>
                </w:p>
              </w:tc>
            </w:tr>
            <w:tr w:rsidR="001A3E3C" w:rsidRPr="001A3E3C" w:rsidTr="00CA7210">
              <w:trPr>
                <w:trHeight w:val="300"/>
              </w:trPr>
              <w:tc>
                <w:tcPr>
                  <w:tcW w:w="7534" w:type="dxa"/>
                  <w:gridSpan w:val="4"/>
                  <w:tcBorders>
                    <w:top w:val="nil"/>
                    <w:left w:val="nil"/>
                    <w:bottom w:val="nil"/>
                    <w:right w:val="nil"/>
                  </w:tcBorders>
                  <w:shd w:val="clear" w:color="auto" w:fill="auto"/>
                  <w:noWrap/>
                  <w:vAlign w:val="bottom"/>
                  <w:hideMark/>
                </w:tcPr>
                <w:p w:rsidR="001A3E3C" w:rsidRPr="001A3E3C" w:rsidRDefault="001A3E3C" w:rsidP="001A3E3C">
                  <w:pPr>
                    <w:widowControl/>
                    <w:overflowPunct/>
                    <w:autoSpaceDE/>
                    <w:autoSpaceDN/>
                    <w:adjustRightInd/>
                    <w:ind w:left="519"/>
                    <w:textAlignment w:val="auto"/>
                    <w:rPr>
                      <w:rFonts w:ascii="Arial" w:hAnsi="Arial" w:cs="Arial"/>
                    </w:rPr>
                  </w:pPr>
                  <w:r w:rsidRPr="001A3E3C">
                    <w:rPr>
                      <w:rFonts w:ascii="Arial" w:hAnsi="Arial" w:cs="Arial"/>
                    </w:rPr>
                    <w:t>(1) Includes the Tracy Pumping Plant, City of Shasta Lake,</w:t>
                  </w:r>
                </w:p>
              </w:tc>
              <w:tc>
                <w:tcPr>
                  <w:tcW w:w="960" w:type="dxa"/>
                  <w:tcBorders>
                    <w:top w:val="nil"/>
                    <w:left w:val="nil"/>
                    <w:bottom w:val="nil"/>
                    <w:right w:val="nil"/>
                  </w:tcBorders>
                  <w:shd w:val="clear" w:color="auto" w:fill="auto"/>
                  <w:noWrap/>
                  <w:vAlign w:val="bottom"/>
                  <w:hideMark/>
                </w:tcPr>
                <w:p w:rsidR="001A3E3C" w:rsidRPr="001A3E3C" w:rsidRDefault="001A3E3C" w:rsidP="001A3E3C">
                  <w:pPr>
                    <w:widowControl/>
                    <w:overflowPunct/>
                    <w:autoSpaceDE/>
                    <w:autoSpaceDN/>
                    <w:adjustRightInd/>
                    <w:textAlignment w:val="auto"/>
                    <w:rPr>
                      <w:rFonts w:ascii="Arial" w:hAnsi="Arial" w:cs="Arial"/>
                      <w:sz w:val="24"/>
                      <w:szCs w:val="24"/>
                    </w:rPr>
                  </w:pPr>
                </w:p>
              </w:tc>
            </w:tr>
            <w:tr w:rsidR="001A3E3C" w:rsidRPr="001A3E3C" w:rsidTr="00CA7210">
              <w:trPr>
                <w:trHeight w:val="300"/>
              </w:trPr>
              <w:tc>
                <w:tcPr>
                  <w:tcW w:w="7534" w:type="dxa"/>
                  <w:gridSpan w:val="4"/>
                  <w:tcBorders>
                    <w:top w:val="nil"/>
                    <w:left w:val="nil"/>
                    <w:bottom w:val="nil"/>
                    <w:right w:val="nil"/>
                  </w:tcBorders>
                  <w:shd w:val="clear" w:color="auto" w:fill="auto"/>
                  <w:noWrap/>
                  <w:vAlign w:val="bottom"/>
                  <w:hideMark/>
                </w:tcPr>
                <w:p w:rsidR="001A3E3C" w:rsidRPr="001A3E3C" w:rsidRDefault="001A3E3C" w:rsidP="00051286">
                  <w:pPr>
                    <w:widowControl/>
                    <w:overflowPunct/>
                    <w:autoSpaceDE/>
                    <w:autoSpaceDN/>
                    <w:adjustRightInd/>
                    <w:ind w:left="519"/>
                    <w:textAlignment w:val="auto"/>
                    <w:rPr>
                      <w:rFonts w:ascii="Arial" w:hAnsi="Arial" w:cs="Arial"/>
                    </w:rPr>
                  </w:pPr>
                  <w:r w:rsidRPr="001A3E3C">
                    <w:rPr>
                      <w:rFonts w:ascii="Arial" w:hAnsi="Arial" w:cs="Arial"/>
                    </w:rPr>
                    <w:t xml:space="preserve">     Lawrence Livermore Lab </w:t>
                  </w:r>
                </w:p>
              </w:tc>
              <w:tc>
                <w:tcPr>
                  <w:tcW w:w="960" w:type="dxa"/>
                  <w:tcBorders>
                    <w:top w:val="nil"/>
                    <w:left w:val="nil"/>
                    <w:bottom w:val="nil"/>
                    <w:right w:val="nil"/>
                  </w:tcBorders>
                  <w:shd w:val="clear" w:color="auto" w:fill="auto"/>
                  <w:noWrap/>
                  <w:vAlign w:val="bottom"/>
                  <w:hideMark/>
                </w:tcPr>
                <w:p w:rsidR="001A3E3C" w:rsidRPr="001A3E3C" w:rsidRDefault="001A3E3C" w:rsidP="001A3E3C">
                  <w:pPr>
                    <w:widowControl/>
                    <w:overflowPunct/>
                    <w:autoSpaceDE/>
                    <w:autoSpaceDN/>
                    <w:adjustRightInd/>
                    <w:textAlignment w:val="auto"/>
                    <w:rPr>
                      <w:rFonts w:ascii="Arial" w:hAnsi="Arial" w:cs="Arial"/>
                      <w:sz w:val="24"/>
                      <w:szCs w:val="24"/>
                    </w:rPr>
                  </w:pPr>
                </w:p>
              </w:tc>
            </w:tr>
            <w:tr w:rsidR="001A3E3C" w:rsidRPr="001A3E3C" w:rsidTr="00CA7210">
              <w:trPr>
                <w:trHeight w:val="300"/>
              </w:trPr>
              <w:tc>
                <w:tcPr>
                  <w:tcW w:w="8494" w:type="dxa"/>
                  <w:gridSpan w:val="5"/>
                  <w:tcBorders>
                    <w:top w:val="nil"/>
                    <w:left w:val="nil"/>
                    <w:bottom w:val="nil"/>
                    <w:right w:val="nil"/>
                  </w:tcBorders>
                  <w:shd w:val="clear" w:color="auto" w:fill="auto"/>
                  <w:noWrap/>
                  <w:vAlign w:val="bottom"/>
                  <w:hideMark/>
                </w:tcPr>
                <w:p w:rsidR="001A3E3C" w:rsidRPr="001A3E3C" w:rsidRDefault="001A3E3C" w:rsidP="001A3E3C">
                  <w:pPr>
                    <w:widowControl/>
                    <w:overflowPunct/>
                    <w:autoSpaceDE/>
                    <w:autoSpaceDN/>
                    <w:adjustRightInd/>
                    <w:ind w:left="519"/>
                    <w:textAlignment w:val="auto"/>
                    <w:rPr>
                      <w:rFonts w:ascii="Arial" w:hAnsi="Arial" w:cs="Arial"/>
                    </w:rPr>
                  </w:pPr>
                  <w:r w:rsidRPr="001A3E3C">
                    <w:rPr>
                      <w:rFonts w:ascii="Arial" w:hAnsi="Arial" w:cs="Arial"/>
                    </w:rPr>
                    <w:t>(2) Includes - PG&amp;E, SVP, SMUD, MID, TID, WAPA Direct Svc,</w:t>
                  </w:r>
                </w:p>
              </w:tc>
            </w:tr>
            <w:tr w:rsidR="001A3E3C" w:rsidRPr="001A3E3C" w:rsidTr="00CA7210">
              <w:trPr>
                <w:trHeight w:val="300"/>
              </w:trPr>
              <w:tc>
                <w:tcPr>
                  <w:tcW w:w="7534" w:type="dxa"/>
                  <w:gridSpan w:val="4"/>
                  <w:tcBorders>
                    <w:top w:val="nil"/>
                    <w:left w:val="nil"/>
                    <w:bottom w:val="nil"/>
                    <w:right w:val="nil"/>
                  </w:tcBorders>
                  <w:shd w:val="clear" w:color="auto" w:fill="auto"/>
                  <w:noWrap/>
                  <w:vAlign w:val="bottom"/>
                  <w:hideMark/>
                </w:tcPr>
                <w:p w:rsidR="001A3E3C" w:rsidRPr="001A3E3C" w:rsidRDefault="001A3E3C" w:rsidP="001A3E3C">
                  <w:pPr>
                    <w:widowControl/>
                    <w:overflowPunct/>
                    <w:autoSpaceDE/>
                    <w:autoSpaceDN/>
                    <w:adjustRightInd/>
                    <w:ind w:left="519"/>
                    <w:textAlignment w:val="auto"/>
                    <w:rPr>
                      <w:rFonts w:ascii="Arial" w:hAnsi="Arial" w:cs="Arial"/>
                    </w:rPr>
                  </w:pPr>
                  <w:r w:rsidRPr="001A3E3C">
                    <w:rPr>
                      <w:rFonts w:ascii="Arial" w:hAnsi="Arial" w:cs="Arial"/>
                    </w:rPr>
                    <w:t xml:space="preserve">     LMUD, NCPA, Roseville, Redding, </w:t>
                  </w:r>
                  <w:r w:rsidR="00051286">
                    <w:rPr>
                      <w:rFonts w:ascii="Arial" w:hAnsi="Arial" w:cs="Arial"/>
                    </w:rPr>
                    <w:t xml:space="preserve">CDWR </w:t>
                  </w:r>
                  <w:r w:rsidRPr="001A3E3C">
                    <w:rPr>
                      <w:rFonts w:ascii="Arial" w:hAnsi="Arial" w:cs="Arial"/>
                    </w:rPr>
                    <w:t>and Other Muni's</w:t>
                  </w:r>
                </w:p>
              </w:tc>
              <w:tc>
                <w:tcPr>
                  <w:tcW w:w="960" w:type="dxa"/>
                  <w:tcBorders>
                    <w:top w:val="nil"/>
                    <w:left w:val="nil"/>
                    <w:bottom w:val="nil"/>
                    <w:right w:val="nil"/>
                  </w:tcBorders>
                  <w:shd w:val="clear" w:color="auto" w:fill="auto"/>
                  <w:noWrap/>
                  <w:vAlign w:val="bottom"/>
                  <w:hideMark/>
                </w:tcPr>
                <w:p w:rsidR="001A3E3C" w:rsidRPr="001A3E3C" w:rsidRDefault="001A3E3C" w:rsidP="001A3E3C">
                  <w:pPr>
                    <w:widowControl/>
                    <w:overflowPunct/>
                    <w:autoSpaceDE/>
                    <w:autoSpaceDN/>
                    <w:adjustRightInd/>
                    <w:textAlignment w:val="auto"/>
                    <w:rPr>
                      <w:rFonts w:ascii="Arial" w:hAnsi="Arial" w:cs="Arial"/>
                      <w:sz w:val="24"/>
                      <w:szCs w:val="24"/>
                    </w:rPr>
                  </w:pPr>
                </w:p>
              </w:tc>
            </w:tr>
          </w:tbl>
          <w:p w:rsidR="00F63644" w:rsidRPr="00F63644" w:rsidRDefault="00F63644" w:rsidP="00F63644">
            <w:pPr>
              <w:widowControl/>
              <w:overflowPunct/>
              <w:autoSpaceDE/>
              <w:autoSpaceDN/>
              <w:adjustRightInd/>
              <w:ind w:left="627"/>
              <w:textAlignment w:val="auto"/>
              <w:rPr>
                <w:rFonts w:ascii="Arial" w:hAnsi="Arial" w:cs="Arial"/>
                <w:b/>
                <w:bCs/>
                <w:sz w:val="24"/>
                <w:szCs w:val="24"/>
              </w:rPr>
            </w:pPr>
          </w:p>
        </w:tc>
        <w:tc>
          <w:tcPr>
            <w:tcW w:w="960" w:type="dxa"/>
            <w:tcBorders>
              <w:top w:val="nil"/>
              <w:left w:val="nil"/>
              <w:bottom w:val="nil"/>
              <w:right w:val="nil"/>
            </w:tcBorders>
            <w:shd w:val="clear" w:color="auto" w:fill="auto"/>
            <w:noWrap/>
            <w:vAlign w:val="bottom"/>
            <w:hideMark/>
          </w:tcPr>
          <w:p w:rsidR="00F63644" w:rsidRPr="00F63644" w:rsidRDefault="00F63644" w:rsidP="00F63644">
            <w:pPr>
              <w:widowControl/>
              <w:overflowPunct/>
              <w:autoSpaceDE/>
              <w:autoSpaceDN/>
              <w:adjustRightInd/>
              <w:textAlignment w:val="auto"/>
              <w:rPr>
                <w:rFonts w:ascii="Arial" w:hAnsi="Arial" w:cs="Arial"/>
                <w:sz w:val="24"/>
                <w:szCs w:val="24"/>
              </w:rPr>
            </w:pPr>
          </w:p>
        </w:tc>
      </w:tr>
    </w:tbl>
    <w:p w:rsidR="00E3420E" w:rsidRDefault="00E3420E">
      <w:pPr>
        <w:pStyle w:val="Heading2"/>
        <w:widowControl/>
        <w:spacing w:after="0"/>
        <w:ind w:left="720"/>
        <w:rPr>
          <w:rFonts w:ascii="Arial" w:hAnsi="Arial" w:cs="Arial"/>
        </w:rPr>
      </w:pPr>
      <w:bookmarkStart w:id="24" w:name="_Toc507579474"/>
      <w:bookmarkStart w:id="25" w:name="_Toc244589871"/>
      <w:r>
        <w:rPr>
          <w:rFonts w:ascii="Arial" w:hAnsi="Arial" w:cs="Arial"/>
        </w:rPr>
        <w:t>C.</w:t>
      </w:r>
      <w:r>
        <w:rPr>
          <w:rFonts w:ascii="Arial" w:hAnsi="Arial" w:cs="Arial"/>
        </w:rPr>
        <w:tab/>
        <w:t>Import-Export and Major Path Assumptions</w:t>
      </w:r>
      <w:bookmarkEnd w:id="24"/>
      <w:bookmarkEnd w:id="25"/>
    </w:p>
    <w:p w:rsidR="00E3420E" w:rsidRDefault="00E3420E">
      <w:pPr>
        <w:pStyle w:val="BodyText2"/>
        <w:ind w:left="720"/>
        <w:jc w:val="left"/>
        <w:rPr>
          <w:rFonts w:ascii="Arial" w:hAnsi="Arial" w:cs="Arial"/>
        </w:rPr>
      </w:pPr>
    </w:p>
    <w:p w:rsidR="00E3420E" w:rsidRDefault="00E3420E" w:rsidP="00564F5F">
      <w:pPr>
        <w:pStyle w:val="BodyText2"/>
        <w:ind w:left="720"/>
        <w:rPr>
          <w:rFonts w:ascii="Arial" w:hAnsi="Arial" w:cs="Arial"/>
        </w:rPr>
      </w:pPr>
      <w:r>
        <w:rPr>
          <w:rFonts w:ascii="Arial" w:hAnsi="Arial" w:cs="Arial"/>
        </w:rPr>
        <w:t xml:space="preserve">The summer peak base cases </w:t>
      </w:r>
      <w:r w:rsidR="002B50A3">
        <w:rPr>
          <w:rFonts w:ascii="Arial" w:hAnsi="Arial" w:cs="Arial"/>
        </w:rPr>
        <w:t>modeled</w:t>
      </w:r>
      <w:r>
        <w:rPr>
          <w:rFonts w:ascii="Arial" w:hAnsi="Arial" w:cs="Arial"/>
        </w:rPr>
        <w:t xml:space="preserve"> 4,800 MW of north-to-south flow on the California-Oregon Intertie, COI (Path 66).  The flow on the Midway-Vincent 500 kV lines (Path 26) at Midway Substation </w:t>
      </w:r>
      <w:r w:rsidR="002B50A3">
        <w:rPr>
          <w:rFonts w:ascii="Arial" w:hAnsi="Arial" w:cs="Arial"/>
        </w:rPr>
        <w:t xml:space="preserve">was </w:t>
      </w:r>
      <w:r>
        <w:rPr>
          <w:rFonts w:ascii="Arial" w:hAnsi="Arial" w:cs="Arial"/>
        </w:rPr>
        <w:t>modeled at 4,000 MW (North-to-South)</w:t>
      </w:r>
      <w:r w:rsidR="00C2504B">
        <w:rPr>
          <w:rFonts w:ascii="Arial" w:hAnsi="Arial" w:cs="Arial"/>
        </w:rPr>
        <w:t>, but</w:t>
      </w:r>
      <w:r>
        <w:rPr>
          <w:rFonts w:ascii="Arial" w:hAnsi="Arial" w:cs="Arial"/>
        </w:rPr>
        <w:t xml:space="preserve"> varied </w:t>
      </w:r>
      <w:r w:rsidR="00C2504B">
        <w:rPr>
          <w:rFonts w:ascii="Arial" w:hAnsi="Arial" w:cs="Arial"/>
        </w:rPr>
        <w:t xml:space="preserve">as necessary </w:t>
      </w:r>
      <w:r>
        <w:rPr>
          <w:rFonts w:ascii="Arial" w:hAnsi="Arial" w:cs="Arial"/>
        </w:rPr>
        <w:t xml:space="preserve">to balance loads and resources in Northern </w:t>
      </w:r>
      <w:r>
        <w:rPr>
          <w:rFonts w:ascii="Arial" w:hAnsi="Arial" w:cs="Arial"/>
        </w:rPr>
        <w:lastRenderedPageBreak/>
        <w:t>California.  Table 2 summarizes the major path flow assumptions.</w:t>
      </w:r>
    </w:p>
    <w:p w:rsidR="00E3420E" w:rsidRDefault="00E3420E">
      <w:pPr>
        <w:pStyle w:val="BodyText2"/>
        <w:ind w:left="720"/>
        <w:jc w:val="left"/>
        <w:rPr>
          <w:rFonts w:ascii="Arial" w:hAnsi="Arial" w:cs="Arial"/>
        </w:rPr>
      </w:pPr>
    </w:p>
    <w:p w:rsidR="00E3420E" w:rsidRDefault="00E3420E">
      <w:pPr>
        <w:pStyle w:val="Caption"/>
        <w:keepNext/>
        <w:ind w:left="630"/>
        <w:rPr>
          <w:rFonts w:ascii="Arial" w:hAnsi="Arial" w:cs="Arial"/>
        </w:rPr>
      </w:pPr>
      <w:r>
        <w:rPr>
          <w:rFonts w:ascii="Arial" w:hAnsi="Arial" w:cs="Arial"/>
        </w:rPr>
        <w:t xml:space="preserve">Table </w:t>
      </w:r>
      <w:r w:rsidR="00F66BCC">
        <w:rPr>
          <w:rFonts w:ascii="Arial" w:hAnsi="Arial" w:cs="Arial"/>
        </w:rPr>
        <w:fldChar w:fldCharType="begin"/>
      </w:r>
      <w:r>
        <w:rPr>
          <w:rFonts w:ascii="Arial" w:hAnsi="Arial" w:cs="Arial"/>
        </w:rPr>
        <w:instrText xml:space="preserve"> SEQ Table \* ARABIC </w:instrText>
      </w:r>
      <w:r w:rsidR="00F66BCC">
        <w:rPr>
          <w:rFonts w:ascii="Arial" w:hAnsi="Arial" w:cs="Arial"/>
        </w:rPr>
        <w:fldChar w:fldCharType="separate"/>
      </w:r>
      <w:r w:rsidR="00027220">
        <w:rPr>
          <w:rFonts w:ascii="Arial" w:hAnsi="Arial" w:cs="Arial"/>
          <w:noProof/>
        </w:rPr>
        <w:t>2</w:t>
      </w:r>
      <w:r w:rsidR="00F66BCC">
        <w:rPr>
          <w:rFonts w:ascii="Arial" w:hAnsi="Arial" w:cs="Arial"/>
        </w:rPr>
        <w:fldChar w:fldCharType="end"/>
      </w:r>
      <w:r>
        <w:rPr>
          <w:rFonts w:ascii="Arial" w:hAnsi="Arial" w:cs="Arial"/>
        </w:rPr>
        <w:t>:  Major Intertie and Path Flow Summary</w:t>
      </w:r>
    </w:p>
    <w:tbl>
      <w:tblPr>
        <w:tblW w:w="88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6"/>
        <w:gridCol w:w="1922"/>
        <w:gridCol w:w="412"/>
        <w:gridCol w:w="1388"/>
        <w:gridCol w:w="2158"/>
        <w:gridCol w:w="1820"/>
      </w:tblGrid>
      <w:tr w:rsidR="00657BA6" w:rsidTr="00657BA6">
        <w:trPr>
          <w:cantSplit/>
        </w:trPr>
        <w:tc>
          <w:tcPr>
            <w:tcW w:w="1156" w:type="dxa"/>
            <w:vMerge w:val="restart"/>
            <w:tcBorders>
              <w:top w:val="nil"/>
              <w:left w:val="nil"/>
              <w:bottom w:val="single" w:sz="4" w:space="0" w:color="FFFFFF"/>
              <w:right w:val="single" w:sz="4" w:space="0" w:color="FFFFFF"/>
            </w:tcBorders>
            <w:shd w:val="clear" w:color="auto" w:fill="000000"/>
            <w:vAlign w:val="center"/>
          </w:tcPr>
          <w:p w:rsidR="00657BA6" w:rsidRDefault="00657BA6">
            <w:pPr>
              <w:pStyle w:val="BodyText2"/>
              <w:ind w:left="0"/>
              <w:jc w:val="center"/>
              <w:rPr>
                <w:rFonts w:ascii="Arial" w:hAnsi="Arial" w:cs="Arial"/>
                <w:b/>
                <w:bCs/>
                <w:color w:val="FFFFFF"/>
                <w:sz w:val="18"/>
              </w:rPr>
            </w:pPr>
            <w:r>
              <w:rPr>
                <w:rFonts w:ascii="Arial" w:hAnsi="Arial" w:cs="Arial"/>
                <w:b/>
                <w:bCs/>
                <w:color w:val="FFFFFF"/>
                <w:sz w:val="18"/>
              </w:rPr>
              <w:t>Path or Intertie</w:t>
            </w:r>
          </w:p>
        </w:tc>
        <w:tc>
          <w:tcPr>
            <w:tcW w:w="2334" w:type="dxa"/>
            <w:gridSpan w:val="2"/>
            <w:tcBorders>
              <w:top w:val="nil"/>
              <w:left w:val="single" w:sz="4" w:space="0" w:color="FFFFFF"/>
              <w:bottom w:val="single" w:sz="4" w:space="0" w:color="FFFFFF"/>
              <w:right w:val="single" w:sz="4" w:space="0" w:color="FFFFFF"/>
            </w:tcBorders>
            <w:shd w:val="clear" w:color="auto" w:fill="000000"/>
          </w:tcPr>
          <w:p w:rsidR="00657BA6" w:rsidRDefault="00657BA6">
            <w:pPr>
              <w:pStyle w:val="BodyText2"/>
              <w:ind w:left="0"/>
              <w:jc w:val="center"/>
              <w:rPr>
                <w:rFonts w:ascii="Arial" w:hAnsi="Arial" w:cs="Arial"/>
                <w:b/>
                <w:bCs/>
                <w:color w:val="FFFFFF"/>
                <w:sz w:val="18"/>
              </w:rPr>
            </w:pPr>
          </w:p>
        </w:tc>
        <w:tc>
          <w:tcPr>
            <w:tcW w:w="3546" w:type="dxa"/>
            <w:gridSpan w:val="2"/>
            <w:tcBorders>
              <w:top w:val="nil"/>
              <w:left w:val="single" w:sz="4" w:space="0" w:color="FFFFFF"/>
              <w:bottom w:val="single" w:sz="4" w:space="0" w:color="FFFFFF"/>
              <w:right w:val="single" w:sz="4" w:space="0" w:color="FFFFFF"/>
            </w:tcBorders>
            <w:shd w:val="clear" w:color="auto" w:fill="000000"/>
          </w:tcPr>
          <w:p w:rsidR="00657BA6" w:rsidRDefault="00657BA6">
            <w:pPr>
              <w:pStyle w:val="BodyText2"/>
              <w:ind w:left="0"/>
              <w:jc w:val="center"/>
              <w:rPr>
                <w:rFonts w:ascii="Arial" w:hAnsi="Arial" w:cs="Arial"/>
                <w:b/>
                <w:bCs/>
                <w:color w:val="FFFFFF"/>
                <w:sz w:val="18"/>
              </w:rPr>
            </w:pPr>
            <w:r>
              <w:rPr>
                <w:rFonts w:ascii="Arial" w:hAnsi="Arial" w:cs="Arial"/>
                <w:b/>
                <w:bCs/>
                <w:color w:val="FFFFFF"/>
                <w:sz w:val="18"/>
              </w:rPr>
              <w:t>Path Flow (MW)</w:t>
            </w:r>
          </w:p>
        </w:tc>
        <w:tc>
          <w:tcPr>
            <w:tcW w:w="1820" w:type="dxa"/>
            <w:vMerge w:val="restart"/>
            <w:tcBorders>
              <w:top w:val="nil"/>
              <w:left w:val="single" w:sz="4" w:space="0" w:color="FFFFFF"/>
              <w:right w:val="nil"/>
            </w:tcBorders>
            <w:shd w:val="clear" w:color="auto" w:fill="000000"/>
            <w:vAlign w:val="center"/>
          </w:tcPr>
          <w:p w:rsidR="00657BA6" w:rsidRDefault="00657BA6">
            <w:pPr>
              <w:pStyle w:val="BodyText2"/>
              <w:ind w:left="0"/>
              <w:jc w:val="center"/>
              <w:rPr>
                <w:rFonts w:ascii="Arial" w:hAnsi="Arial" w:cs="Arial"/>
                <w:b/>
                <w:bCs/>
                <w:color w:val="FFFFFF"/>
                <w:sz w:val="18"/>
              </w:rPr>
            </w:pPr>
            <w:r>
              <w:rPr>
                <w:rFonts w:ascii="Arial" w:hAnsi="Arial" w:cs="Arial"/>
                <w:b/>
                <w:bCs/>
                <w:color w:val="FFFFFF"/>
                <w:sz w:val="18"/>
              </w:rPr>
              <w:t>Path Rating (MW)</w:t>
            </w:r>
          </w:p>
        </w:tc>
      </w:tr>
      <w:tr w:rsidR="00657BA6" w:rsidTr="00657BA6">
        <w:trPr>
          <w:cantSplit/>
        </w:trPr>
        <w:tc>
          <w:tcPr>
            <w:tcW w:w="1156" w:type="dxa"/>
            <w:vMerge/>
            <w:tcBorders>
              <w:top w:val="single" w:sz="4" w:space="0" w:color="FFFFFF"/>
              <w:left w:val="single" w:sz="4" w:space="0" w:color="FFFFFF"/>
              <w:bottom w:val="single" w:sz="4" w:space="0" w:color="FFFFFF"/>
              <w:right w:val="single" w:sz="4" w:space="0" w:color="FFFFFF"/>
            </w:tcBorders>
            <w:shd w:val="clear" w:color="auto" w:fill="000000"/>
          </w:tcPr>
          <w:p w:rsidR="00657BA6" w:rsidRDefault="00657BA6">
            <w:pPr>
              <w:pStyle w:val="BodyText2"/>
              <w:ind w:left="0"/>
              <w:jc w:val="center"/>
              <w:rPr>
                <w:rFonts w:ascii="Arial" w:hAnsi="Arial" w:cs="Arial"/>
                <w:b/>
                <w:bCs/>
                <w:sz w:val="18"/>
              </w:rPr>
            </w:pPr>
          </w:p>
        </w:tc>
        <w:tc>
          <w:tcPr>
            <w:tcW w:w="1922" w:type="dxa"/>
            <w:tcBorders>
              <w:top w:val="single" w:sz="4" w:space="0" w:color="FFFFFF"/>
              <w:left w:val="single" w:sz="4" w:space="0" w:color="FFFFFF"/>
              <w:bottom w:val="single" w:sz="4" w:space="0" w:color="FFFFFF"/>
              <w:right w:val="single" w:sz="4" w:space="0" w:color="FFFFFF"/>
            </w:tcBorders>
            <w:shd w:val="clear" w:color="auto" w:fill="000000"/>
          </w:tcPr>
          <w:p w:rsidR="00657BA6" w:rsidRDefault="00657BA6" w:rsidP="00657BA6">
            <w:pPr>
              <w:pStyle w:val="BodyText2"/>
              <w:ind w:left="0"/>
              <w:jc w:val="center"/>
              <w:rPr>
                <w:rFonts w:ascii="Arial" w:hAnsi="Arial" w:cs="Arial"/>
                <w:b/>
                <w:bCs/>
                <w:color w:val="FFFFFF"/>
                <w:sz w:val="18"/>
              </w:rPr>
            </w:pPr>
            <w:r>
              <w:rPr>
                <w:rFonts w:ascii="Arial" w:hAnsi="Arial" w:cs="Arial"/>
                <w:b/>
                <w:bCs/>
                <w:color w:val="FFFFFF"/>
                <w:sz w:val="18"/>
              </w:rPr>
              <w:t>Summer Peak</w:t>
            </w:r>
          </w:p>
        </w:tc>
        <w:tc>
          <w:tcPr>
            <w:tcW w:w="1800" w:type="dxa"/>
            <w:gridSpan w:val="2"/>
            <w:tcBorders>
              <w:top w:val="single" w:sz="4" w:space="0" w:color="FFFFFF"/>
              <w:left w:val="single" w:sz="4" w:space="0" w:color="FFFFFF"/>
              <w:bottom w:val="single" w:sz="4" w:space="0" w:color="FFFFFF"/>
              <w:right w:val="single" w:sz="4" w:space="0" w:color="FFFFFF"/>
            </w:tcBorders>
            <w:shd w:val="clear" w:color="auto" w:fill="000000"/>
          </w:tcPr>
          <w:p w:rsidR="00657BA6" w:rsidRDefault="00657BA6">
            <w:pPr>
              <w:pStyle w:val="BodyText2"/>
              <w:ind w:left="0"/>
              <w:jc w:val="center"/>
              <w:rPr>
                <w:rFonts w:ascii="Arial" w:hAnsi="Arial" w:cs="Arial"/>
                <w:b/>
                <w:bCs/>
                <w:color w:val="FFFFFF"/>
                <w:sz w:val="18"/>
              </w:rPr>
            </w:pPr>
            <w:r>
              <w:rPr>
                <w:rFonts w:ascii="Arial" w:hAnsi="Arial" w:cs="Arial"/>
                <w:b/>
                <w:bCs/>
                <w:color w:val="FFFFFF"/>
                <w:sz w:val="18"/>
              </w:rPr>
              <w:t>Summer Off-Peak</w:t>
            </w:r>
          </w:p>
        </w:tc>
        <w:tc>
          <w:tcPr>
            <w:tcW w:w="2158" w:type="dxa"/>
            <w:tcBorders>
              <w:top w:val="single" w:sz="4" w:space="0" w:color="FFFFFF"/>
              <w:left w:val="single" w:sz="4" w:space="0" w:color="FFFFFF"/>
              <w:bottom w:val="single" w:sz="4" w:space="0" w:color="FFFFFF"/>
              <w:right w:val="single" w:sz="4" w:space="0" w:color="FFFFFF"/>
            </w:tcBorders>
            <w:shd w:val="clear" w:color="auto" w:fill="000000"/>
          </w:tcPr>
          <w:p w:rsidR="00657BA6" w:rsidRDefault="00657BA6">
            <w:pPr>
              <w:pStyle w:val="BodyText2"/>
              <w:ind w:left="0"/>
              <w:jc w:val="center"/>
              <w:rPr>
                <w:rFonts w:ascii="Arial" w:hAnsi="Arial" w:cs="Arial"/>
                <w:b/>
                <w:bCs/>
                <w:color w:val="FFFFFF"/>
                <w:sz w:val="18"/>
              </w:rPr>
            </w:pPr>
            <w:r>
              <w:rPr>
                <w:rFonts w:ascii="Arial" w:hAnsi="Arial" w:cs="Arial"/>
                <w:b/>
                <w:bCs/>
                <w:color w:val="FFFFFF"/>
                <w:sz w:val="18"/>
              </w:rPr>
              <w:t>Winter Peak</w:t>
            </w:r>
          </w:p>
        </w:tc>
        <w:tc>
          <w:tcPr>
            <w:tcW w:w="1820" w:type="dxa"/>
            <w:vMerge/>
            <w:tcBorders>
              <w:left w:val="single" w:sz="4" w:space="0" w:color="FFFFFF"/>
              <w:bottom w:val="single" w:sz="4" w:space="0" w:color="FFFFFF"/>
              <w:right w:val="single" w:sz="4" w:space="0" w:color="FFFFFF"/>
            </w:tcBorders>
            <w:shd w:val="clear" w:color="auto" w:fill="000000"/>
          </w:tcPr>
          <w:p w:rsidR="00657BA6" w:rsidRDefault="00657BA6">
            <w:pPr>
              <w:pStyle w:val="BodyText2"/>
              <w:ind w:left="0"/>
              <w:jc w:val="center"/>
              <w:rPr>
                <w:rFonts w:ascii="Arial" w:hAnsi="Arial" w:cs="Arial"/>
                <w:b/>
                <w:bCs/>
                <w:sz w:val="18"/>
              </w:rPr>
            </w:pPr>
          </w:p>
        </w:tc>
      </w:tr>
      <w:tr w:rsidR="00657BA6" w:rsidTr="005C5C40">
        <w:tc>
          <w:tcPr>
            <w:tcW w:w="1156" w:type="dxa"/>
            <w:tcBorders>
              <w:top w:val="single" w:sz="4" w:space="0" w:color="FFFFFF"/>
            </w:tcBorders>
            <w:vAlign w:val="center"/>
          </w:tcPr>
          <w:p w:rsidR="00657BA6" w:rsidRDefault="00657BA6">
            <w:pPr>
              <w:pStyle w:val="BodyText2"/>
              <w:ind w:left="0"/>
              <w:jc w:val="left"/>
              <w:rPr>
                <w:rFonts w:ascii="Arial" w:hAnsi="Arial" w:cs="Arial"/>
                <w:sz w:val="18"/>
              </w:rPr>
            </w:pPr>
            <w:r>
              <w:rPr>
                <w:rFonts w:ascii="Arial" w:hAnsi="Arial" w:cs="Arial"/>
                <w:sz w:val="18"/>
              </w:rPr>
              <w:t>Path 66</w:t>
            </w:r>
          </w:p>
          <w:p w:rsidR="00657BA6" w:rsidRDefault="00657BA6">
            <w:pPr>
              <w:pStyle w:val="BodyText2"/>
              <w:ind w:left="0"/>
              <w:jc w:val="left"/>
              <w:rPr>
                <w:rFonts w:ascii="Arial" w:hAnsi="Arial" w:cs="Arial"/>
                <w:sz w:val="18"/>
              </w:rPr>
            </w:pPr>
            <w:r>
              <w:rPr>
                <w:rFonts w:ascii="Arial" w:hAnsi="Arial" w:cs="Arial"/>
                <w:sz w:val="18"/>
              </w:rPr>
              <w:t>(COI)</w:t>
            </w:r>
          </w:p>
        </w:tc>
        <w:tc>
          <w:tcPr>
            <w:tcW w:w="1922" w:type="dxa"/>
            <w:tcBorders>
              <w:top w:val="single" w:sz="4" w:space="0" w:color="FFFFFF"/>
            </w:tcBorders>
            <w:vAlign w:val="center"/>
          </w:tcPr>
          <w:p w:rsidR="00657BA6" w:rsidRDefault="00657BA6">
            <w:pPr>
              <w:pStyle w:val="BodyText2"/>
              <w:ind w:left="0"/>
              <w:jc w:val="center"/>
              <w:rPr>
                <w:rFonts w:ascii="Arial" w:hAnsi="Arial" w:cs="Arial"/>
                <w:sz w:val="18"/>
              </w:rPr>
            </w:pPr>
            <w:r>
              <w:rPr>
                <w:rFonts w:ascii="Arial" w:hAnsi="Arial" w:cs="Arial"/>
                <w:sz w:val="18"/>
              </w:rPr>
              <w:t>4,800</w:t>
            </w:r>
          </w:p>
          <w:p w:rsidR="00657BA6" w:rsidRDefault="00657BA6">
            <w:pPr>
              <w:pStyle w:val="BodyText2"/>
              <w:ind w:left="0"/>
              <w:jc w:val="center"/>
              <w:rPr>
                <w:rFonts w:ascii="Arial" w:hAnsi="Arial" w:cs="Arial"/>
                <w:sz w:val="18"/>
              </w:rPr>
            </w:pPr>
            <w:r>
              <w:rPr>
                <w:rFonts w:ascii="Arial" w:hAnsi="Arial" w:cs="Arial"/>
                <w:sz w:val="18"/>
              </w:rPr>
              <w:t>(North to South)</w:t>
            </w:r>
          </w:p>
        </w:tc>
        <w:tc>
          <w:tcPr>
            <w:tcW w:w="1800" w:type="dxa"/>
            <w:gridSpan w:val="2"/>
            <w:tcBorders>
              <w:top w:val="single" w:sz="4" w:space="0" w:color="FFFFFF"/>
            </w:tcBorders>
            <w:vAlign w:val="center"/>
          </w:tcPr>
          <w:p w:rsidR="005C5C40" w:rsidRDefault="005C5C40" w:rsidP="005C5C40">
            <w:pPr>
              <w:pStyle w:val="BodyText2"/>
              <w:ind w:left="0"/>
              <w:jc w:val="center"/>
              <w:rPr>
                <w:rFonts w:ascii="Arial" w:hAnsi="Arial" w:cs="Arial"/>
                <w:sz w:val="18"/>
              </w:rPr>
            </w:pPr>
            <w:r>
              <w:rPr>
                <w:rFonts w:ascii="Arial" w:hAnsi="Arial" w:cs="Arial"/>
                <w:sz w:val="18"/>
              </w:rPr>
              <w:t>3,675</w:t>
            </w:r>
          </w:p>
          <w:p w:rsidR="00657BA6" w:rsidRDefault="005C5C40" w:rsidP="005C5C40">
            <w:pPr>
              <w:pStyle w:val="BodyText2"/>
              <w:ind w:left="0"/>
              <w:jc w:val="center"/>
              <w:rPr>
                <w:rFonts w:ascii="Arial" w:hAnsi="Arial" w:cs="Arial"/>
                <w:sz w:val="18"/>
              </w:rPr>
            </w:pPr>
            <w:r>
              <w:rPr>
                <w:rFonts w:ascii="Arial" w:hAnsi="Arial" w:cs="Arial"/>
                <w:sz w:val="18"/>
              </w:rPr>
              <w:t>(South to North)</w:t>
            </w:r>
          </w:p>
        </w:tc>
        <w:tc>
          <w:tcPr>
            <w:tcW w:w="2158" w:type="dxa"/>
            <w:tcBorders>
              <w:top w:val="single" w:sz="4" w:space="0" w:color="FFFFFF"/>
            </w:tcBorders>
            <w:vAlign w:val="center"/>
          </w:tcPr>
          <w:p w:rsidR="00657BA6" w:rsidRDefault="00AA3C59">
            <w:pPr>
              <w:pStyle w:val="BodyText2"/>
              <w:ind w:left="0"/>
              <w:jc w:val="center"/>
              <w:rPr>
                <w:rFonts w:ascii="Arial" w:hAnsi="Arial" w:cs="Arial"/>
                <w:sz w:val="18"/>
              </w:rPr>
            </w:pPr>
            <w:r>
              <w:rPr>
                <w:rFonts w:ascii="Arial" w:hAnsi="Arial" w:cs="Arial"/>
                <w:sz w:val="18"/>
              </w:rPr>
              <w:t>3,768</w:t>
            </w:r>
          </w:p>
          <w:p w:rsidR="00657BA6" w:rsidRDefault="00657BA6" w:rsidP="00AA3C59">
            <w:pPr>
              <w:pStyle w:val="BodyText2"/>
              <w:ind w:left="0"/>
              <w:jc w:val="center"/>
              <w:rPr>
                <w:rFonts w:ascii="Arial" w:hAnsi="Arial" w:cs="Arial"/>
                <w:sz w:val="18"/>
              </w:rPr>
            </w:pPr>
            <w:r>
              <w:rPr>
                <w:rFonts w:ascii="Arial" w:hAnsi="Arial" w:cs="Arial"/>
                <w:sz w:val="18"/>
              </w:rPr>
              <w:t>(</w:t>
            </w:r>
            <w:r w:rsidR="00AA3C59">
              <w:rPr>
                <w:rFonts w:ascii="Arial" w:hAnsi="Arial" w:cs="Arial"/>
                <w:sz w:val="18"/>
              </w:rPr>
              <w:t>North-South</w:t>
            </w:r>
            <w:r>
              <w:rPr>
                <w:rFonts w:ascii="Arial" w:hAnsi="Arial" w:cs="Arial"/>
                <w:sz w:val="18"/>
              </w:rPr>
              <w:t>)</w:t>
            </w:r>
          </w:p>
        </w:tc>
        <w:tc>
          <w:tcPr>
            <w:tcW w:w="1820" w:type="dxa"/>
            <w:tcBorders>
              <w:top w:val="single" w:sz="4" w:space="0" w:color="FFFFFF"/>
            </w:tcBorders>
            <w:vAlign w:val="center"/>
          </w:tcPr>
          <w:p w:rsidR="00657BA6" w:rsidRDefault="00657BA6">
            <w:pPr>
              <w:pStyle w:val="BodyText2"/>
              <w:ind w:left="0"/>
              <w:jc w:val="center"/>
              <w:rPr>
                <w:rFonts w:ascii="Arial" w:hAnsi="Arial" w:cs="Arial"/>
                <w:sz w:val="18"/>
              </w:rPr>
            </w:pPr>
            <w:r>
              <w:rPr>
                <w:rFonts w:ascii="Arial" w:hAnsi="Arial" w:cs="Arial"/>
                <w:sz w:val="18"/>
              </w:rPr>
              <w:t>4,800</w:t>
            </w:r>
          </w:p>
          <w:p w:rsidR="00657BA6" w:rsidRDefault="00657BA6">
            <w:pPr>
              <w:pStyle w:val="BodyText2"/>
              <w:ind w:left="0"/>
              <w:jc w:val="center"/>
              <w:rPr>
                <w:rFonts w:ascii="Arial" w:hAnsi="Arial" w:cs="Arial"/>
                <w:sz w:val="18"/>
              </w:rPr>
            </w:pPr>
            <w:r>
              <w:rPr>
                <w:rFonts w:ascii="Arial" w:hAnsi="Arial" w:cs="Arial"/>
                <w:sz w:val="18"/>
              </w:rPr>
              <w:t>(North to South)</w:t>
            </w:r>
          </w:p>
          <w:p w:rsidR="00657BA6" w:rsidRDefault="00657BA6">
            <w:pPr>
              <w:pStyle w:val="BodyText2"/>
              <w:ind w:left="0"/>
              <w:jc w:val="center"/>
              <w:rPr>
                <w:rFonts w:ascii="Arial" w:hAnsi="Arial" w:cs="Arial"/>
                <w:sz w:val="18"/>
              </w:rPr>
            </w:pPr>
          </w:p>
          <w:p w:rsidR="00657BA6" w:rsidRDefault="00657BA6">
            <w:pPr>
              <w:pStyle w:val="BodyText2"/>
              <w:ind w:left="0"/>
              <w:jc w:val="center"/>
              <w:rPr>
                <w:rFonts w:ascii="Arial" w:hAnsi="Arial" w:cs="Arial"/>
                <w:sz w:val="18"/>
              </w:rPr>
            </w:pPr>
            <w:r>
              <w:rPr>
                <w:rFonts w:ascii="Arial" w:hAnsi="Arial" w:cs="Arial"/>
                <w:sz w:val="18"/>
              </w:rPr>
              <w:t>3,675</w:t>
            </w:r>
          </w:p>
          <w:p w:rsidR="00657BA6" w:rsidRDefault="00657BA6">
            <w:pPr>
              <w:pStyle w:val="BodyText2"/>
              <w:ind w:left="0"/>
              <w:jc w:val="center"/>
              <w:rPr>
                <w:rFonts w:ascii="Arial" w:hAnsi="Arial" w:cs="Arial"/>
                <w:sz w:val="18"/>
              </w:rPr>
            </w:pPr>
            <w:r>
              <w:rPr>
                <w:rFonts w:ascii="Arial" w:hAnsi="Arial" w:cs="Arial"/>
                <w:sz w:val="18"/>
              </w:rPr>
              <w:t>(South to North)</w:t>
            </w:r>
          </w:p>
        </w:tc>
      </w:tr>
      <w:tr w:rsidR="00657BA6" w:rsidTr="005C5C40">
        <w:tc>
          <w:tcPr>
            <w:tcW w:w="1156" w:type="dxa"/>
            <w:vAlign w:val="center"/>
          </w:tcPr>
          <w:p w:rsidR="00657BA6" w:rsidRDefault="00657BA6">
            <w:pPr>
              <w:pStyle w:val="BodyText2"/>
              <w:ind w:left="0"/>
              <w:jc w:val="left"/>
              <w:rPr>
                <w:rFonts w:ascii="Arial" w:hAnsi="Arial" w:cs="Arial"/>
                <w:sz w:val="18"/>
              </w:rPr>
            </w:pPr>
            <w:r>
              <w:rPr>
                <w:rFonts w:ascii="Arial" w:hAnsi="Arial" w:cs="Arial"/>
                <w:sz w:val="18"/>
              </w:rPr>
              <w:t>Path 26</w:t>
            </w:r>
          </w:p>
          <w:p w:rsidR="00657BA6" w:rsidRDefault="00657BA6">
            <w:pPr>
              <w:pStyle w:val="BodyText2"/>
              <w:ind w:left="0"/>
              <w:jc w:val="left"/>
              <w:rPr>
                <w:rFonts w:ascii="Arial" w:hAnsi="Arial" w:cs="Arial"/>
                <w:sz w:val="18"/>
              </w:rPr>
            </w:pPr>
            <w:r>
              <w:rPr>
                <w:rFonts w:ascii="Arial" w:hAnsi="Arial" w:cs="Arial"/>
                <w:sz w:val="18"/>
              </w:rPr>
              <w:t>(Midway-Vincent 500 kV)</w:t>
            </w:r>
          </w:p>
        </w:tc>
        <w:tc>
          <w:tcPr>
            <w:tcW w:w="1922" w:type="dxa"/>
            <w:vAlign w:val="center"/>
          </w:tcPr>
          <w:p w:rsidR="00657BA6" w:rsidRDefault="00657BA6">
            <w:pPr>
              <w:jc w:val="center"/>
              <w:rPr>
                <w:rFonts w:ascii="Arial" w:hAnsi="Arial" w:cs="Arial"/>
                <w:bCs/>
                <w:sz w:val="18"/>
                <w:szCs w:val="18"/>
              </w:rPr>
            </w:pPr>
            <w:r>
              <w:rPr>
                <w:rFonts w:ascii="Arial" w:hAnsi="Arial" w:cs="Arial"/>
                <w:bCs/>
                <w:sz w:val="18"/>
                <w:szCs w:val="18"/>
              </w:rPr>
              <w:t>4,000</w:t>
            </w:r>
          </w:p>
          <w:p w:rsidR="00657BA6" w:rsidRDefault="00657BA6">
            <w:pPr>
              <w:jc w:val="center"/>
              <w:rPr>
                <w:rFonts w:ascii="Arial" w:hAnsi="Arial" w:cs="Arial"/>
                <w:sz w:val="18"/>
                <w:szCs w:val="18"/>
              </w:rPr>
            </w:pPr>
            <w:r>
              <w:rPr>
                <w:rFonts w:ascii="Arial" w:hAnsi="Arial" w:cs="Arial"/>
                <w:bCs/>
                <w:sz w:val="18"/>
                <w:szCs w:val="18"/>
              </w:rPr>
              <w:t>(North to South)</w:t>
            </w:r>
          </w:p>
        </w:tc>
        <w:tc>
          <w:tcPr>
            <w:tcW w:w="1800" w:type="dxa"/>
            <w:gridSpan w:val="2"/>
            <w:vAlign w:val="center"/>
          </w:tcPr>
          <w:p w:rsidR="00657BA6" w:rsidRDefault="005C5C40" w:rsidP="005C5C40">
            <w:pPr>
              <w:pStyle w:val="BodyText2"/>
              <w:ind w:left="0"/>
              <w:jc w:val="center"/>
              <w:rPr>
                <w:rFonts w:ascii="Arial" w:hAnsi="Arial" w:cs="Arial"/>
                <w:sz w:val="18"/>
              </w:rPr>
            </w:pPr>
            <w:r>
              <w:rPr>
                <w:rFonts w:ascii="Arial" w:hAnsi="Arial" w:cs="Arial"/>
                <w:sz w:val="18"/>
              </w:rPr>
              <w:t>~1500 (South-North) and Varied to balance loads and resources in No. California</w:t>
            </w:r>
          </w:p>
        </w:tc>
        <w:tc>
          <w:tcPr>
            <w:tcW w:w="2158" w:type="dxa"/>
            <w:vAlign w:val="center"/>
          </w:tcPr>
          <w:p w:rsidR="00657BA6" w:rsidRDefault="00AA3C59">
            <w:pPr>
              <w:pStyle w:val="BodyText2"/>
              <w:ind w:left="0"/>
              <w:jc w:val="center"/>
              <w:rPr>
                <w:rFonts w:ascii="Arial" w:hAnsi="Arial" w:cs="Arial"/>
                <w:sz w:val="18"/>
              </w:rPr>
            </w:pPr>
            <w:r>
              <w:rPr>
                <w:rFonts w:ascii="Arial" w:hAnsi="Arial" w:cs="Arial"/>
                <w:sz w:val="18"/>
              </w:rPr>
              <w:t xml:space="preserve">2747 (North-South) and </w:t>
            </w:r>
            <w:r w:rsidR="00657BA6">
              <w:rPr>
                <w:rFonts w:ascii="Arial" w:hAnsi="Arial" w:cs="Arial"/>
                <w:sz w:val="18"/>
              </w:rPr>
              <w:t>Varied to balance loads and resources in No. California</w:t>
            </w:r>
          </w:p>
        </w:tc>
        <w:tc>
          <w:tcPr>
            <w:tcW w:w="1820" w:type="dxa"/>
            <w:vAlign w:val="center"/>
          </w:tcPr>
          <w:p w:rsidR="00657BA6" w:rsidRDefault="00657BA6">
            <w:pPr>
              <w:pStyle w:val="BodyText2"/>
              <w:ind w:left="0"/>
              <w:jc w:val="center"/>
              <w:rPr>
                <w:rFonts w:ascii="Arial" w:hAnsi="Arial" w:cs="Arial"/>
                <w:sz w:val="18"/>
              </w:rPr>
            </w:pPr>
            <w:r>
              <w:rPr>
                <w:rFonts w:ascii="Arial" w:hAnsi="Arial" w:cs="Arial"/>
                <w:sz w:val="18"/>
              </w:rPr>
              <w:t>4,000</w:t>
            </w:r>
          </w:p>
          <w:p w:rsidR="00657BA6" w:rsidRDefault="00657BA6">
            <w:pPr>
              <w:pStyle w:val="BodyText2"/>
              <w:ind w:left="0"/>
              <w:jc w:val="center"/>
              <w:rPr>
                <w:rFonts w:ascii="Arial" w:hAnsi="Arial" w:cs="Arial"/>
                <w:sz w:val="18"/>
              </w:rPr>
            </w:pPr>
            <w:r>
              <w:rPr>
                <w:rFonts w:ascii="Arial" w:hAnsi="Arial" w:cs="Arial"/>
                <w:sz w:val="18"/>
              </w:rPr>
              <w:t>(North to South)</w:t>
            </w:r>
          </w:p>
          <w:p w:rsidR="00657BA6" w:rsidRDefault="00657BA6">
            <w:pPr>
              <w:pStyle w:val="BodyText2"/>
              <w:ind w:left="0"/>
              <w:jc w:val="center"/>
              <w:rPr>
                <w:rFonts w:ascii="Arial" w:hAnsi="Arial" w:cs="Arial"/>
                <w:sz w:val="18"/>
              </w:rPr>
            </w:pPr>
          </w:p>
          <w:p w:rsidR="00657BA6" w:rsidRDefault="00657BA6">
            <w:pPr>
              <w:pStyle w:val="BodyText2"/>
              <w:ind w:left="0"/>
              <w:jc w:val="center"/>
              <w:rPr>
                <w:rFonts w:ascii="Arial" w:hAnsi="Arial" w:cs="Arial"/>
                <w:sz w:val="18"/>
              </w:rPr>
            </w:pPr>
            <w:r>
              <w:rPr>
                <w:rFonts w:ascii="Arial" w:hAnsi="Arial" w:cs="Arial"/>
                <w:sz w:val="18"/>
              </w:rPr>
              <w:t>3,000</w:t>
            </w:r>
          </w:p>
          <w:p w:rsidR="00657BA6" w:rsidRDefault="00657BA6">
            <w:pPr>
              <w:pStyle w:val="BodyText2"/>
              <w:ind w:left="0"/>
              <w:jc w:val="center"/>
              <w:rPr>
                <w:rFonts w:ascii="Arial" w:hAnsi="Arial" w:cs="Arial"/>
                <w:sz w:val="18"/>
              </w:rPr>
            </w:pPr>
            <w:r>
              <w:rPr>
                <w:rFonts w:ascii="Arial" w:hAnsi="Arial" w:cs="Arial"/>
                <w:sz w:val="18"/>
              </w:rPr>
              <w:t>(South to North)</w:t>
            </w:r>
          </w:p>
        </w:tc>
      </w:tr>
      <w:tr w:rsidR="00657BA6" w:rsidTr="005C5C40">
        <w:tc>
          <w:tcPr>
            <w:tcW w:w="1156" w:type="dxa"/>
            <w:vAlign w:val="center"/>
          </w:tcPr>
          <w:p w:rsidR="00657BA6" w:rsidRDefault="00657BA6">
            <w:pPr>
              <w:pStyle w:val="BodyText2"/>
              <w:ind w:left="0"/>
              <w:jc w:val="left"/>
              <w:rPr>
                <w:rFonts w:ascii="Arial" w:hAnsi="Arial" w:cs="Arial"/>
                <w:sz w:val="18"/>
              </w:rPr>
            </w:pPr>
            <w:r>
              <w:rPr>
                <w:rFonts w:ascii="Arial" w:hAnsi="Arial" w:cs="Arial"/>
                <w:sz w:val="18"/>
              </w:rPr>
              <w:t>Path 15</w:t>
            </w:r>
          </w:p>
        </w:tc>
        <w:tc>
          <w:tcPr>
            <w:tcW w:w="1922" w:type="dxa"/>
            <w:vAlign w:val="center"/>
          </w:tcPr>
          <w:p w:rsidR="00657BA6" w:rsidRDefault="00657BA6">
            <w:pPr>
              <w:pStyle w:val="BodyText2"/>
              <w:ind w:left="0"/>
              <w:jc w:val="center"/>
              <w:rPr>
                <w:rFonts w:ascii="Arial" w:hAnsi="Arial" w:cs="Arial"/>
                <w:sz w:val="18"/>
              </w:rPr>
            </w:pPr>
            <w:r>
              <w:rPr>
                <w:rFonts w:ascii="Arial" w:hAnsi="Arial" w:cs="Arial"/>
                <w:sz w:val="18"/>
              </w:rPr>
              <w:t>Varied to balance loads and resources in No. California</w:t>
            </w:r>
          </w:p>
        </w:tc>
        <w:tc>
          <w:tcPr>
            <w:tcW w:w="1800" w:type="dxa"/>
            <w:gridSpan w:val="2"/>
            <w:vAlign w:val="center"/>
          </w:tcPr>
          <w:p w:rsidR="005C5C40" w:rsidRDefault="005C5C40" w:rsidP="005C5C40">
            <w:pPr>
              <w:pStyle w:val="BodyText2"/>
              <w:ind w:left="0"/>
              <w:jc w:val="center"/>
              <w:rPr>
                <w:rFonts w:ascii="Arial" w:hAnsi="Arial" w:cs="Arial"/>
                <w:sz w:val="18"/>
              </w:rPr>
            </w:pPr>
            <w:r>
              <w:rPr>
                <w:rFonts w:ascii="Arial" w:hAnsi="Arial" w:cs="Arial"/>
                <w:sz w:val="18"/>
              </w:rPr>
              <w:t>5,300</w:t>
            </w:r>
          </w:p>
          <w:p w:rsidR="00657BA6" w:rsidRDefault="005C5C40" w:rsidP="005C5C40">
            <w:pPr>
              <w:pStyle w:val="BodyText2"/>
              <w:ind w:left="0"/>
              <w:jc w:val="center"/>
              <w:rPr>
                <w:rFonts w:ascii="Arial" w:hAnsi="Arial" w:cs="Arial"/>
                <w:sz w:val="18"/>
              </w:rPr>
            </w:pPr>
            <w:r>
              <w:rPr>
                <w:rFonts w:ascii="Arial" w:hAnsi="Arial" w:cs="Arial"/>
                <w:sz w:val="18"/>
              </w:rPr>
              <w:t>(South to North</w:t>
            </w:r>
          </w:p>
        </w:tc>
        <w:tc>
          <w:tcPr>
            <w:tcW w:w="2158" w:type="dxa"/>
            <w:vAlign w:val="center"/>
          </w:tcPr>
          <w:p w:rsidR="00657BA6" w:rsidRDefault="00AA3C59">
            <w:pPr>
              <w:pStyle w:val="BodyText2"/>
              <w:ind w:left="0"/>
              <w:jc w:val="center"/>
              <w:rPr>
                <w:rFonts w:ascii="Arial" w:hAnsi="Arial" w:cs="Arial"/>
                <w:sz w:val="18"/>
              </w:rPr>
            </w:pPr>
            <w:r>
              <w:rPr>
                <w:rFonts w:ascii="Arial" w:hAnsi="Arial" w:cs="Arial"/>
                <w:sz w:val="18"/>
              </w:rPr>
              <w:t>51</w:t>
            </w:r>
          </w:p>
          <w:p w:rsidR="00657BA6" w:rsidRDefault="00657BA6">
            <w:pPr>
              <w:pStyle w:val="BodyText2"/>
              <w:ind w:left="0"/>
              <w:jc w:val="center"/>
              <w:rPr>
                <w:rFonts w:ascii="Arial" w:hAnsi="Arial" w:cs="Arial"/>
                <w:sz w:val="18"/>
              </w:rPr>
            </w:pPr>
            <w:r>
              <w:rPr>
                <w:rFonts w:ascii="Arial" w:hAnsi="Arial" w:cs="Arial"/>
                <w:sz w:val="18"/>
              </w:rPr>
              <w:t>(South to North)</w:t>
            </w:r>
          </w:p>
        </w:tc>
        <w:tc>
          <w:tcPr>
            <w:tcW w:w="1820" w:type="dxa"/>
            <w:vAlign w:val="center"/>
          </w:tcPr>
          <w:p w:rsidR="00657BA6" w:rsidRDefault="00657BA6">
            <w:pPr>
              <w:pStyle w:val="BodyText2"/>
              <w:ind w:left="0"/>
              <w:jc w:val="center"/>
              <w:rPr>
                <w:rFonts w:ascii="Arial" w:hAnsi="Arial" w:cs="Arial"/>
                <w:sz w:val="18"/>
              </w:rPr>
            </w:pPr>
            <w:r>
              <w:rPr>
                <w:rFonts w:ascii="Arial" w:hAnsi="Arial" w:cs="Arial"/>
                <w:sz w:val="18"/>
              </w:rPr>
              <w:t>3,265</w:t>
            </w:r>
          </w:p>
          <w:p w:rsidR="00657BA6" w:rsidRDefault="00657BA6">
            <w:pPr>
              <w:pStyle w:val="BodyText2"/>
              <w:ind w:left="0"/>
              <w:jc w:val="center"/>
              <w:rPr>
                <w:rFonts w:ascii="Arial" w:hAnsi="Arial" w:cs="Arial"/>
                <w:sz w:val="18"/>
              </w:rPr>
            </w:pPr>
            <w:r>
              <w:rPr>
                <w:rFonts w:ascii="Arial" w:hAnsi="Arial" w:cs="Arial"/>
                <w:sz w:val="18"/>
              </w:rPr>
              <w:t>(North to South)</w:t>
            </w:r>
          </w:p>
          <w:p w:rsidR="00657BA6" w:rsidRDefault="00657BA6">
            <w:pPr>
              <w:pStyle w:val="BodyText2"/>
              <w:ind w:left="0"/>
              <w:jc w:val="center"/>
              <w:rPr>
                <w:rFonts w:ascii="Arial" w:hAnsi="Arial" w:cs="Arial"/>
                <w:sz w:val="18"/>
              </w:rPr>
            </w:pPr>
          </w:p>
          <w:p w:rsidR="00657BA6" w:rsidRDefault="00657BA6">
            <w:pPr>
              <w:pStyle w:val="BodyText2"/>
              <w:ind w:left="0"/>
              <w:jc w:val="center"/>
              <w:rPr>
                <w:rFonts w:ascii="Arial" w:hAnsi="Arial" w:cs="Arial"/>
                <w:sz w:val="18"/>
              </w:rPr>
            </w:pPr>
            <w:r>
              <w:rPr>
                <w:rFonts w:ascii="Arial" w:hAnsi="Arial" w:cs="Arial"/>
                <w:sz w:val="18"/>
              </w:rPr>
              <w:t>5,400</w:t>
            </w:r>
          </w:p>
          <w:p w:rsidR="00657BA6" w:rsidRDefault="00657BA6">
            <w:pPr>
              <w:pStyle w:val="BodyText2"/>
              <w:ind w:left="0"/>
              <w:jc w:val="center"/>
              <w:rPr>
                <w:rFonts w:ascii="Arial" w:hAnsi="Arial" w:cs="Arial"/>
                <w:sz w:val="18"/>
              </w:rPr>
            </w:pPr>
            <w:r>
              <w:rPr>
                <w:rFonts w:ascii="Arial" w:hAnsi="Arial" w:cs="Arial"/>
                <w:sz w:val="18"/>
              </w:rPr>
              <w:t>(South to North)</w:t>
            </w:r>
          </w:p>
        </w:tc>
      </w:tr>
      <w:tr w:rsidR="00657BA6" w:rsidTr="005C5C40">
        <w:tc>
          <w:tcPr>
            <w:tcW w:w="1156" w:type="dxa"/>
            <w:vAlign w:val="center"/>
          </w:tcPr>
          <w:p w:rsidR="00657BA6" w:rsidRDefault="00657BA6">
            <w:pPr>
              <w:pStyle w:val="BodyText2"/>
              <w:ind w:left="0"/>
              <w:jc w:val="left"/>
              <w:rPr>
                <w:rFonts w:ascii="Arial" w:hAnsi="Arial" w:cs="Arial"/>
                <w:sz w:val="18"/>
              </w:rPr>
            </w:pPr>
            <w:r>
              <w:rPr>
                <w:rFonts w:ascii="Arial" w:hAnsi="Arial" w:cs="Arial"/>
                <w:sz w:val="18"/>
              </w:rPr>
              <w:t>PDCI</w:t>
            </w:r>
          </w:p>
        </w:tc>
        <w:tc>
          <w:tcPr>
            <w:tcW w:w="1922" w:type="dxa"/>
            <w:vAlign w:val="center"/>
          </w:tcPr>
          <w:p w:rsidR="00657BA6" w:rsidRDefault="00657BA6">
            <w:pPr>
              <w:pStyle w:val="BodyText2"/>
              <w:ind w:left="0"/>
              <w:jc w:val="center"/>
              <w:rPr>
                <w:rFonts w:ascii="Arial" w:hAnsi="Arial" w:cs="Arial"/>
                <w:sz w:val="18"/>
              </w:rPr>
            </w:pPr>
            <w:r>
              <w:rPr>
                <w:rFonts w:ascii="Arial" w:hAnsi="Arial" w:cs="Arial"/>
                <w:sz w:val="18"/>
              </w:rPr>
              <w:t>3,100</w:t>
            </w:r>
          </w:p>
          <w:p w:rsidR="00657BA6" w:rsidRDefault="00657BA6">
            <w:pPr>
              <w:pStyle w:val="BodyText2"/>
              <w:ind w:left="0"/>
              <w:jc w:val="center"/>
              <w:rPr>
                <w:rFonts w:ascii="Arial" w:hAnsi="Arial" w:cs="Arial"/>
                <w:sz w:val="18"/>
              </w:rPr>
            </w:pPr>
            <w:r>
              <w:rPr>
                <w:rFonts w:ascii="Arial" w:hAnsi="Arial" w:cs="Arial"/>
                <w:sz w:val="18"/>
              </w:rPr>
              <w:t>(North to South)</w:t>
            </w:r>
          </w:p>
        </w:tc>
        <w:tc>
          <w:tcPr>
            <w:tcW w:w="1800" w:type="dxa"/>
            <w:gridSpan w:val="2"/>
            <w:vAlign w:val="center"/>
          </w:tcPr>
          <w:p w:rsidR="005C5C40" w:rsidRDefault="005C5C40" w:rsidP="005C5C40">
            <w:pPr>
              <w:pStyle w:val="BodyText2"/>
              <w:ind w:left="0"/>
              <w:jc w:val="center"/>
              <w:rPr>
                <w:rFonts w:ascii="Arial" w:hAnsi="Arial" w:cs="Arial"/>
                <w:sz w:val="18"/>
              </w:rPr>
            </w:pPr>
            <w:r>
              <w:rPr>
                <w:rFonts w:ascii="Arial" w:hAnsi="Arial" w:cs="Arial"/>
                <w:sz w:val="18"/>
              </w:rPr>
              <w:t>1,900</w:t>
            </w:r>
          </w:p>
          <w:p w:rsidR="00657BA6" w:rsidRDefault="005C5C40" w:rsidP="005C5C40">
            <w:pPr>
              <w:pStyle w:val="BodyText2"/>
              <w:ind w:left="0"/>
              <w:jc w:val="center"/>
              <w:rPr>
                <w:rFonts w:ascii="Arial" w:hAnsi="Arial" w:cs="Arial"/>
                <w:sz w:val="18"/>
              </w:rPr>
            </w:pPr>
            <w:r>
              <w:rPr>
                <w:rFonts w:ascii="Arial" w:hAnsi="Arial" w:cs="Arial"/>
                <w:sz w:val="18"/>
              </w:rPr>
              <w:t>(South to North)</w:t>
            </w:r>
          </w:p>
        </w:tc>
        <w:tc>
          <w:tcPr>
            <w:tcW w:w="2158" w:type="dxa"/>
            <w:vAlign w:val="center"/>
          </w:tcPr>
          <w:p w:rsidR="00657BA6" w:rsidRDefault="00AA3C59">
            <w:pPr>
              <w:pStyle w:val="BodyText2"/>
              <w:ind w:left="0"/>
              <w:jc w:val="center"/>
              <w:rPr>
                <w:rFonts w:ascii="Arial" w:hAnsi="Arial" w:cs="Arial"/>
                <w:sz w:val="18"/>
              </w:rPr>
            </w:pPr>
            <w:r>
              <w:rPr>
                <w:rFonts w:ascii="Arial" w:hAnsi="Arial" w:cs="Arial"/>
                <w:sz w:val="18"/>
              </w:rPr>
              <w:t>3000</w:t>
            </w:r>
          </w:p>
          <w:p w:rsidR="00657BA6" w:rsidRDefault="00657BA6" w:rsidP="00AA3C59">
            <w:pPr>
              <w:pStyle w:val="BodyText2"/>
              <w:ind w:left="0"/>
              <w:jc w:val="center"/>
              <w:rPr>
                <w:rFonts w:ascii="Arial" w:hAnsi="Arial" w:cs="Arial"/>
                <w:sz w:val="18"/>
              </w:rPr>
            </w:pPr>
            <w:r>
              <w:rPr>
                <w:rFonts w:ascii="Arial" w:hAnsi="Arial" w:cs="Arial"/>
                <w:sz w:val="18"/>
              </w:rPr>
              <w:t>(</w:t>
            </w:r>
            <w:r w:rsidR="00AA3C59">
              <w:rPr>
                <w:rFonts w:ascii="Arial" w:hAnsi="Arial" w:cs="Arial"/>
                <w:sz w:val="18"/>
              </w:rPr>
              <w:t>North-South</w:t>
            </w:r>
            <w:r>
              <w:rPr>
                <w:rFonts w:ascii="Arial" w:hAnsi="Arial" w:cs="Arial"/>
                <w:sz w:val="18"/>
              </w:rPr>
              <w:t>)</w:t>
            </w:r>
          </w:p>
        </w:tc>
        <w:tc>
          <w:tcPr>
            <w:tcW w:w="1820" w:type="dxa"/>
            <w:vAlign w:val="center"/>
          </w:tcPr>
          <w:p w:rsidR="00657BA6" w:rsidRDefault="00657BA6">
            <w:pPr>
              <w:pStyle w:val="BodyText2"/>
              <w:ind w:left="0"/>
              <w:jc w:val="center"/>
              <w:rPr>
                <w:rFonts w:ascii="Arial" w:hAnsi="Arial" w:cs="Arial"/>
                <w:sz w:val="18"/>
              </w:rPr>
            </w:pPr>
            <w:r>
              <w:rPr>
                <w:rFonts w:ascii="Arial" w:hAnsi="Arial" w:cs="Arial"/>
                <w:sz w:val="18"/>
              </w:rPr>
              <w:t>3,100</w:t>
            </w:r>
          </w:p>
        </w:tc>
      </w:tr>
    </w:tbl>
    <w:p w:rsidR="00E3420E" w:rsidRDefault="00E3420E">
      <w:pPr>
        <w:pStyle w:val="Heading2"/>
        <w:widowControl/>
        <w:spacing w:after="0"/>
        <w:ind w:left="720"/>
        <w:rPr>
          <w:rFonts w:ascii="Arial" w:hAnsi="Arial" w:cs="Arial"/>
        </w:rPr>
      </w:pPr>
      <w:bookmarkStart w:id="26" w:name="_Toc503520753"/>
      <w:bookmarkStart w:id="27" w:name="_Toc506650519"/>
      <w:bookmarkStart w:id="28" w:name="_Toc506913439"/>
      <w:bookmarkStart w:id="29" w:name="_Toc536354173"/>
      <w:bookmarkStart w:id="30" w:name="_Toc244589872"/>
      <w:r>
        <w:rPr>
          <w:rFonts w:ascii="Arial" w:hAnsi="Arial" w:cs="Arial"/>
        </w:rPr>
        <w:t>D.</w:t>
      </w:r>
      <w:r>
        <w:rPr>
          <w:rFonts w:ascii="Arial" w:hAnsi="Arial" w:cs="Arial"/>
        </w:rPr>
        <w:tab/>
        <w:t>Generation Assumptions</w:t>
      </w:r>
      <w:bookmarkEnd w:id="26"/>
      <w:bookmarkEnd w:id="27"/>
      <w:bookmarkEnd w:id="28"/>
      <w:bookmarkEnd w:id="29"/>
      <w:bookmarkEnd w:id="30"/>
    </w:p>
    <w:p w:rsidR="00E3420E" w:rsidRDefault="00E3420E">
      <w:pPr>
        <w:pStyle w:val="BodyTextIndent3"/>
        <w:ind w:left="720"/>
        <w:jc w:val="left"/>
        <w:rPr>
          <w:rFonts w:ascii="Arial" w:hAnsi="Arial" w:cs="Arial"/>
        </w:rPr>
      </w:pPr>
    </w:p>
    <w:p w:rsidR="00E3420E" w:rsidRDefault="00E3420E" w:rsidP="00564F5F">
      <w:pPr>
        <w:pStyle w:val="BodyTextIndent3"/>
        <w:ind w:left="720"/>
        <w:rPr>
          <w:rFonts w:ascii="Arial" w:hAnsi="Arial" w:cs="Arial"/>
        </w:rPr>
      </w:pPr>
      <w:r>
        <w:rPr>
          <w:rFonts w:ascii="Arial" w:hAnsi="Arial" w:cs="Arial"/>
        </w:rPr>
        <w:t xml:space="preserve">Assumptions on existing generation facilities such as capability and output levels </w:t>
      </w:r>
      <w:r w:rsidR="00804031">
        <w:rPr>
          <w:rFonts w:ascii="Arial" w:hAnsi="Arial" w:cs="Arial"/>
        </w:rPr>
        <w:t>was</w:t>
      </w:r>
      <w:r>
        <w:rPr>
          <w:rFonts w:ascii="Arial" w:hAnsi="Arial" w:cs="Arial"/>
        </w:rPr>
        <w:t xml:space="preserve"> developed based on historical </w:t>
      </w:r>
      <w:r w:rsidR="00A72E2C">
        <w:rPr>
          <w:rFonts w:ascii="Arial" w:hAnsi="Arial" w:cs="Arial"/>
        </w:rPr>
        <w:t xml:space="preserve">generation dispatch </w:t>
      </w:r>
      <w:r>
        <w:rPr>
          <w:rFonts w:ascii="Arial" w:hAnsi="Arial" w:cs="Arial"/>
        </w:rPr>
        <w:t xml:space="preserve">data for Northern California.  Northern California hydro generation </w:t>
      </w:r>
      <w:r w:rsidR="00804031">
        <w:rPr>
          <w:rFonts w:ascii="Arial" w:hAnsi="Arial" w:cs="Arial"/>
        </w:rPr>
        <w:t>was</w:t>
      </w:r>
      <w:r>
        <w:rPr>
          <w:rFonts w:ascii="Arial" w:hAnsi="Arial" w:cs="Arial"/>
        </w:rPr>
        <w:t xml:space="preserve"> assumed available at historical output (about 86%) during peak system demand conditions.  Both hydro and thermal generation within local areas, and generation external to a local area that has an effect on local area reliability will be varied </w:t>
      </w:r>
      <w:r w:rsidR="00CE12B0">
        <w:rPr>
          <w:rFonts w:ascii="Arial" w:hAnsi="Arial" w:cs="Arial"/>
        </w:rPr>
        <w:t xml:space="preserve">as necessary </w:t>
      </w:r>
      <w:r>
        <w:rPr>
          <w:rFonts w:ascii="Arial" w:hAnsi="Arial" w:cs="Arial"/>
        </w:rPr>
        <w:t>to identify the most restrictive system conditions an</w:t>
      </w:r>
      <w:r w:rsidR="00CE12B0">
        <w:rPr>
          <w:rFonts w:ascii="Arial" w:hAnsi="Arial" w:cs="Arial"/>
        </w:rPr>
        <w:t>d related reliability problems.</w:t>
      </w:r>
    </w:p>
    <w:p w:rsidR="00E3420E" w:rsidRDefault="00E3420E" w:rsidP="00804031">
      <w:pPr>
        <w:pStyle w:val="BodyTextIndent2"/>
        <w:widowControl/>
        <w:ind w:left="0"/>
        <w:rPr>
          <w:rFonts w:ascii="Arial" w:hAnsi="Arial" w:cs="Arial"/>
        </w:rPr>
      </w:pPr>
    </w:p>
    <w:p w:rsidR="00E3420E" w:rsidRDefault="00292E49" w:rsidP="00564F5F">
      <w:pPr>
        <w:pStyle w:val="BodyTextIndent2"/>
        <w:widowControl/>
        <w:ind w:left="720"/>
        <w:jc w:val="both"/>
        <w:rPr>
          <w:rFonts w:ascii="Arial" w:hAnsi="Arial" w:cs="Arial"/>
        </w:rPr>
      </w:pPr>
      <w:r>
        <w:rPr>
          <w:rFonts w:ascii="Arial" w:hAnsi="Arial" w:cs="Arial"/>
        </w:rPr>
        <w:t xml:space="preserve">The generation pattern and level of generation modeled in power flow base cases will be representative of recent utility information provided for both PG&amp;E and WECC seasonal base cases representing peak and off-peak load conditions. </w:t>
      </w:r>
    </w:p>
    <w:p w:rsidR="00E3420E" w:rsidRDefault="00E3420E">
      <w:pPr>
        <w:pStyle w:val="BodyTextIndent2"/>
        <w:widowControl/>
        <w:ind w:left="720"/>
        <w:rPr>
          <w:rFonts w:ascii="Arial" w:hAnsi="Arial" w:cs="Arial"/>
        </w:rPr>
      </w:pPr>
    </w:p>
    <w:p w:rsidR="00E3420E" w:rsidRDefault="00804031" w:rsidP="00564F5F">
      <w:pPr>
        <w:pStyle w:val="BodyTextIndent2"/>
        <w:widowControl/>
        <w:ind w:left="720"/>
        <w:jc w:val="both"/>
        <w:rPr>
          <w:rFonts w:ascii="Arial" w:hAnsi="Arial" w:cs="Arial"/>
        </w:rPr>
      </w:pPr>
      <w:r>
        <w:rPr>
          <w:rFonts w:ascii="Arial" w:hAnsi="Arial" w:cs="Arial"/>
        </w:rPr>
        <w:t xml:space="preserve">By studying different study years and seasons, </w:t>
      </w:r>
      <w:r w:rsidR="00E3420E">
        <w:rPr>
          <w:rFonts w:ascii="Arial" w:hAnsi="Arial" w:cs="Arial"/>
        </w:rPr>
        <w:t xml:space="preserve">various generation patterns that could influence system reliability </w:t>
      </w:r>
      <w:r>
        <w:rPr>
          <w:rFonts w:ascii="Arial" w:hAnsi="Arial" w:cs="Arial"/>
        </w:rPr>
        <w:t xml:space="preserve">was </w:t>
      </w:r>
      <w:r w:rsidR="00CE0684">
        <w:rPr>
          <w:rFonts w:ascii="Arial" w:hAnsi="Arial" w:cs="Arial"/>
        </w:rPr>
        <w:t>analyzed.</w:t>
      </w:r>
    </w:p>
    <w:p w:rsidR="00765E27" w:rsidRDefault="00765E27">
      <w:pPr>
        <w:pStyle w:val="BodyTextIndent2"/>
        <w:widowControl/>
        <w:ind w:left="720"/>
        <w:rPr>
          <w:rFonts w:ascii="Arial" w:hAnsi="Arial" w:cs="Arial"/>
        </w:rPr>
      </w:pPr>
    </w:p>
    <w:p w:rsidR="00E3420E" w:rsidRDefault="00E3420E">
      <w:pPr>
        <w:rPr>
          <w:rFonts w:ascii="Arial" w:hAnsi="Arial" w:cs="Arial"/>
          <w:sz w:val="24"/>
        </w:rPr>
      </w:pPr>
      <w:bookmarkStart w:id="31" w:name="_Toc503520755"/>
    </w:p>
    <w:tbl>
      <w:tblPr>
        <w:tblW w:w="0" w:type="auto"/>
        <w:tblLayout w:type="fixed"/>
        <w:tblLook w:val="0000"/>
      </w:tblPr>
      <w:tblGrid>
        <w:gridCol w:w="9576"/>
      </w:tblGrid>
      <w:tr w:rsidR="00E3420E">
        <w:tc>
          <w:tcPr>
            <w:tcW w:w="9576" w:type="dxa"/>
            <w:shd w:val="clear" w:color="auto" w:fill="000000"/>
          </w:tcPr>
          <w:p w:rsidR="00E3420E" w:rsidRDefault="00E3420E" w:rsidP="00261A45">
            <w:pPr>
              <w:pStyle w:val="Heading1"/>
              <w:widowControl/>
              <w:numPr>
                <w:ilvl w:val="12"/>
                <w:numId w:val="0"/>
              </w:numPr>
              <w:rPr>
                <w:rFonts w:ascii="Arial" w:hAnsi="Arial" w:cs="Arial"/>
              </w:rPr>
            </w:pPr>
            <w:r>
              <w:rPr>
                <w:rFonts w:ascii="Arial" w:hAnsi="Arial" w:cs="Arial"/>
                <w:b w:val="0"/>
              </w:rPr>
              <w:br w:type="page"/>
            </w:r>
            <w:bookmarkStart w:id="32" w:name="_Toc506650522"/>
            <w:bookmarkStart w:id="33" w:name="_Toc506913442"/>
            <w:bookmarkStart w:id="34" w:name="_Toc536354176"/>
            <w:r>
              <w:rPr>
                <w:rFonts w:ascii="Arial" w:hAnsi="Arial" w:cs="Arial"/>
              </w:rPr>
              <w:t xml:space="preserve"> </w:t>
            </w:r>
            <w:bookmarkStart w:id="35" w:name="_Toc244589873"/>
            <w:bookmarkEnd w:id="32"/>
            <w:bookmarkEnd w:id="33"/>
            <w:bookmarkEnd w:id="34"/>
            <w:r>
              <w:rPr>
                <w:rFonts w:ascii="Arial" w:hAnsi="Arial" w:cs="Arial"/>
              </w:rPr>
              <w:t>Study Scope</w:t>
            </w:r>
            <w:bookmarkEnd w:id="35"/>
          </w:p>
        </w:tc>
      </w:tr>
      <w:bookmarkEnd w:id="31"/>
    </w:tbl>
    <w:p w:rsidR="00E3420E" w:rsidRDefault="00E3420E">
      <w:pPr>
        <w:widowControl/>
        <w:numPr>
          <w:ilvl w:val="12"/>
          <w:numId w:val="0"/>
        </w:numPr>
        <w:rPr>
          <w:rFonts w:ascii="Arial" w:hAnsi="Arial" w:cs="Arial"/>
          <w:sz w:val="24"/>
        </w:rPr>
      </w:pPr>
    </w:p>
    <w:p w:rsidR="00E3420E" w:rsidRDefault="00E3420E" w:rsidP="00564F5F">
      <w:pPr>
        <w:widowControl/>
        <w:numPr>
          <w:ilvl w:val="12"/>
          <w:numId w:val="0"/>
        </w:numPr>
        <w:jc w:val="both"/>
        <w:rPr>
          <w:rFonts w:ascii="Arial" w:hAnsi="Arial" w:cs="Arial"/>
          <w:sz w:val="24"/>
        </w:rPr>
      </w:pPr>
      <w:r>
        <w:rPr>
          <w:rFonts w:ascii="Arial" w:hAnsi="Arial" w:cs="Arial"/>
          <w:sz w:val="24"/>
        </w:rPr>
        <w:t xml:space="preserve">The assessment process </w:t>
      </w:r>
      <w:r w:rsidR="00547D27">
        <w:rPr>
          <w:rFonts w:ascii="Arial" w:hAnsi="Arial" w:cs="Arial"/>
          <w:sz w:val="24"/>
        </w:rPr>
        <w:t>tested</w:t>
      </w:r>
      <w:r>
        <w:rPr>
          <w:rFonts w:ascii="Arial" w:hAnsi="Arial" w:cs="Arial"/>
          <w:sz w:val="24"/>
        </w:rPr>
        <w:t xml:space="preserve"> the </w:t>
      </w:r>
      <w:r w:rsidR="0065505C">
        <w:rPr>
          <w:rFonts w:ascii="Arial" w:hAnsi="Arial" w:cs="Arial"/>
          <w:sz w:val="24"/>
        </w:rPr>
        <w:t>WA</w:t>
      </w:r>
      <w:r w:rsidR="00783668">
        <w:rPr>
          <w:rFonts w:ascii="Arial" w:hAnsi="Arial" w:cs="Arial"/>
          <w:sz w:val="24"/>
        </w:rPr>
        <w:t>SN</w:t>
      </w:r>
      <w:r>
        <w:rPr>
          <w:rFonts w:ascii="Arial" w:hAnsi="Arial" w:cs="Arial"/>
          <w:sz w:val="24"/>
        </w:rPr>
        <w:t xml:space="preserve"> transmission system against </w:t>
      </w:r>
      <w:r w:rsidR="0065505C">
        <w:rPr>
          <w:rFonts w:ascii="Arial" w:hAnsi="Arial" w:cs="Arial"/>
          <w:sz w:val="24"/>
        </w:rPr>
        <w:t>NERC Planning Standards</w:t>
      </w:r>
      <w:r w:rsidR="00DF5128">
        <w:rPr>
          <w:rFonts w:ascii="Arial" w:hAnsi="Arial" w:cs="Arial"/>
          <w:sz w:val="24"/>
        </w:rPr>
        <w:t xml:space="preserve"> TPL-001 thru TPL-004 and their requirements</w:t>
      </w:r>
      <w:r>
        <w:rPr>
          <w:rFonts w:ascii="Arial" w:hAnsi="Arial" w:cs="Arial"/>
          <w:sz w:val="24"/>
        </w:rPr>
        <w:t xml:space="preserve">.  </w:t>
      </w:r>
      <w:r w:rsidR="00DF5128">
        <w:rPr>
          <w:rFonts w:ascii="Arial" w:hAnsi="Arial" w:cs="Arial"/>
          <w:sz w:val="24"/>
        </w:rPr>
        <w:t xml:space="preserve">The study included analysis of contingencies related to the WASN transmission system.  </w:t>
      </w:r>
      <w:r>
        <w:rPr>
          <w:rFonts w:ascii="Arial" w:hAnsi="Arial" w:cs="Arial"/>
          <w:sz w:val="24"/>
        </w:rPr>
        <w:t xml:space="preserve">This </w:t>
      </w:r>
      <w:r w:rsidR="00DF5128">
        <w:rPr>
          <w:rFonts w:ascii="Arial" w:hAnsi="Arial" w:cs="Arial"/>
          <w:sz w:val="24"/>
        </w:rPr>
        <w:t>assessment</w:t>
      </w:r>
      <w:r>
        <w:rPr>
          <w:rFonts w:ascii="Arial" w:hAnsi="Arial" w:cs="Arial"/>
          <w:sz w:val="24"/>
        </w:rPr>
        <w:t xml:space="preserve"> </w:t>
      </w:r>
      <w:r w:rsidR="00547D27">
        <w:rPr>
          <w:rFonts w:ascii="Arial" w:hAnsi="Arial" w:cs="Arial"/>
          <w:sz w:val="24"/>
        </w:rPr>
        <w:t>included evaluating</w:t>
      </w:r>
      <w:r>
        <w:rPr>
          <w:rFonts w:ascii="Arial" w:hAnsi="Arial" w:cs="Arial"/>
          <w:sz w:val="24"/>
        </w:rPr>
        <w:t xml:space="preserve"> the transmission grid for the following:</w:t>
      </w:r>
    </w:p>
    <w:p w:rsidR="00E3420E" w:rsidRDefault="00E3420E">
      <w:pPr>
        <w:widowControl/>
        <w:numPr>
          <w:ilvl w:val="12"/>
          <w:numId w:val="0"/>
        </w:numPr>
        <w:rPr>
          <w:rFonts w:ascii="Arial" w:hAnsi="Arial" w:cs="Arial"/>
          <w:sz w:val="24"/>
        </w:rPr>
      </w:pPr>
    </w:p>
    <w:p w:rsidR="00E3420E" w:rsidRDefault="00E3420E">
      <w:pPr>
        <w:widowControl/>
        <w:numPr>
          <w:ilvl w:val="0"/>
          <w:numId w:val="3"/>
        </w:numPr>
        <w:rPr>
          <w:rFonts w:ascii="Arial" w:hAnsi="Arial" w:cs="Arial"/>
          <w:sz w:val="24"/>
        </w:rPr>
      </w:pPr>
      <w:r>
        <w:rPr>
          <w:rFonts w:ascii="Arial" w:hAnsi="Arial" w:cs="Arial"/>
          <w:sz w:val="24"/>
        </w:rPr>
        <w:lastRenderedPageBreak/>
        <w:t>Thermal Loading and Voltage Limits</w:t>
      </w:r>
    </w:p>
    <w:p w:rsidR="00C403E4" w:rsidRPr="00C403E4" w:rsidRDefault="00C403E4" w:rsidP="00C403E4">
      <w:pPr>
        <w:widowControl/>
        <w:numPr>
          <w:ilvl w:val="0"/>
          <w:numId w:val="3"/>
        </w:numPr>
        <w:rPr>
          <w:rFonts w:ascii="Arial" w:hAnsi="Arial" w:cs="Arial"/>
          <w:sz w:val="24"/>
        </w:rPr>
      </w:pPr>
      <w:r>
        <w:rPr>
          <w:rFonts w:ascii="Arial" w:hAnsi="Arial" w:cs="Arial"/>
          <w:sz w:val="24"/>
        </w:rPr>
        <w:t>Voltage Stability – Post Transient Voltage</w:t>
      </w:r>
    </w:p>
    <w:p w:rsidR="00E3420E" w:rsidRDefault="00547D27">
      <w:pPr>
        <w:widowControl/>
        <w:numPr>
          <w:ilvl w:val="0"/>
          <w:numId w:val="3"/>
        </w:numPr>
        <w:rPr>
          <w:rFonts w:ascii="Arial" w:hAnsi="Arial" w:cs="Arial"/>
          <w:sz w:val="24"/>
        </w:rPr>
      </w:pPr>
      <w:r>
        <w:rPr>
          <w:rFonts w:ascii="Arial" w:hAnsi="Arial" w:cs="Arial"/>
          <w:sz w:val="24"/>
        </w:rPr>
        <w:t xml:space="preserve">Dynamic and </w:t>
      </w:r>
      <w:r w:rsidR="00E3420E">
        <w:rPr>
          <w:rFonts w:ascii="Arial" w:hAnsi="Arial" w:cs="Arial"/>
          <w:sz w:val="24"/>
        </w:rPr>
        <w:t>Transient Stability</w:t>
      </w:r>
    </w:p>
    <w:p w:rsidR="00371C0E" w:rsidRDefault="00371C0E" w:rsidP="00371C0E">
      <w:pPr>
        <w:widowControl/>
        <w:rPr>
          <w:rFonts w:ascii="Arial" w:hAnsi="Arial" w:cs="Arial"/>
          <w:sz w:val="24"/>
        </w:rPr>
      </w:pPr>
    </w:p>
    <w:p w:rsidR="00371C0E" w:rsidRDefault="00371C0E" w:rsidP="00371C0E">
      <w:pPr>
        <w:widowControl/>
        <w:rPr>
          <w:rFonts w:ascii="Arial" w:hAnsi="Arial" w:cs="Arial"/>
          <w:sz w:val="24"/>
        </w:rPr>
      </w:pPr>
      <w:r>
        <w:rPr>
          <w:rFonts w:ascii="Arial" w:hAnsi="Arial" w:cs="Arial"/>
          <w:sz w:val="24"/>
        </w:rPr>
        <w:t>The contingencies studied are listed in Attachment 2</w:t>
      </w:r>
    </w:p>
    <w:p w:rsidR="00E3420E" w:rsidRDefault="00E3420E">
      <w:pPr>
        <w:pStyle w:val="Heading2"/>
        <w:numPr>
          <w:ilvl w:val="12"/>
          <w:numId w:val="0"/>
        </w:numPr>
        <w:ind w:left="720"/>
        <w:rPr>
          <w:rFonts w:ascii="Arial" w:hAnsi="Arial" w:cs="Arial"/>
        </w:rPr>
      </w:pPr>
      <w:bookmarkStart w:id="36" w:name="_Toc506913443"/>
      <w:bookmarkStart w:id="37" w:name="_Toc536354177"/>
      <w:bookmarkStart w:id="38" w:name="_Toc244589874"/>
      <w:r>
        <w:rPr>
          <w:rFonts w:ascii="Arial" w:hAnsi="Arial" w:cs="Arial"/>
        </w:rPr>
        <w:t>A.</w:t>
      </w:r>
      <w:r>
        <w:rPr>
          <w:rFonts w:ascii="Arial" w:hAnsi="Arial" w:cs="Arial"/>
        </w:rPr>
        <w:tab/>
        <w:t>Thermal Loading and Voltage Limits</w:t>
      </w:r>
      <w:bookmarkEnd w:id="36"/>
      <w:bookmarkEnd w:id="37"/>
      <w:bookmarkEnd w:id="38"/>
    </w:p>
    <w:p w:rsidR="00E3420E" w:rsidRDefault="00E3420E">
      <w:pPr>
        <w:numPr>
          <w:ilvl w:val="12"/>
          <w:numId w:val="0"/>
        </w:numPr>
        <w:ind w:left="720"/>
        <w:rPr>
          <w:rFonts w:ascii="Arial" w:hAnsi="Arial" w:cs="Arial"/>
          <w:sz w:val="24"/>
        </w:rPr>
      </w:pPr>
    </w:p>
    <w:p w:rsidR="00E3420E" w:rsidRDefault="00E3420E" w:rsidP="00564F5F">
      <w:pPr>
        <w:numPr>
          <w:ilvl w:val="12"/>
          <w:numId w:val="0"/>
        </w:numPr>
        <w:ind w:left="720"/>
        <w:jc w:val="both"/>
        <w:rPr>
          <w:rFonts w:ascii="Arial" w:hAnsi="Arial" w:cs="Arial"/>
          <w:sz w:val="24"/>
        </w:rPr>
      </w:pPr>
      <w:r>
        <w:rPr>
          <w:rFonts w:ascii="Arial" w:hAnsi="Arial" w:cs="Arial"/>
          <w:sz w:val="24"/>
        </w:rPr>
        <w:t xml:space="preserve">A thermal loading assessment will be performed on all </w:t>
      </w:r>
      <w:r w:rsidR="00016603">
        <w:rPr>
          <w:rFonts w:ascii="Arial" w:hAnsi="Arial" w:cs="Arial"/>
          <w:sz w:val="24"/>
        </w:rPr>
        <w:t>WA</w:t>
      </w:r>
      <w:r w:rsidR="00783668">
        <w:rPr>
          <w:rFonts w:ascii="Arial" w:hAnsi="Arial" w:cs="Arial"/>
          <w:sz w:val="24"/>
        </w:rPr>
        <w:t>SN</w:t>
      </w:r>
      <w:r>
        <w:rPr>
          <w:rFonts w:ascii="Arial" w:hAnsi="Arial" w:cs="Arial"/>
          <w:sz w:val="24"/>
        </w:rPr>
        <w:t xml:space="preserve"> transmission facilities.  This analysis will examine thermal loadings under normal and contingency cond</w:t>
      </w:r>
      <w:r w:rsidR="00016603">
        <w:rPr>
          <w:rFonts w:ascii="Arial" w:hAnsi="Arial" w:cs="Arial"/>
          <w:sz w:val="24"/>
        </w:rPr>
        <w:t>itions.  Should a WAPA</w:t>
      </w:r>
      <w:r>
        <w:rPr>
          <w:rFonts w:ascii="Arial" w:hAnsi="Arial" w:cs="Arial"/>
          <w:sz w:val="24"/>
        </w:rPr>
        <w:t xml:space="preserve"> transmission facility be determined to exceed its thermal capability normally or dur</w:t>
      </w:r>
      <w:r w:rsidR="00016603">
        <w:rPr>
          <w:rFonts w:ascii="Arial" w:hAnsi="Arial" w:cs="Arial"/>
          <w:sz w:val="24"/>
        </w:rPr>
        <w:t>ing contingency conditions, WAPA</w:t>
      </w:r>
      <w:r>
        <w:rPr>
          <w:rFonts w:ascii="Arial" w:hAnsi="Arial" w:cs="Arial"/>
          <w:sz w:val="24"/>
        </w:rPr>
        <w:t xml:space="preserve"> will address the thermal loading with a mitigation plan.</w:t>
      </w:r>
    </w:p>
    <w:p w:rsidR="00E3420E" w:rsidRDefault="00E3420E">
      <w:pPr>
        <w:ind w:left="720"/>
        <w:rPr>
          <w:rFonts w:ascii="Arial" w:hAnsi="Arial" w:cs="Arial"/>
          <w:sz w:val="24"/>
        </w:rPr>
      </w:pPr>
    </w:p>
    <w:p w:rsidR="00E3420E" w:rsidRDefault="00016603" w:rsidP="00564F5F">
      <w:pPr>
        <w:ind w:left="720"/>
        <w:jc w:val="both"/>
        <w:rPr>
          <w:rFonts w:ascii="Arial" w:hAnsi="Arial" w:cs="Arial"/>
          <w:sz w:val="24"/>
        </w:rPr>
      </w:pPr>
      <w:r>
        <w:rPr>
          <w:rFonts w:ascii="Arial" w:hAnsi="Arial" w:cs="Arial"/>
          <w:sz w:val="24"/>
        </w:rPr>
        <w:t>WA</w:t>
      </w:r>
      <w:r w:rsidR="00783668">
        <w:rPr>
          <w:rFonts w:ascii="Arial" w:hAnsi="Arial" w:cs="Arial"/>
          <w:sz w:val="24"/>
        </w:rPr>
        <w:t>SN</w:t>
      </w:r>
      <w:r w:rsidR="00E3420E">
        <w:rPr>
          <w:rFonts w:ascii="Arial" w:hAnsi="Arial" w:cs="Arial"/>
          <w:sz w:val="24"/>
        </w:rPr>
        <w:t xml:space="preserve"> will examine system voltages to determine if they stay within acceptable post transient and steady state limits.  As with the thermal loading assessment, the analysis will include examining base case (normal) conditions and contingency conditions.</w:t>
      </w:r>
    </w:p>
    <w:p w:rsidR="008E0557" w:rsidRDefault="008E0557">
      <w:pPr>
        <w:ind w:left="720"/>
        <w:rPr>
          <w:rFonts w:ascii="Arial" w:hAnsi="Arial" w:cs="Arial"/>
          <w:sz w:val="24"/>
        </w:rPr>
      </w:pPr>
    </w:p>
    <w:p w:rsidR="008E0557" w:rsidRDefault="008E0557" w:rsidP="008E0557">
      <w:pPr>
        <w:pStyle w:val="Heading2"/>
        <w:numPr>
          <w:ilvl w:val="0"/>
          <w:numId w:val="30"/>
        </w:numPr>
        <w:tabs>
          <w:tab w:val="left" w:pos="1440"/>
        </w:tabs>
        <w:ind w:left="1080"/>
        <w:rPr>
          <w:rFonts w:ascii="Arial" w:hAnsi="Arial" w:cs="Arial"/>
        </w:rPr>
      </w:pPr>
      <w:bookmarkStart w:id="39" w:name="_Toc244589875"/>
      <w:r>
        <w:rPr>
          <w:rFonts w:ascii="Arial" w:hAnsi="Arial" w:cs="Arial"/>
        </w:rPr>
        <w:t>Voltage Stability – Post Transient Voltage</w:t>
      </w:r>
      <w:bookmarkEnd w:id="39"/>
    </w:p>
    <w:p w:rsidR="008E0557" w:rsidRDefault="008E0557" w:rsidP="008E0557">
      <w:pPr>
        <w:ind w:left="720"/>
        <w:rPr>
          <w:rFonts w:ascii="Arial" w:hAnsi="Arial" w:cs="Arial"/>
          <w:sz w:val="24"/>
        </w:rPr>
      </w:pPr>
    </w:p>
    <w:p w:rsidR="008E0557" w:rsidRDefault="008E0557" w:rsidP="00564F5F">
      <w:pPr>
        <w:pStyle w:val="BodyText2"/>
        <w:widowControl/>
        <w:ind w:left="720"/>
        <w:rPr>
          <w:rFonts w:ascii="Arial" w:hAnsi="Arial" w:cs="Arial"/>
        </w:rPr>
      </w:pPr>
      <w:r>
        <w:rPr>
          <w:rFonts w:ascii="Arial" w:hAnsi="Arial" w:cs="Arial"/>
        </w:rPr>
        <w:t xml:space="preserve">Voltage stability studies will be performed in accordance with the </w:t>
      </w:r>
      <w:r w:rsidRPr="00675589">
        <w:rPr>
          <w:rFonts w:ascii="Arial" w:hAnsi="Arial" w:cs="Arial"/>
        </w:rPr>
        <w:t>Guide to WECC/NERC Planning Standards I.D: Voltage Support and Reactive Power</w:t>
      </w:r>
      <w:r>
        <w:rPr>
          <w:rFonts w:ascii="Arial" w:hAnsi="Arial" w:cs="Arial"/>
        </w:rPr>
        <w:t xml:space="preserve"> under normal and contingency conditions.  The voltage stability assessment consist</w:t>
      </w:r>
      <w:r w:rsidR="008E3413">
        <w:rPr>
          <w:rFonts w:ascii="Arial" w:hAnsi="Arial" w:cs="Arial"/>
        </w:rPr>
        <w:t>ed of an assessment of reactive margin under normal and contingency conditions</w:t>
      </w:r>
      <w:r>
        <w:rPr>
          <w:rFonts w:ascii="Arial" w:hAnsi="Arial" w:cs="Arial"/>
        </w:rPr>
        <w:t>.  When analyzing voltage stability, the WECC requires a 5% increase in load for single contingencies (Category B) and 2.5% for double contingencies (Category C).</w:t>
      </w:r>
    </w:p>
    <w:p w:rsidR="008E0557" w:rsidRDefault="008E0557" w:rsidP="008E0557">
      <w:pPr>
        <w:pStyle w:val="BodyText2"/>
        <w:widowControl/>
        <w:ind w:left="720"/>
        <w:jc w:val="left"/>
        <w:rPr>
          <w:rFonts w:ascii="Arial" w:hAnsi="Arial" w:cs="Arial"/>
        </w:rPr>
      </w:pPr>
    </w:p>
    <w:p w:rsidR="008E0557" w:rsidRDefault="008E0557" w:rsidP="00564F5F">
      <w:pPr>
        <w:pStyle w:val="BodyText2"/>
        <w:widowControl/>
        <w:ind w:left="720"/>
        <w:rPr>
          <w:rFonts w:ascii="Arial" w:hAnsi="Arial" w:cs="Arial"/>
        </w:rPr>
      </w:pPr>
      <w:r>
        <w:rPr>
          <w:rFonts w:ascii="Arial" w:hAnsi="Arial" w:cs="Arial"/>
        </w:rPr>
        <w:t xml:space="preserve">Post-transient voltage analysis </w:t>
      </w:r>
      <w:r w:rsidR="00461909">
        <w:rPr>
          <w:rFonts w:ascii="Arial" w:hAnsi="Arial" w:cs="Arial"/>
        </w:rPr>
        <w:t>was</w:t>
      </w:r>
      <w:r>
        <w:rPr>
          <w:rFonts w:ascii="Arial" w:hAnsi="Arial" w:cs="Arial"/>
        </w:rPr>
        <w:t xml:space="preserve"> conducted at points where the WASN transmission system connects to customer load-serving points such as for the Cities of Redding and Roseville as well as connections to the Sacramento Municipal Utility District (SMUD) and USBR Pumps at Tracy as well as recognition of the 500 and 230 kV connections to PG&amp;E’s system at Cottonwood and Tracy Substations. </w:t>
      </w:r>
    </w:p>
    <w:p w:rsidR="008E0557" w:rsidRDefault="008E0557" w:rsidP="008E0557">
      <w:pPr>
        <w:pStyle w:val="BodyText2"/>
        <w:widowControl/>
        <w:ind w:left="720"/>
        <w:jc w:val="left"/>
        <w:rPr>
          <w:rFonts w:ascii="Arial" w:hAnsi="Arial" w:cs="Arial"/>
        </w:rPr>
      </w:pPr>
    </w:p>
    <w:p w:rsidR="008E0557" w:rsidRDefault="008E0557" w:rsidP="008E0557">
      <w:pPr>
        <w:pStyle w:val="BodyText2"/>
        <w:widowControl/>
        <w:ind w:left="720"/>
        <w:jc w:val="left"/>
        <w:rPr>
          <w:rFonts w:ascii="Arial" w:hAnsi="Arial" w:cs="Arial"/>
        </w:rPr>
      </w:pPr>
      <w:r>
        <w:rPr>
          <w:rFonts w:ascii="Arial" w:hAnsi="Arial" w:cs="Arial"/>
        </w:rPr>
        <w:t>Specifically, the following points in WASN’s transmission system will be analyzed for Category B and C contingencies:</w:t>
      </w:r>
    </w:p>
    <w:p w:rsidR="003F1790" w:rsidRDefault="003F1790" w:rsidP="008E0557">
      <w:pPr>
        <w:pStyle w:val="BodyText2"/>
        <w:widowControl/>
        <w:numPr>
          <w:ilvl w:val="0"/>
          <w:numId w:val="32"/>
        </w:numPr>
        <w:ind w:left="1440"/>
        <w:jc w:val="left"/>
        <w:rPr>
          <w:rFonts w:ascii="Arial" w:hAnsi="Arial" w:cs="Arial"/>
        </w:rPr>
      </w:pPr>
      <w:r>
        <w:rPr>
          <w:rFonts w:ascii="Arial" w:hAnsi="Arial" w:cs="Arial"/>
        </w:rPr>
        <w:t>Airport</w:t>
      </w:r>
    </w:p>
    <w:p w:rsidR="008E0557" w:rsidRDefault="008E0557" w:rsidP="008E0557">
      <w:pPr>
        <w:pStyle w:val="BodyText2"/>
        <w:widowControl/>
        <w:numPr>
          <w:ilvl w:val="0"/>
          <w:numId w:val="32"/>
        </w:numPr>
        <w:ind w:left="1440"/>
        <w:jc w:val="left"/>
        <w:rPr>
          <w:rFonts w:ascii="Arial" w:hAnsi="Arial" w:cs="Arial"/>
        </w:rPr>
      </w:pPr>
      <w:r>
        <w:rPr>
          <w:rFonts w:ascii="Arial" w:hAnsi="Arial" w:cs="Arial"/>
        </w:rPr>
        <w:t>Cottonwood</w:t>
      </w:r>
    </w:p>
    <w:p w:rsidR="008E0557" w:rsidRDefault="008E0557" w:rsidP="008E0557">
      <w:pPr>
        <w:pStyle w:val="BodyText2"/>
        <w:widowControl/>
        <w:numPr>
          <w:ilvl w:val="0"/>
          <w:numId w:val="32"/>
        </w:numPr>
        <w:ind w:left="1440"/>
        <w:jc w:val="left"/>
        <w:rPr>
          <w:rFonts w:ascii="Arial" w:hAnsi="Arial" w:cs="Arial"/>
        </w:rPr>
      </w:pPr>
      <w:r>
        <w:rPr>
          <w:rFonts w:ascii="Arial" w:hAnsi="Arial" w:cs="Arial"/>
        </w:rPr>
        <w:t>Elverta</w:t>
      </w:r>
    </w:p>
    <w:p w:rsidR="003F1790" w:rsidRDefault="003F1790" w:rsidP="008E0557">
      <w:pPr>
        <w:pStyle w:val="BodyText2"/>
        <w:widowControl/>
        <w:numPr>
          <w:ilvl w:val="0"/>
          <w:numId w:val="32"/>
        </w:numPr>
        <w:ind w:left="1440"/>
        <w:jc w:val="left"/>
        <w:rPr>
          <w:rFonts w:ascii="Arial" w:hAnsi="Arial" w:cs="Arial"/>
        </w:rPr>
      </w:pPr>
      <w:r>
        <w:rPr>
          <w:rFonts w:ascii="Arial" w:hAnsi="Arial" w:cs="Arial"/>
        </w:rPr>
        <w:t>Roseville</w:t>
      </w:r>
    </w:p>
    <w:p w:rsidR="008E0557" w:rsidRDefault="008E0557" w:rsidP="008E0557">
      <w:pPr>
        <w:pStyle w:val="BodyText2"/>
        <w:widowControl/>
        <w:numPr>
          <w:ilvl w:val="0"/>
          <w:numId w:val="32"/>
        </w:numPr>
        <w:ind w:left="1440"/>
        <w:jc w:val="left"/>
        <w:rPr>
          <w:rFonts w:ascii="Arial" w:hAnsi="Arial" w:cs="Arial"/>
        </w:rPr>
      </w:pPr>
      <w:r>
        <w:rPr>
          <w:rFonts w:ascii="Arial" w:hAnsi="Arial" w:cs="Arial"/>
        </w:rPr>
        <w:t>Tracy</w:t>
      </w:r>
    </w:p>
    <w:p w:rsidR="00E3420E" w:rsidRDefault="00E3420E" w:rsidP="008876C9">
      <w:pPr>
        <w:pStyle w:val="Heading2"/>
        <w:numPr>
          <w:ilvl w:val="0"/>
          <w:numId w:val="30"/>
        </w:numPr>
        <w:ind w:left="1080"/>
        <w:rPr>
          <w:rFonts w:ascii="Arial" w:hAnsi="Arial" w:cs="Arial"/>
        </w:rPr>
      </w:pPr>
      <w:bookmarkStart w:id="40" w:name="_Toc506913446"/>
      <w:bookmarkStart w:id="41" w:name="_Toc536354180"/>
      <w:r>
        <w:rPr>
          <w:rFonts w:ascii="Arial" w:hAnsi="Arial" w:cs="Arial"/>
        </w:rPr>
        <w:lastRenderedPageBreak/>
        <w:tab/>
      </w:r>
      <w:bookmarkStart w:id="42" w:name="_Toc244589876"/>
      <w:r>
        <w:rPr>
          <w:rFonts w:ascii="Arial" w:hAnsi="Arial" w:cs="Arial"/>
        </w:rPr>
        <w:t>Transient Stability</w:t>
      </w:r>
      <w:bookmarkEnd w:id="40"/>
      <w:bookmarkEnd w:id="41"/>
      <w:bookmarkEnd w:id="42"/>
    </w:p>
    <w:p w:rsidR="00E3420E" w:rsidRDefault="00E3420E">
      <w:pPr>
        <w:pStyle w:val="BodyText2"/>
        <w:ind w:left="720"/>
        <w:jc w:val="left"/>
        <w:rPr>
          <w:rFonts w:ascii="Arial" w:hAnsi="Arial" w:cs="Arial"/>
        </w:rPr>
      </w:pPr>
    </w:p>
    <w:p w:rsidR="00E3420E" w:rsidRDefault="00983083" w:rsidP="00564F5F">
      <w:pPr>
        <w:pStyle w:val="BodyText2"/>
        <w:ind w:left="720"/>
        <w:rPr>
          <w:rFonts w:ascii="Arial" w:hAnsi="Arial" w:cs="Arial"/>
        </w:rPr>
      </w:pPr>
      <w:r>
        <w:rPr>
          <w:rFonts w:ascii="Arial" w:hAnsi="Arial" w:cs="Arial"/>
        </w:rPr>
        <w:t>The t</w:t>
      </w:r>
      <w:r w:rsidR="00E3420E">
        <w:rPr>
          <w:rFonts w:ascii="Arial" w:hAnsi="Arial" w:cs="Arial"/>
        </w:rPr>
        <w:t xml:space="preserve">ransient stability assessment </w:t>
      </w:r>
      <w:r w:rsidR="001538E8">
        <w:rPr>
          <w:rFonts w:ascii="Arial" w:hAnsi="Arial" w:cs="Arial"/>
        </w:rPr>
        <w:t>was conducted</w:t>
      </w:r>
      <w:r>
        <w:rPr>
          <w:rFonts w:ascii="Arial" w:hAnsi="Arial" w:cs="Arial"/>
        </w:rPr>
        <w:t xml:space="preserve"> in accordance with </w:t>
      </w:r>
      <w:r w:rsidR="00675589">
        <w:rPr>
          <w:rFonts w:ascii="Arial" w:hAnsi="Arial" w:cs="Arial"/>
        </w:rPr>
        <w:t>WECC Stability</w:t>
      </w:r>
      <w:r w:rsidR="00E3420E">
        <w:rPr>
          <w:rFonts w:ascii="Arial" w:hAnsi="Arial" w:cs="Arial"/>
        </w:rPr>
        <w:t xml:space="preserve"> Standards for selected contingency conditions.  The scope of these studies </w:t>
      </w:r>
      <w:r w:rsidR="001538E8">
        <w:rPr>
          <w:rFonts w:ascii="Arial" w:hAnsi="Arial" w:cs="Arial"/>
        </w:rPr>
        <w:t>was</w:t>
      </w:r>
      <w:r w:rsidR="00E3420E">
        <w:rPr>
          <w:rFonts w:ascii="Arial" w:hAnsi="Arial" w:cs="Arial"/>
        </w:rPr>
        <w:t xml:space="preserve"> sufficient to establish the existence of any stability problems.  The analysis </w:t>
      </w:r>
      <w:r w:rsidR="001538E8">
        <w:rPr>
          <w:rFonts w:ascii="Arial" w:hAnsi="Arial" w:cs="Arial"/>
        </w:rPr>
        <w:t>followed</w:t>
      </w:r>
      <w:r w:rsidR="00E3420E">
        <w:rPr>
          <w:rFonts w:ascii="Arial" w:hAnsi="Arial" w:cs="Arial"/>
        </w:rPr>
        <w:t xml:space="preserve"> the latest transient stability modeling</w:t>
      </w:r>
      <w:r>
        <w:rPr>
          <w:rFonts w:ascii="Arial" w:hAnsi="Arial" w:cs="Arial"/>
        </w:rPr>
        <w:t xml:space="preserve"> methodology recommended by </w:t>
      </w:r>
      <w:r w:rsidR="00E3420E">
        <w:rPr>
          <w:rFonts w:ascii="Arial" w:hAnsi="Arial" w:cs="Arial"/>
        </w:rPr>
        <w:t xml:space="preserve">WECC.  </w:t>
      </w:r>
      <w:r w:rsidR="000804D2">
        <w:rPr>
          <w:rFonts w:ascii="Arial" w:hAnsi="Arial" w:cs="Arial"/>
        </w:rPr>
        <w:t>Most</w:t>
      </w:r>
      <w:r w:rsidR="00E3420E">
        <w:rPr>
          <w:rFonts w:ascii="Arial" w:hAnsi="Arial" w:cs="Arial"/>
        </w:rPr>
        <w:t xml:space="preserve"> tr</w:t>
      </w:r>
      <w:r w:rsidR="001538E8">
        <w:rPr>
          <w:rFonts w:ascii="Arial" w:hAnsi="Arial" w:cs="Arial"/>
        </w:rPr>
        <w:t xml:space="preserve">ansient stability analysis </w:t>
      </w:r>
      <w:r w:rsidR="00E3420E">
        <w:rPr>
          <w:rFonts w:ascii="Arial" w:hAnsi="Arial" w:cs="Arial"/>
        </w:rPr>
        <w:t>model</w:t>
      </w:r>
      <w:r w:rsidR="001538E8">
        <w:rPr>
          <w:rFonts w:ascii="Arial" w:hAnsi="Arial" w:cs="Arial"/>
        </w:rPr>
        <w:t>ed</w:t>
      </w:r>
      <w:r w:rsidR="00E3420E">
        <w:rPr>
          <w:rFonts w:ascii="Arial" w:hAnsi="Arial" w:cs="Arial"/>
        </w:rPr>
        <w:t xml:space="preserve"> a three-phase fault with normal clearing times and any as</w:t>
      </w:r>
      <w:r w:rsidR="001538E8">
        <w:rPr>
          <w:rFonts w:ascii="Arial" w:hAnsi="Arial" w:cs="Arial"/>
        </w:rPr>
        <w:t>sociated remedial actions</w:t>
      </w:r>
      <w:r w:rsidR="00E3420E">
        <w:rPr>
          <w:rFonts w:ascii="Arial" w:hAnsi="Arial" w:cs="Arial"/>
        </w:rPr>
        <w:t>.</w:t>
      </w:r>
      <w:r>
        <w:rPr>
          <w:rFonts w:ascii="Arial" w:hAnsi="Arial" w:cs="Arial"/>
        </w:rPr>
        <w:t xml:space="preserve">  The analysis included evaluation of damping and swing voltage (amount and duration).</w:t>
      </w:r>
    </w:p>
    <w:p w:rsidR="009363C6" w:rsidRDefault="009363C6">
      <w:pPr>
        <w:pStyle w:val="BodyText2"/>
        <w:ind w:left="720"/>
        <w:jc w:val="left"/>
        <w:rPr>
          <w:rFonts w:ascii="Arial" w:hAnsi="Arial" w:cs="Arial"/>
        </w:rPr>
      </w:pPr>
    </w:p>
    <w:p w:rsidR="009363C6" w:rsidRDefault="00BE778C" w:rsidP="00564F5F">
      <w:pPr>
        <w:pStyle w:val="BodyText2"/>
        <w:ind w:left="720"/>
        <w:rPr>
          <w:rFonts w:ascii="Arial" w:hAnsi="Arial" w:cs="Arial"/>
        </w:rPr>
      </w:pPr>
      <w:r>
        <w:rPr>
          <w:rFonts w:ascii="Arial" w:hAnsi="Arial" w:cs="Arial"/>
        </w:rPr>
        <w:t>While Table 1 within the NERC Planning Standards TPL-001 thru 004</w:t>
      </w:r>
      <w:r w:rsidR="005F4277">
        <w:rPr>
          <w:rFonts w:ascii="Arial" w:hAnsi="Arial" w:cs="Arial"/>
        </w:rPr>
        <w:t xml:space="preserve">, a 3-phase fault was simulated for Category B and C3 contingencies.  </w:t>
      </w:r>
      <w:r>
        <w:rPr>
          <w:rFonts w:ascii="Arial" w:hAnsi="Arial" w:cs="Arial"/>
        </w:rPr>
        <w:t xml:space="preserve"> </w:t>
      </w:r>
      <w:r w:rsidR="005F4277">
        <w:rPr>
          <w:rFonts w:ascii="Arial" w:hAnsi="Arial" w:cs="Arial"/>
        </w:rPr>
        <w:t xml:space="preserve">A single phase to ground fault was simulated for Category C1, C2 and C6 thru 9.  </w:t>
      </w:r>
      <w:r w:rsidR="009363C6">
        <w:rPr>
          <w:rFonts w:ascii="Arial" w:hAnsi="Arial" w:cs="Arial"/>
        </w:rPr>
        <w:t xml:space="preserve">Transient stability studies </w:t>
      </w:r>
      <w:r w:rsidR="006F6F20">
        <w:rPr>
          <w:rFonts w:ascii="Arial" w:hAnsi="Arial" w:cs="Arial"/>
        </w:rPr>
        <w:t>focused</w:t>
      </w:r>
      <w:r w:rsidR="009363C6">
        <w:rPr>
          <w:rFonts w:ascii="Arial" w:hAnsi="Arial" w:cs="Arial"/>
        </w:rPr>
        <w:t xml:space="preserve"> on </w:t>
      </w:r>
      <w:r w:rsidR="0070254D">
        <w:rPr>
          <w:rFonts w:ascii="Arial" w:hAnsi="Arial" w:cs="Arial"/>
        </w:rPr>
        <w:t xml:space="preserve">both </w:t>
      </w:r>
      <w:r w:rsidR="009363C6">
        <w:rPr>
          <w:rFonts w:ascii="Arial" w:hAnsi="Arial" w:cs="Arial"/>
        </w:rPr>
        <w:t>the 500 kV system (California/Oregon Transmission Project)</w:t>
      </w:r>
      <w:r w:rsidR="0070254D">
        <w:rPr>
          <w:rFonts w:ascii="Arial" w:hAnsi="Arial" w:cs="Arial"/>
        </w:rPr>
        <w:t xml:space="preserve"> and </w:t>
      </w:r>
      <w:r w:rsidR="009363C6">
        <w:rPr>
          <w:rFonts w:ascii="Arial" w:hAnsi="Arial" w:cs="Arial"/>
        </w:rPr>
        <w:t>the 230 kV systems between Olinda, Cottonwood, O’Banion, Roseville and Elverta Substations as determined by their location between generation resources and load centers as w</w:t>
      </w:r>
      <w:r w:rsidR="006F6F20">
        <w:rPr>
          <w:rFonts w:ascii="Arial" w:hAnsi="Arial" w:cs="Arial"/>
        </w:rPr>
        <w:t xml:space="preserve">ell as being between </w:t>
      </w:r>
      <w:r w:rsidR="009363C6">
        <w:rPr>
          <w:rFonts w:ascii="Arial" w:hAnsi="Arial" w:cs="Arial"/>
        </w:rPr>
        <w:t>sub-regional generation resources such as Northern California hydro and San Francisco Bay Area thermal generation.</w:t>
      </w:r>
    </w:p>
    <w:p w:rsidR="00E55D3D" w:rsidRDefault="00E55D3D" w:rsidP="0070254D">
      <w:pPr>
        <w:pStyle w:val="BodyText2"/>
        <w:widowControl/>
        <w:ind w:left="0"/>
        <w:jc w:val="left"/>
        <w:rPr>
          <w:rFonts w:ascii="Arial" w:hAnsi="Arial" w:cs="Arial"/>
        </w:rPr>
      </w:pPr>
    </w:p>
    <w:p w:rsidR="008E0557" w:rsidRDefault="008E0557" w:rsidP="008E0557">
      <w:pPr>
        <w:pStyle w:val="BodyText2"/>
        <w:widowControl/>
        <w:jc w:val="left"/>
        <w:rPr>
          <w:rFonts w:ascii="Arial" w:hAnsi="Arial" w:cs="Arial"/>
        </w:rPr>
      </w:pPr>
    </w:p>
    <w:tbl>
      <w:tblPr>
        <w:tblW w:w="0" w:type="auto"/>
        <w:tblLayout w:type="fixed"/>
        <w:tblLook w:val="0000"/>
      </w:tblPr>
      <w:tblGrid>
        <w:gridCol w:w="9576"/>
      </w:tblGrid>
      <w:tr w:rsidR="00261A45" w:rsidTr="00A47CDC">
        <w:tc>
          <w:tcPr>
            <w:tcW w:w="9576" w:type="dxa"/>
            <w:shd w:val="clear" w:color="auto" w:fill="000000"/>
          </w:tcPr>
          <w:p w:rsidR="00261A45" w:rsidRDefault="00261A45" w:rsidP="00A47CDC">
            <w:pPr>
              <w:pStyle w:val="Heading1"/>
              <w:widowControl/>
              <w:numPr>
                <w:ilvl w:val="12"/>
                <w:numId w:val="0"/>
              </w:numPr>
              <w:rPr>
                <w:rFonts w:ascii="Arial" w:hAnsi="Arial" w:cs="Arial"/>
              </w:rPr>
            </w:pPr>
            <w:r>
              <w:rPr>
                <w:rFonts w:ascii="Arial" w:hAnsi="Arial" w:cs="Arial"/>
              </w:rPr>
              <w:br w:type="page"/>
            </w:r>
            <w:bookmarkStart w:id="43" w:name="_Toc244589877"/>
            <w:r>
              <w:rPr>
                <w:rFonts w:ascii="Arial" w:hAnsi="Arial" w:cs="Arial"/>
              </w:rPr>
              <w:t>System Assessment</w:t>
            </w:r>
            <w:bookmarkEnd w:id="43"/>
          </w:p>
        </w:tc>
      </w:tr>
    </w:tbl>
    <w:p w:rsidR="00261A45" w:rsidRDefault="00261A45" w:rsidP="00261A45">
      <w:pPr>
        <w:rPr>
          <w:rFonts w:ascii="Arial" w:hAnsi="Arial" w:cs="Arial"/>
          <w:sz w:val="24"/>
        </w:rPr>
      </w:pPr>
    </w:p>
    <w:p w:rsidR="001B7359" w:rsidRDefault="006D0F96" w:rsidP="00A72E2C">
      <w:pPr>
        <w:jc w:val="both"/>
        <w:rPr>
          <w:rFonts w:ascii="Arial" w:hAnsi="Arial" w:cs="Arial"/>
          <w:bCs/>
          <w:sz w:val="24"/>
          <w:szCs w:val="24"/>
        </w:rPr>
      </w:pPr>
      <w:r w:rsidRPr="00465AD6">
        <w:rPr>
          <w:rFonts w:ascii="Arial" w:hAnsi="Arial" w:cs="Arial"/>
          <w:bCs/>
          <w:sz w:val="24"/>
          <w:szCs w:val="24"/>
        </w:rPr>
        <w:t xml:space="preserve">The annual transmission assessment (near-term and long-term) begins with establishing study assumptions.  The primary study assumptions are included in power flow base cases that are routinely developed through Pacific Gas &amp; Electric Company (PG&amp;E), the California Independent System (ISO) and the Western Electricity Coordinating Council (WECC).  Power flow base cases included in the annual assessment, spanning the next ten years, cover various seasonal load levels and include projected firm transfers and existing and planned facilities.  </w:t>
      </w:r>
      <w:r w:rsidR="00CD1F81">
        <w:rPr>
          <w:rFonts w:ascii="Arial" w:hAnsi="Arial" w:cs="Arial"/>
          <w:bCs/>
          <w:sz w:val="24"/>
          <w:szCs w:val="24"/>
        </w:rPr>
        <w:t xml:space="preserve">Based on previous analysis it is clear that any potential system problems would occur and be seen under summer peak load conditions.  To assure capturing any potential reliability problems under other system conditions, summer off-peak and winter peak load conditions were also analyzed.  These seasonal periods capture both high and low load conditions, high and local area and regional generation levels, bi-directional power flow over the 500 kV system running through Northern California as well as a different load pattern associated with winter and the use of electric area heating.  </w:t>
      </w:r>
      <w:r w:rsidRPr="00465AD6">
        <w:rPr>
          <w:rFonts w:ascii="Arial" w:hAnsi="Arial" w:cs="Arial"/>
          <w:bCs/>
          <w:sz w:val="24"/>
          <w:szCs w:val="24"/>
        </w:rPr>
        <w:t xml:space="preserve">The base cases are well coordinated in advance with input/comment and review for accuracy from adjacent utilities and balancing authorities, power producers and market participants. A similar approach is used for the development of data used for short-term seasonal operational studies such as those studies performed within the Sacramento Valley Study Group (SVSG).  </w:t>
      </w:r>
      <w:r w:rsidR="00CB2137">
        <w:rPr>
          <w:rFonts w:ascii="Arial" w:hAnsi="Arial" w:cs="Arial"/>
          <w:bCs/>
          <w:sz w:val="24"/>
          <w:szCs w:val="24"/>
        </w:rPr>
        <w:t xml:space="preserve">Through a combination of the annual transmission assessment and short-term operational studies, reliability of the WASN transmission system is maintained.  </w:t>
      </w:r>
      <w:r w:rsidRPr="00465AD6">
        <w:rPr>
          <w:rFonts w:ascii="Arial" w:hAnsi="Arial" w:cs="Arial"/>
          <w:sz w:val="24"/>
          <w:szCs w:val="24"/>
        </w:rPr>
        <w:lastRenderedPageBreak/>
        <w:t xml:space="preserve">The annual assessment includes evaluating steady-state thermal facility loadings, voltages, post-transient reactive margin and dynamic stability.  </w:t>
      </w:r>
      <w:r w:rsidRPr="00465AD6">
        <w:rPr>
          <w:rFonts w:ascii="Arial" w:hAnsi="Arial" w:cs="Arial"/>
          <w:bCs/>
          <w:sz w:val="24"/>
          <w:szCs w:val="24"/>
        </w:rPr>
        <w:t>Assessment results are compared with previous years study results which include the expected impact of planned transmission reinforcement projects.  If necessary, additional analysis is performed to validate any unexpected study results.  As required to mitigate any reliability problems discovered, proposed measures are identified with their required operational date.  The lead tim</w:t>
      </w:r>
      <w:r w:rsidR="00CB2137">
        <w:rPr>
          <w:rFonts w:ascii="Arial" w:hAnsi="Arial" w:cs="Arial"/>
          <w:bCs/>
          <w:sz w:val="24"/>
          <w:szCs w:val="24"/>
        </w:rPr>
        <w:t>e required to implement mitigation</w:t>
      </w:r>
      <w:r w:rsidRPr="00465AD6">
        <w:rPr>
          <w:rFonts w:ascii="Arial" w:hAnsi="Arial" w:cs="Arial"/>
          <w:bCs/>
          <w:sz w:val="24"/>
          <w:szCs w:val="24"/>
        </w:rPr>
        <w:t xml:space="preserve"> measures are considered and sufficient lead time established to meet the required operational date.  The annual assessment is documented in a study plan and annual report.</w:t>
      </w:r>
    </w:p>
    <w:p w:rsidR="008D02CD" w:rsidRDefault="008D02CD" w:rsidP="00261A45">
      <w:pPr>
        <w:rPr>
          <w:rFonts w:ascii="Arial" w:hAnsi="Arial" w:cs="Arial"/>
          <w:bCs/>
          <w:sz w:val="24"/>
          <w:szCs w:val="24"/>
        </w:rPr>
      </w:pPr>
    </w:p>
    <w:p w:rsidR="008D02CD" w:rsidRDefault="008D02CD" w:rsidP="00A72E2C">
      <w:pPr>
        <w:jc w:val="both"/>
        <w:rPr>
          <w:rFonts w:ascii="Arial" w:hAnsi="Arial" w:cs="Arial"/>
          <w:bCs/>
          <w:sz w:val="24"/>
          <w:szCs w:val="24"/>
        </w:rPr>
      </w:pPr>
      <w:r>
        <w:rPr>
          <w:rFonts w:ascii="Arial" w:hAnsi="Arial" w:cs="Arial"/>
          <w:bCs/>
          <w:sz w:val="24"/>
          <w:szCs w:val="24"/>
        </w:rPr>
        <w:t>There were no reliability problem</w:t>
      </w:r>
      <w:r w:rsidR="00DB21A3">
        <w:rPr>
          <w:rFonts w:ascii="Arial" w:hAnsi="Arial" w:cs="Arial"/>
          <w:bCs/>
          <w:sz w:val="24"/>
          <w:szCs w:val="24"/>
        </w:rPr>
        <w:t>s</w:t>
      </w:r>
      <w:r>
        <w:rPr>
          <w:rFonts w:ascii="Arial" w:hAnsi="Arial" w:cs="Arial"/>
          <w:bCs/>
          <w:sz w:val="24"/>
          <w:szCs w:val="24"/>
        </w:rPr>
        <w:t xml:space="preserve"> identified associated with NERC Planning Standard TPL-001(System Performance Under Nor</w:t>
      </w:r>
      <w:r w:rsidR="00DB21A3">
        <w:rPr>
          <w:rFonts w:ascii="Arial" w:hAnsi="Arial" w:cs="Arial"/>
          <w:bCs/>
          <w:sz w:val="24"/>
          <w:szCs w:val="24"/>
        </w:rPr>
        <w:t>mal Conditions)</w:t>
      </w:r>
      <w:r>
        <w:rPr>
          <w:rFonts w:ascii="Arial" w:hAnsi="Arial" w:cs="Arial"/>
          <w:bCs/>
          <w:sz w:val="24"/>
          <w:szCs w:val="24"/>
        </w:rPr>
        <w:t>.</w:t>
      </w:r>
    </w:p>
    <w:p w:rsidR="00D4621E" w:rsidRDefault="00D4621E" w:rsidP="00261A45">
      <w:pPr>
        <w:rPr>
          <w:rFonts w:ascii="Arial" w:hAnsi="Arial" w:cs="Arial"/>
          <w:bCs/>
          <w:sz w:val="24"/>
          <w:szCs w:val="24"/>
        </w:rPr>
      </w:pPr>
    </w:p>
    <w:p w:rsidR="00E3027E" w:rsidRDefault="004B2B7E" w:rsidP="00E3027E">
      <w:pPr>
        <w:jc w:val="both"/>
        <w:rPr>
          <w:rFonts w:ascii="Arial" w:hAnsi="Arial" w:cs="Arial"/>
          <w:sz w:val="24"/>
          <w:szCs w:val="24"/>
        </w:rPr>
      </w:pPr>
      <w:r>
        <w:rPr>
          <w:rFonts w:ascii="Arial" w:hAnsi="Arial" w:cs="Arial"/>
          <w:bCs/>
          <w:sz w:val="24"/>
          <w:szCs w:val="24"/>
        </w:rPr>
        <w:t>Studies show that the t</w:t>
      </w:r>
      <w:r w:rsidR="00E3027E" w:rsidRPr="00403FD9">
        <w:rPr>
          <w:rFonts w:ascii="Arial" w:hAnsi="Arial" w:cs="Arial"/>
          <w:sz w:val="24"/>
          <w:szCs w:val="24"/>
        </w:rPr>
        <w:t xml:space="preserve">hermal loading and Sacramento Area import capability continue to be increased with the Sacramento Voltage Support (SVS) Project (new 230 kV lines from O’Banion Substation to Elverta and Natomas Substations) in operation.  Without the project, reliance on dropping the Sutter Power Plant for certain outages will continue to increase.  Presently, the plant must be dropped immediately upon an outage of only one of the O’Banion-Elverta 230 kV lines.  </w:t>
      </w:r>
      <w:r w:rsidR="00E3027E">
        <w:rPr>
          <w:rFonts w:ascii="Arial" w:hAnsi="Arial" w:cs="Arial"/>
          <w:sz w:val="24"/>
          <w:szCs w:val="24"/>
        </w:rPr>
        <w:t>In future years, the transmission system to import power into the Sacramento Area will be thermally insufficient without the two new transmission lines that form the SVS Project.  In addition, maintaining reliable and sufficient import capability is dependent on the Sacramento Munic</w:t>
      </w:r>
      <w:r>
        <w:rPr>
          <w:rFonts w:ascii="Arial" w:hAnsi="Arial" w:cs="Arial"/>
          <w:sz w:val="24"/>
          <w:szCs w:val="24"/>
        </w:rPr>
        <w:t xml:space="preserve">ipal Utility District’s (SMUD) </w:t>
      </w:r>
      <w:r w:rsidR="00E3027E">
        <w:rPr>
          <w:rFonts w:ascii="Arial" w:hAnsi="Arial" w:cs="Arial"/>
          <w:sz w:val="24"/>
          <w:szCs w:val="24"/>
        </w:rPr>
        <w:t xml:space="preserve">continuing effort to install reactive voltage support as their load grows.  This project is identified with meeting NERC Planning </w:t>
      </w:r>
      <w:r>
        <w:rPr>
          <w:rFonts w:ascii="Arial" w:hAnsi="Arial" w:cs="Arial"/>
          <w:sz w:val="24"/>
          <w:szCs w:val="24"/>
        </w:rPr>
        <w:t>Standards TPL-002 and TPL-003.</w:t>
      </w:r>
    </w:p>
    <w:p w:rsidR="00E3027E" w:rsidRDefault="00E3027E" w:rsidP="00261A45">
      <w:pPr>
        <w:rPr>
          <w:rFonts w:ascii="Arial" w:hAnsi="Arial" w:cs="Arial"/>
          <w:bCs/>
          <w:sz w:val="24"/>
          <w:szCs w:val="24"/>
        </w:rPr>
      </w:pPr>
    </w:p>
    <w:p w:rsidR="00E3027E" w:rsidRDefault="00E3027E" w:rsidP="00E3027E">
      <w:pPr>
        <w:jc w:val="both"/>
        <w:rPr>
          <w:rFonts w:ascii="Arial" w:hAnsi="Arial" w:cs="Arial"/>
          <w:bCs/>
          <w:sz w:val="24"/>
          <w:szCs w:val="24"/>
        </w:rPr>
      </w:pPr>
      <w:r>
        <w:rPr>
          <w:rFonts w:ascii="Arial" w:hAnsi="Arial" w:cs="Arial"/>
          <w:bCs/>
          <w:sz w:val="24"/>
          <w:szCs w:val="24"/>
        </w:rPr>
        <w:t>The only potential problem not resolved with a potential mitigation plan and is identified with NERC Planning Standard TPL-002</w:t>
      </w:r>
      <w:r w:rsidR="008D4899">
        <w:rPr>
          <w:rFonts w:ascii="Arial" w:hAnsi="Arial" w:cs="Arial"/>
          <w:bCs/>
          <w:sz w:val="24"/>
          <w:szCs w:val="24"/>
        </w:rPr>
        <w:t xml:space="preserve"> </w:t>
      </w:r>
      <w:r>
        <w:rPr>
          <w:rFonts w:ascii="Arial" w:hAnsi="Arial" w:cs="Arial"/>
          <w:bCs/>
          <w:sz w:val="24"/>
          <w:szCs w:val="24"/>
        </w:rPr>
        <w:t>(System Performance Following Loss of a Single Bulk Electric System (BES) Element) was that upon an outage of the O’Banion-Natomas 230 kV line, the Natomas-Hurley 230 kV line may load 4% above its emergency rating.  The line in question is owned by the Sacramento Municipal Utility District (SMUD) and will be resolved by them</w:t>
      </w:r>
      <w:r w:rsidR="008D4899">
        <w:rPr>
          <w:rFonts w:ascii="Arial" w:hAnsi="Arial" w:cs="Arial"/>
          <w:bCs/>
          <w:sz w:val="24"/>
          <w:szCs w:val="24"/>
        </w:rPr>
        <w:t xml:space="preserve"> within their more thorough annual investigation of their transmission system.</w:t>
      </w:r>
    </w:p>
    <w:p w:rsidR="00E3027E" w:rsidRDefault="00E3027E" w:rsidP="00261A45">
      <w:pPr>
        <w:rPr>
          <w:rFonts w:ascii="Arial" w:hAnsi="Arial" w:cs="Arial"/>
          <w:bCs/>
          <w:sz w:val="24"/>
          <w:szCs w:val="24"/>
        </w:rPr>
      </w:pPr>
    </w:p>
    <w:p w:rsidR="00D4621E" w:rsidRDefault="00D4621E" w:rsidP="00A72E2C">
      <w:pPr>
        <w:jc w:val="both"/>
        <w:rPr>
          <w:rFonts w:ascii="Arial" w:hAnsi="Arial" w:cs="Arial"/>
          <w:bCs/>
          <w:sz w:val="24"/>
          <w:szCs w:val="24"/>
        </w:rPr>
      </w:pPr>
      <w:r>
        <w:rPr>
          <w:rFonts w:ascii="Arial" w:hAnsi="Arial" w:cs="Arial"/>
          <w:bCs/>
          <w:sz w:val="24"/>
          <w:szCs w:val="24"/>
        </w:rPr>
        <w:t>An outage of both the Shasta-Cottonwood 230 kV lines can cause the Shasta-Flanagan and Flanagan--Keswick 230 kV lines to exceed their emergency ratings.  To date, reduction of the loading on these lines has been accomplished through an operating procedure</w:t>
      </w:r>
      <w:r w:rsidR="00666800">
        <w:rPr>
          <w:rFonts w:ascii="Arial" w:hAnsi="Arial" w:cs="Arial"/>
          <w:bCs/>
          <w:sz w:val="24"/>
          <w:szCs w:val="24"/>
        </w:rPr>
        <w:t xml:space="preserve"> and was not a reliability problem due to the past configuration of the Shasta 230 kV bus where this double line outage was not connected to all of the Shasta units</w:t>
      </w:r>
      <w:r>
        <w:rPr>
          <w:rFonts w:ascii="Arial" w:hAnsi="Arial" w:cs="Arial"/>
          <w:bCs/>
          <w:sz w:val="24"/>
          <w:szCs w:val="24"/>
        </w:rPr>
        <w:t xml:space="preserve">.  </w:t>
      </w:r>
      <w:r w:rsidR="00666800">
        <w:rPr>
          <w:rFonts w:ascii="Arial" w:hAnsi="Arial" w:cs="Arial"/>
          <w:bCs/>
          <w:sz w:val="24"/>
          <w:szCs w:val="24"/>
        </w:rPr>
        <w:t xml:space="preserve">In 2009, the Shasta 230 kV bus was re-configured into one bus and therefore with an outage of both lines to Cottonwood, Shasta generation can be too high for the remaining transmission out of Shasta.  </w:t>
      </w:r>
      <w:r>
        <w:rPr>
          <w:rFonts w:ascii="Arial" w:hAnsi="Arial" w:cs="Arial"/>
          <w:bCs/>
          <w:sz w:val="24"/>
          <w:szCs w:val="24"/>
        </w:rPr>
        <w:t xml:space="preserve">An actual outage of both of these lines has not occurred in the past, but to guard against the overload condition, it is recommended that a Special Protection System (SPS) be put in place to more quickly reduce Shasta Power plant generation and therefore reduce the line loadings to below their emergency ratings when the operating procedure can be used to further reduce the line loadings to below their continuous normal ratings.  It is projected that a SPS can be in operation by </w:t>
      </w:r>
      <w:r>
        <w:rPr>
          <w:rFonts w:ascii="Arial" w:hAnsi="Arial" w:cs="Arial"/>
          <w:bCs/>
          <w:sz w:val="24"/>
          <w:szCs w:val="24"/>
        </w:rPr>
        <w:lastRenderedPageBreak/>
        <w:t>Spring 2010.</w:t>
      </w:r>
    </w:p>
    <w:p w:rsidR="005F3CFD" w:rsidRDefault="005F3CFD" w:rsidP="00261A45">
      <w:pPr>
        <w:rPr>
          <w:rFonts w:ascii="Arial" w:hAnsi="Arial" w:cs="Arial"/>
          <w:bCs/>
          <w:sz w:val="24"/>
          <w:szCs w:val="24"/>
        </w:rPr>
      </w:pPr>
    </w:p>
    <w:p w:rsidR="005F3CFD" w:rsidRPr="00417BEB" w:rsidRDefault="005F3CFD" w:rsidP="00A72E2C">
      <w:pPr>
        <w:jc w:val="both"/>
        <w:rPr>
          <w:rFonts w:ascii="Arial" w:hAnsi="Arial" w:cs="Arial"/>
          <w:sz w:val="24"/>
          <w:szCs w:val="24"/>
        </w:rPr>
      </w:pPr>
      <w:r w:rsidRPr="00417BEB">
        <w:rPr>
          <w:rFonts w:ascii="Arial" w:hAnsi="Arial" w:cs="Arial"/>
          <w:sz w:val="24"/>
          <w:szCs w:val="24"/>
        </w:rPr>
        <w:t>Using a 2015 peak summer base case developed for another study and including future planned voltage support within the SMUD Area, an outage of both RanchoSeco-Bellota 230 kV lines</w:t>
      </w:r>
      <w:r w:rsidR="00585587">
        <w:rPr>
          <w:rFonts w:ascii="Arial" w:hAnsi="Arial" w:cs="Arial"/>
          <w:sz w:val="24"/>
          <w:szCs w:val="24"/>
        </w:rPr>
        <w:t xml:space="preserve"> </w:t>
      </w:r>
      <w:r w:rsidRPr="00417BEB">
        <w:rPr>
          <w:rFonts w:ascii="Arial" w:hAnsi="Arial" w:cs="Arial"/>
          <w:sz w:val="24"/>
          <w:szCs w:val="24"/>
        </w:rPr>
        <w:t>in combination with the Sutter Power Plant off-line will cause</w:t>
      </w:r>
      <w:r w:rsidR="00585587">
        <w:rPr>
          <w:rFonts w:ascii="Arial" w:hAnsi="Arial" w:cs="Arial"/>
          <w:sz w:val="24"/>
          <w:szCs w:val="24"/>
        </w:rPr>
        <w:t xml:space="preserve"> the Tracy-Hurley 230 kV lines </w:t>
      </w:r>
      <w:r w:rsidRPr="00417BEB">
        <w:rPr>
          <w:rFonts w:ascii="Arial" w:hAnsi="Arial" w:cs="Arial"/>
          <w:sz w:val="24"/>
          <w:szCs w:val="24"/>
        </w:rPr>
        <w:t xml:space="preserve"># 1and #2 to load to </w:t>
      </w:r>
      <w:r>
        <w:rPr>
          <w:rFonts w:ascii="Arial" w:hAnsi="Arial" w:cs="Arial"/>
          <w:sz w:val="24"/>
          <w:szCs w:val="24"/>
        </w:rPr>
        <w:t>~98% and ~100%</w:t>
      </w:r>
      <w:r w:rsidRPr="00417BEB">
        <w:rPr>
          <w:rFonts w:ascii="Arial" w:hAnsi="Arial" w:cs="Arial"/>
          <w:sz w:val="24"/>
          <w:szCs w:val="24"/>
        </w:rPr>
        <w:t xml:space="preserve"> respectively of their emergency ratings</w:t>
      </w:r>
      <w:r w:rsidR="00585587">
        <w:rPr>
          <w:rFonts w:ascii="Arial" w:hAnsi="Arial" w:cs="Arial"/>
          <w:sz w:val="24"/>
          <w:szCs w:val="24"/>
        </w:rPr>
        <w:t xml:space="preserve">. </w:t>
      </w:r>
      <w:r w:rsidRPr="00417BEB">
        <w:rPr>
          <w:rFonts w:ascii="Arial" w:hAnsi="Arial" w:cs="Arial"/>
          <w:sz w:val="24"/>
          <w:szCs w:val="24"/>
        </w:rPr>
        <w:t>This limiting contingency is consistent with Sacramento Area operation as outlined each year by the Sacramento Valley Study Group (SVSG).  This group produces an annual assessment defining operating limits and reliable load serving capability for the Sacramento Municipal Utility District and City of Roseville service areas.</w:t>
      </w:r>
      <w:r>
        <w:rPr>
          <w:rFonts w:ascii="Arial" w:hAnsi="Arial" w:cs="Arial"/>
          <w:sz w:val="24"/>
          <w:szCs w:val="24"/>
        </w:rPr>
        <w:t xml:space="preserve">  Based on this information, a project to mitigate the potential overloading </w:t>
      </w:r>
      <w:r w:rsidR="00043E18">
        <w:rPr>
          <w:rFonts w:ascii="Arial" w:hAnsi="Arial" w:cs="Arial"/>
          <w:sz w:val="24"/>
          <w:szCs w:val="24"/>
        </w:rPr>
        <w:t>May</w:t>
      </w:r>
      <w:r w:rsidR="00585587">
        <w:rPr>
          <w:rFonts w:ascii="Arial" w:hAnsi="Arial" w:cs="Arial"/>
          <w:sz w:val="24"/>
          <w:szCs w:val="24"/>
        </w:rPr>
        <w:t xml:space="preserve"> need</w:t>
      </w:r>
      <w:r>
        <w:rPr>
          <w:rFonts w:ascii="Arial" w:hAnsi="Arial" w:cs="Arial"/>
          <w:sz w:val="24"/>
          <w:szCs w:val="24"/>
        </w:rPr>
        <w:t xml:space="preserve"> to be in place prior to 2015 summer.  </w:t>
      </w:r>
      <w:r w:rsidR="00F07C60">
        <w:rPr>
          <w:rFonts w:ascii="Arial" w:hAnsi="Arial" w:cs="Arial"/>
          <w:sz w:val="24"/>
          <w:szCs w:val="24"/>
        </w:rPr>
        <w:t xml:space="preserve">Alternatives can be to continue to use a nomogram for Sacramento area load, generation in that area and imported power and therefore, as required and allowed by NERC Planning Standard TPL-003, reduce or drop load in the Sacramento area upon an outage of both Rancho Seco-Bellota 230 kV lines or </w:t>
      </w:r>
      <w:r>
        <w:rPr>
          <w:rFonts w:ascii="Arial" w:hAnsi="Arial" w:cs="Arial"/>
          <w:sz w:val="24"/>
          <w:szCs w:val="24"/>
        </w:rPr>
        <w:t>reconductor the lines with a larger ampacity conductor.</w:t>
      </w:r>
    </w:p>
    <w:p w:rsidR="0065464C" w:rsidRDefault="0065464C" w:rsidP="00261A45">
      <w:pPr>
        <w:rPr>
          <w:rFonts w:ascii="Arial" w:hAnsi="Arial" w:cs="Arial"/>
          <w:bCs/>
          <w:sz w:val="24"/>
          <w:szCs w:val="24"/>
        </w:rPr>
      </w:pPr>
    </w:p>
    <w:p w:rsidR="0065464C" w:rsidRDefault="0065464C" w:rsidP="00A72E2C">
      <w:pPr>
        <w:jc w:val="both"/>
        <w:rPr>
          <w:rFonts w:ascii="Arial" w:hAnsi="Arial" w:cs="Arial"/>
          <w:bCs/>
          <w:sz w:val="24"/>
          <w:szCs w:val="24"/>
        </w:rPr>
      </w:pPr>
      <w:r>
        <w:rPr>
          <w:rFonts w:ascii="Arial" w:hAnsi="Arial" w:cs="Arial"/>
          <w:bCs/>
          <w:sz w:val="24"/>
          <w:szCs w:val="24"/>
        </w:rPr>
        <w:t xml:space="preserve">There is a contingency associated with NERC Planning Standard TPL-004 that will lead to </w:t>
      </w:r>
      <w:r w:rsidR="00216DE3">
        <w:rPr>
          <w:rFonts w:ascii="Arial" w:hAnsi="Arial" w:cs="Arial"/>
          <w:bCs/>
          <w:sz w:val="24"/>
          <w:szCs w:val="24"/>
        </w:rPr>
        <w:t>over</w:t>
      </w:r>
      <w:r>
        <w:rPr>
          <w:rFonts w:ascii="Arial" w:hAnsi="Arial" w:cs="Arial"/>
          <w:bCs/>
          <w:sz w:val="24"/>
          <w:szCs w:val="24"/>
        </w:rPr>
        <w:t xml:space="preserve">loading several 115 kV lines connected to the Keswick Substation as well as the Keswick 230/115 kV transformer banks.  This contingency includes the loss of </w:t>
      </w:r>
      <w:r w:rsidR="00666FAB">
        <w:rPr>
          <w:rFonts w:ascii="Arial" w:hAnsi="Arial" w:cs="Arial"/>
          <w:bCs/>
          <w:sz w:val="24"/>
          <w:szCs w:val="24"/>
        </w:rPr>
        <w:t>four 230 kV lines out of the Keswick Substation.  There has been an operating procedure in place that outlines the reduction in hydro generation connected to Keswick and therefore prevention of exceeding the emergency ratings of any of these lines.</w:t>
      </w:r>
    </w:p>
    <w:p w:rsidR="000804D2" w:rsidRDefault="000804D2" w:rsidP="00F3673F">
      <w:pPr>
        <w:rPr>
          <w:rFonts w:ascii="Arial" w:hAnsi="Arial" w:cs="Arial"/>
          <w:sz w:val="24"/>
          <w:szCs w:val="24"/>
        </w:rPr>
      </w:pPr>
    </w:p>
    <w:p w:rsidR="000804D2" w:rsidRDefault="000804D2" w:rsidP="00A72E2C">
      <w:pPr>
        <w:jc w:val="both"/>
        <w:rPr>
          <w:rFonts w:ascii="Arial" w:hAnsi="Arial" w:cs="Arial"/>
          <w:sz w:val="24"/>
          <w:szCs w:val="24"/>
        </w:rPr>
      </w:pPr>
      <w:r>
        <w:rPr>
          <w:rFonts w:ascii="Arial" w:hAnsi="Arial" w:cs="Arial"/>
          <w:sz w:val="24"/>
          <w:szCs w:val="24"/>
        </w:rPr>
        <w:t>All dynamic stability simulations were stable and damped.  All post-transient simulations showed margin beyond the operation point and included increasing load by 5% and 2.5% for single and multiple contingencies.</w:t>
      </w:r>
    </w:p>
    <w:p w:rsidR="002A49F3" w:rsidRDefault="002A49F3" w:rsidP="00F3673F">
      <w:pPr>
        <w:rPr>
          <w:rFonts w:ascii="Arial" w:hAnsi="Arial" w:cs="Arial"/>
          <w:sz w:val="24"/>
          <w:szCs w:val="24"/>
        </w:rPr>
      </w:pPr>
    </w:p>
    <w:p w:rsidR="002A49F3" w:rsidRPr="00403FD9" w:rsidRDefault="002A49F3" w:rsidP="00A72E2C">
      <w:pPr>
        <w:jc w:val="both"/>
        <w:rPr>
          <w:rFonts w:ascii="Arial" w:hAnsi="Arial" w:cs="Arial"/>
          <w:sz w:val="24"/>
          <w:szCs w:val="24"/>
        </w:rPr>
      </w:pPr>
      <w:r>
        <w:rPr>
          <w:rFonts w:ascii="Arial" w:hAnsi="Arial" w:cs="Arial"/>
          <w:sz w:val="24"/>
          <w:szCs w:val="24"/>
        </w:rPr>
        <w:t>In addition to the various plots included in the attachments to this report, additional plots are available upon request, for example, thermal loading results from the analysis of 2014 off-peak summer and 2014-25 peak winter conditions</w:t>
      </w:r>
      <w:r w:rsidR="00013CD1">
        <w:rPr>
          <w:rFonts w:ascii="Arial" w:hAnsi="Arial" w:cs="Arial"/>
          <w:sz w:val="24"/>
          <w:szCs w:val="24"/>
        </w:rPr>
        <w:t xml:space="preserve"> as well as some analysis of single-phase to ground faults to assure that these contingencies continue to be less severe than 3-phase faults.</w:t>
      </w:r>
    </w:p>
    <w:p w:rsidR="006D0F96" w:rsidRPr="00465AD6" w:rsidRDefault="006D0F96" w:rsidP="00261A45">
      <w:pPr>
        <w:rPr>
          <w:rFonts w:ascii="Arial" w:hAnsi="Arial" w:cs="Arial"/>
          <w:sz w:val="24"/>
        </w:rPr>
      </w:pPr>
    </w:p>
    <w:p w:rsidR="006A7CC2" w:rsidRDefault="006A7CC2" w:rsidP="00E254B5">
      <w:pPr>
        <w:pStyle w:val="Heading2"/>
        <w:numPr>
          <w:ilvl w:val="0"/>
          <w:numId w:val="34"/>
        </w:numPr>
        <w:tabs>
          <w:tab w:val="left" w:pos="720"/>
        </w:tabs>
        <w:ind w:left="720" w:hanging="720"/>
        <w:rPr>
          <w:rFonts w:ascii="Arial" w:hAnsi="Arial" w:cs="Arial"/>
        </w:rPr>
      </w:pPr>
      <w:bookmarkStart w:id="44" w:name="_Toc244589878"/>
      <w:r>
        <w:rPr>
          <w:rFonts w:ascii="Arial" w:hAnsi="Arial" w:cs="Arial"/>
        </w:rPr>
        <w:t>Category A (NERC Planning Standard TPL</w:t>
      </w:r>
      <w:r w:rsidR="00054A3B">
        <w:rPr>
          <w:rFonts w:ascii="Arial" w:hAnsi="Arial" w:cs="Arial"/>
        </w:rPr>
        <w:t xml:space="preserve"> </w:t>
      </w:r>
      <w:r>
        <w:rPr>
          <w:rFonts w:ascii="Arial" w:hAnsi="Arial" w:cs="Arial"/>
        </w:rPr>
        <w:t>-</w:t>
      </w:r>
      <w:r w:rsidR="00054A3B">
        <w:rPr>
          <w:rFonts w:ascii="Arial" w:hAnsi="Arial" w:cs="Arial"/>
        </w:rPr>
        <w:t xml:space="preserve"> </w:t>
      </w:r>
      <w:r>
        <w:rPr>
          <w:rFonts w:ascii="Arial" w:hAnsi="Arial" w:cs="Arial"/>
        </w:rPr>
        <w:t>001):  All Facilities in Service, (N-0)</w:t>
      </w:r>
      <w:bookmarkEnd w:id="44"/>
    </w:p>
    <w:p w:rsidR="00837B42" w:rsidRDefault="00837B42" w:rsidP="00837B42"/>
    <w:p w:rsidR="00086B08" w:rsidRPr="00465AD6" w:rsidRDefault="00086B08" w:rsidP="00A72E2C">
      <w:pPr>
        <w:jc w:val="both"/>
        <w:rPr>
          <w:rFonts w:ascii="Arial" w:hAnsi="Arial" w:cs="Arial"/>
          <w:sz w:val="24"/>
          <w:szCs w:val="24"/>
        </w:rPr>
      </w:pPr>
      <w:r w:rsidRPr="00465AD6">
        <w:rPr>
          <w:rFonts w:ascii="Arial" w:hAnsi="Arial" w:cs="Arial"/>
          <w:bCs/>
          <w:sz w:val="24"/>
          <w:szCs w:val="24"/>
        </w:rPr>
        <w:t>WASN’s transmission system</w:t>
      </w:r>
      <w:r w:rsidRPr="00465AD6">
        <w:rPr>
          <w:rFonts w:ascii="Arial" w:hAnsi="Arial" w:cs="Arial"/>
          <w:b/>
          <w:bCs/>
          <w:color w:val="264D74"/>
          <w:sz w:val="24"/>
          <w:szCs w:val="24"/>
        </w:rPr>
        <w:t xml:space="preserve"> </w:t>
      </w:r>
      <w:r w:rsidRPr="00465AD6">
        <w:rPr>
          <w:rFonts w:ascii="Arial" w:hAnsi="Arial" w:cs="Arial"/>
          <w:bCs/>
          <w:sz w:val="24"/>
          <w:szCs w:val="24"/>
        </w:rPr>
        <w:t>has been</w:t>
      </w:r>
      <w:r w:rsidRPr="00465AD6">
        <w:rPr>
          <w:rFonts w:ascii="Arial" w:hAnsi="Arial" w:cs="Arial"/>
          <w:b/>
          <w:bCs/>
          <w:color w:val="264D74"/>
          <w:sz w:val="24"/>
          <w:szCs w:val="24"/>
        </w:rPr>
        <w:t xml:space="preserve"> </w:t>
      </w:r>
      <w:r w:rsidRPr="00465AD6">
        <w:rPr>
          <w:rFonts w:ascii="Arial" w:hAnsi="Arial" w:cs="Arial"/>
          <w:sz w:val="24"/>
          <w:szCs w:val="24"/>
        </w:rPr>
        <w:t>planned such that, with “All Transmission Facilities in Service” and with normal (pre-contingency) operating procedures in effect</w:t>
      </w:r>
      <w:r w:rsidR="00D67F0B">
        <w:rPr>
          <w:rFonts w:ascii="Arial" w:hAnsi="Arial" w:cs="Arial"/>
          <w:sz w:val="24"/>
          <w:szCs w:val="24"/>
        </w:rPr>
        <w:t xml:space="preserve"> (WASN OP50 &amp; 57)</w:t>
      </w:r>
      <w:r w:rsidRPr="00465AD6">
        <w:rPr>
          <w:rFonts w:ascii="Arial" w:hAnsi="Arial" w:cs="Arial"/>
          <w:sz w:val="24"/>
          <w:szCs w:val="24"/>
        </w:rPr>
        <w:t>, the Network can be operated to supply projected customer demands and projected Firm (non- recallable reserved) Transmission Services at all Demand levels over the range of forecast system demands, under the conditions defined in Category A of Table I within the TPL</w:t>
      </w:r>
      <w:r w:rsidR="00054A3B">
        <w:rPr>
          <w:rFonts w:ascii="Arial" w:hAnsi="Arial" w:cs="Arial"/>
          <w:sz w:val="24"/>
          <w:szCs w:val="24"/>
        </w:rPr>
        <w:t xml:space="preserve"> </w:t>
      </w:r>
      <w:r w:rsidRPr="00465AD6">
        <w:rPr>
          <w:rFonts w:ascii="Arial" w:hAnsi="Arial" w:cs="Arial"/>
          <w:sz w:val="24"/>
          <w:szCs w:val="24"/>
        </w:rPr>
        <w:t>-</w:t>
      </w:r>
      <w:r w:rsidR="00054A3B">
        <w:rPr>
          <w:rFonts w:ascii="Arial" w:hAnsi="Arial" w:cs="Arial"/>
          <w:sz w:val="24"/>
          <w:szCs w:val="24"/>
        </w:rPr>
        <w:t xml:space="preserve"> </w:t>
      </w:r>
      <w:r w:rsidRPr="00465AD6">
        <w:rPr>
          <w:rFonts w:ascii="Arial" w:hAnsi="Arial" w:cs="Arial"/>
          <w:sz w:val="24"/>
          <w:szCs w:val="24"/>
        </w:rPr>
        <w:t>001 NERC Planning Standard.</w:t>
      </w:r>
    </w:p>
    <w:p w:rsidR="00086B08" w:rsidRPr="00465AD6" w:rsidRDefault="00086B08" w:rsidP="00086B08">
      <w:pPr>
        <w:rPr>
          <w:rFonts w:ascii="Arial" w:hAnsi="Arial" w:cs="Arial"/>
          <w:sz w:val="24"/>
          <w:szCs w:val="24"/>
        </w:rPr>
      </w:pPr>
    </w:p>
    <w:p w:rsidR="00086B08" w:rsidRPr="00465AD6" w:rsidRDefault="00086B08" w:rsidP="00A72E2C">
      <w:pPr>
        <w:jc w:val="both"/>
        <w:rPr>
          <w:rFonts w:ascii="Arial" w:hAnsi="Arial" w:cs="Arial"/>
          <w:sz w:val="24"/>
          <w:szCs w:val="24"/>
        </w:rPr>
      </w:pPr>
      <w:r w:rsidRPr="00465AD6">
        <w:rPr>
          <w:rFonts w:ascii="Arial" w:hAnsi="Arial" w:cs="Arial"/>
          <w:sz w:val="24"/>
          <w:szCs w:val="24"/>
        </w:rPr>
        <w:t>As verification, the projected state of WASN’s transmission system related to TPL</w:t>
      </w:r>
      <w:r w:rsidR="00054A3B">
        <w:rPr>
          <w:rFonts w:ascii="Arial" w:hAnsi="Arial" w:cs="Arial"/>
          <w:sz w:val="24"/>
          <w:szCs w:val="24"/>
        </w:rPr>
        <w:t xml:space="preserve"> </w:t>
      </w:r>
      <w:r w:rsidRPr="00465AD6">
        <w:rPr>
          <w:rFonts w:ascii="Arial" w:hAnsi="Arial" w:cs="Arial"/>
          <w:sz w:val="24"/>
          <w:szCs w:val="24"/>
        </w:rPr>
        <w:t>-</w:t>
      </w:r>
      <w:r w:rsidR="00054A3B">
        <w:rPr>
          <w:rFonts w:ascii="Arial" w:hAnsi="Arial" w:cs="Arial"/>
          <w:sz w:val="24"/>
          <w:szCs w:val="24"/>
        </w:rPr>
        <w:t xml:space="preserve"> </w:t>
      </w:r>
      <w:r w:rsidRPr="00465AD6">
        <w:rPr>
          <w:rFonts w:ascii="Arial" w:hAnsi="Arial" w:cs="Arial"/>
          <w:sz w:val="24"/>
          <w:szCs w:val="24"/>
        </w:rPr>
        <w:t xml:space="preserve">001 </w:t>
      </w:r>
      <w:r w:rsidRPr="00465AD6">
        <w:rPr>
          <w:rFonts w:ascii="Arial" w:hAnsi="Arial" w:cs="Arial"/>
          <w:sz w:val="24"/>
          <w:szCs w:val="24"/>
        </w:rPr>
        <w:lastRenderedPageBreak/>
        <w:t xml:space="preserve">is shown by power flow, post-transient and dynamic stability plots included in Attachment 3 </w:t>
      </w:r>
      <w:r w:rsidR="00646D45" w:rsidRPr="00465AD6">
        <w:rPr>
          <w:rFonts w:ascii="Arial" w:hAnsi="Arial" w:cs="Arial"/>
          <w:sz w:val="24"/>
          <w:szCs w:val="24"/>
        </w:rPr>
        <w:t>of this report.</w:t>
      </w:r>
      <w:r w:rsidRPr="00465AD6">
        <w:rPr>
          <w:rFonts w:ascii="Arial" w:hAnsi="Arial" w:cs="Arial"/>
          <w:sz w:val="24"/>
          <w:szCs w:val="24"/>
        </w:rPr>
        <w:t xml:space="preserve">  For the power flow base cases listed in Table 1 within the section on Study Assumptions, no thermal or voltage problems associated with WASN transmission facilities were found.  The power flow plots</w:t>
      </w:r>
      <w:r w:rsidR="00CF1387">
        <w:rPr>
          <w:rFonts w:ascii="Arial" w:hAnsi="Arial" w:cs="Arial"/>
          <w:sz w:val="24"/>
          <w:szCs w:val="24"/>
        </w:rPr>
        <w:t xml:space="preserve"> (Attachment 3, Figures 3-1 thru 3-8)</w:t>
      </w:r>
      <w:r w:rsidRPr="00465AD6">
        <w:rPr>
          <w:rFonts w:ascii="Arial" w:hAnsi="Arial" w:cs="Arial"/>
          <w:sz w:val="24"/>
          <w:szCs w:val="24"/>
        </w:rPr>
        <w:t xml:space="preserve"> illustrate the MW flow and </w:t>
      </w:r>
      <w:r w:rsidR="006B2BCD">
        <w:rPr>
          <w:rFonts w:ascii="Arial" w:hAnsi="Arial" w:cs="Arial"/>
          <w:sz w:val="24"/>
          <w:szCs w:val="24"/>
        </w:rPr>
        <w:t>MVar</w:t>
      </w:r>
      <w:r w:rsidRPr="00465AD6">
        <w:rPr>
          <w:rFonts w:ascii="Arial" w:hAnsi="Arial" w:cs="Arial"/>
          <w:sz w:val="24"/>
          <w:szCs w:val="24"/>
        </w:rPr>
        <w:t xml:space="preserve"> on WASN transmission facilities as well as bus voltages that are within acceptable limits.  The post-transient plots</w:t>
      </w:r>
      <w:r w:rsidR="00CF1387">
        <w:rPr>
          <w:rFonts w:ascii="Arial" w:hAnsi="Arial" w:cs="Arial"/>
          <w:sz w:val="24"/>
          <w:szCs w:val="24"/>
        </w:rPr>
        <w:t xml:space="preserve"> (Attachment 3, Figures 3-9 &amp; 3-10)</w:t>
      </w:r>
      <w:r w:rsidRPr="00465AD6">
        <w:rPr>
          <w:rFonts w:ascii="Arial" w:hAnsi="Arial" w:cs="Arial"/>
          <w:sz w:val="24"/>
          <w:szCs w:val="24"/>
        </w:rPr>
        <w:t xml:space="preserve"> show available MVar margin and the dynamic stability plots</w:t>
      </w:r>
      <w:r w:rsidR="00CF1387">
        <w:rPr>
          <w:rFonts w:ascii="Arial" w:hAnsi="Arial" w:cs="Arial"/>
          <w:sz w:val="24"/>
          <w:szCs w:val="24"/>
        </w:rPr>
        <w:t xml:space="preserve"> (Attachment 3, Figures 3-11 thru 3-14)</w:t>
      </w:r>
      <w:r w:rsidRPr="00465AD6">
        <w:rPr>
          <w:rFonts w:ascii="Arial" w:hAnsi="Arial" w:cs="Arial"/>
          <w:sz w:val="24"/>
          <w:szCs w:val="24"/>
        </w:rPr>
        <w:t xml:space="preserve"> show stable system performance.</w:t>
      </w:r>
      <w:r w:rsidR="008B61D7">
        <w:rPr>
          <w:rFonts w:ascii="Arial" w:hAnsi="Arial" w:cs="Arial"/>
          <w:sz w:val="24"/>
          <w:szCs w:val="24"/>
        </w:rPr>
        <w:t xml:space="preserve">  Therefore, with no reliability problems found, no new mitigation measures are required.</w:t>
      </w:r>
    </w:p>
    <w:p w:rsidR="00086B08" w:rsidRPr="00465AD6" w:rsidRDefault="00086B08" w:rsidP="00837B42">
      <w:pPr>
        <w:rPr>
          <w:rFonts w:ascii="Arial" w:hAnsi="Arial" w:cs="Arial"/>
          <w:sz w:val="24"/>
          <w:szCs w:val="24"/>
        </w:rPr>
      </w:pPr>
    </w:p>
    <w:p w:rsidR="005777E4" w:rsidRDefault="005777E4" w:rsidP="00A72E2C">
      <w:pPr>
        <w:jc w:val="both"/>
        <w:rPr>
          <w:rFonts w:ascii="Arial" w:hAnsi="Arial" w:cs="Arial"/>
          <w:sz w:val="24"/>
          <w:szCs w:val="24"/>
        </w:rPr>
      </w:pPr>
      <w:r w:rsidRPr="00465AD6">
        <w:rPr>
          <w:rFonts w:ascii="Arial" w:hAnsi="Arial" w:cs="Arial"/>
          <w:sz w:val="24"/>
          <w:szCs w:val="24"/>
        </w:rPr>
        <w:t>This steady-state thermal and voltage analysis was conducted on the 10 years of power flow cases listed in Table 1 on page</w:t>
      </w:r>
      <w:r w:rsidR="00B72FDC">
        <w:rPr>
          <w:rFonts w:ascii="Arial" w:hAnsi="Arial" w:cs="Arial"/>
          <w:sz w:val="24"/>
          <w:szCs w:val="24"/>
        </w:rPr>
        <w:t xml:space="preserve"> 9</w:t>
      </w:r>
      <w:r w:rsidRPr="00465AD6">
        <w:rPr>
          <w:rFonts w:ascii="Arial" w:hAnsi="Arial" w:cs="Arial"/>
          <w:sz w:val="24"/>
          <w:szCs w:val="24"/>
        </w:rPr>
        <w:t xml:space="preserve"> in this report.  Post-transient and stability analysis w</w:t>
      </w:r>
      <w:r w:rsidR="00B74F9B">
        <w:rPr>
          <w:rFonts w:ascii="Arial" w:hAnsi="Arial" w:cs="Arial"/>
          <w:sz w:val="24"/>
          <w:szCs w:val="24"/>
        </w:rPr>
        <w:t>as conducted on the 5 year (2014) and 10 year (2019</w:t>
      </w:r>
      <w:r w:rsidRPr="00465AD6">
        <w:rPr>
          <w:rFonts w:ascii="Arial" w:hAnsi="Arial" w:cs="Arial"/>
          <w:sz w:val="24"/>
          <w:szCs w:val="24"/>
        </w:rPr>
        <w:t>) base cases.  They demonstrate compliance wit</w:t>
      </w:r>
      <w:r>
        <w:rPr>
          <w:rFonts w:ascii="Arial" w:hAnsi="Arial" w:cs="Arial"/>
          <w:sz w:val="24"/>
          <w:szCs w:val="24"/>
        </w:rPr>
        <w:t>h NERC Planning Standard TPL</w:t>
      </w:r>
      <w:r w:rsidR="00054A3B">
        <w:rPr>
          <w:rFonts w:ascii="Arial" w:hAnsi="Arial" w:cs="Arial"/>
          <w:sz w:val="24"/>
          <w:szCs w:val="24"/>
        </w:rPr>
        <w:t xml:space="preserve"> </w:t>
      </w:r>
      <w:r>
        <w:rPr>
          <w:rFonts w:ascii="Arial" w:hAnsi="Arial" w:cs="Arial"/>
          <w:sz w:val="24"/>
          <w:szCs w:val="24"/>
        </w:rPr>
        <w:t>-</w:t>
      </w:r>
      <w:r w:rsidR="00054A3B">
        <w:rPr>
          <w:rFonts w:ascii="Arial" w:hAnsi="Arial" w:cs="Arial"/>
          <w:sz w:val="24"/>
          <w:szCs w:val="24"/>
        </w:rPr>
        <w:t xml:space="preserve"> </w:t>
      </w:r>
      <w:r>
        <w:rPr>
          <w:rFonts w:ascii="Arial" w:hAnsi="Arial" w:cs="Arial"/>
          <w:sz w:val="24"/>
          <w:szCs w:val="24"/>
        </w:rPr>
        <w:t>001</w:t>
      </w:r>
      <w:r w:rsidRPr="00465AD6">
        <w:rPr>
          <w:rFonts w:ascii="Arial" w:hAnsi="Arial" w:cs="Arial"/>
          <w:sz w:val="24"/>
          <w:szCs w:val="24"/>
        </w:rPr>
        <w:t xml:space="preserve"> over a 10 year future period.</w:t>
      </w:r>
    </w:p>
    <w:p w:rsidR="00B72FDC" w:rsidRDefault="00B72FDC" w:rsidP="005777E4">
      <w:pPr>
        <w:rPr>
          <w:rFonts w:ascii="Arial" w:hAnsi="Arial" w:cs="Arial"/>
          <w:sz w:val="24"/>
          <w:szCs w:val="24"/>
        </w:rPr>
      </w:pPr>
    </w:p>
    <w:p w:rsidR="006A7CC2" w:rsidRDefault="006A7CC2" w:rsidP="00E254B5">
      <w:pPr>
        <w:pStyle w:val="Heading2"/>
        <w:numPr>
          <w:ilvl w:val="0"/>
          <w:numId w:val="34"/>
        </w:numPr>
        <w:tabs>
          <w:tab w:val="left" w:pos="720"/>
        </w:tabs>
        <w:ind w:left="720" w:hanging="720"/>
        <w:rPr>
          <w:rFonts w:ascii="Arial" w:hAnsi="Arial" w:cs="Arial"/>
        </w:rPr>
      </w:pPr>
      <w:bookmarkStart w:id="45" w:name="_Toc244589879"/>
      <w:r>
        <w:rPr>
          <w:rFonts w:ascii="Arial" w:hAnsi="Arial" w:cs="Arial"/>
        </w:rPr>
        <w:t>Category B (NERC Planning Standard TPL</w:t>
      </w:r>
      <w:r w:rsidR="00054A3B">
        <w:rPr>
          <w:rFonts w:ascii="Arial" w:hAnsi="Arial" w:cs="Arial"/>
        </w:rPr>
        <w:t xml:space="preserve"> </w:t>
      </w:r>
      <w:r>
        <w:rPr>
          <w:rFonts w:ascii="Arial" w:hAnsi="Arial" w:cs="Arial"/>
        </w:rPr>
        <w:t>-</w:t>
      </w:r>
      <w:r w:rsidR="00054A3B">
        <w:rPr>
          <w:rFonts w:ascii="Arial" w:hAnsi="Arial" w:cs="Arial"/>
        </w:rPr>
        <w:t xml:space="preserve"> </w:t>
      </w:r>
      <w:r>
        <w:rPr>
          <w:rFonts w:ascii="Arial" w:hAnsi="Arial" w:cs="Arial"/>
        </w:rPr>
        <w:t>002):  Single Element Outage, (N-1)</w:t>
      </w:r>
      <w:bookmarkEnd w:id="45"/>
    </w:p>
    <w:p w:rsidR="00D26B02" w:rsidRDefault="00D26B02" w:rsidP="006A7CC2"/>
    <w:p w:rsidR="006D0F96" w:rsidRDefault="008D2482" w:rsidP="00A72E2C">
      <w:pPr>
        <w:jc w:val="both"/>
        <w:rPr>
          <w:rFonts w:ascii="Arial" w:hAnsi="Arial" w:cs="Arial"/>
          <w:sz w:val="24"/>
          <w:szCs w:val="24"/>
        </w:rPr>
      </w:pPr>
      <w:r>
        <w:rPr>
          <w:rFonts w:ascii="Arial" w:hAnsi="Arial" w:cs="Arial"/>
          <w:sz w:val="24"/>
          <w:szCs w:val="24"/>
        </w:rPr>
        <w:t>T</w:t>
      </w:r>
      <w:r w:rsidR="007538BC">
        <w:rPr>
          <w:rFonts w:ascii="Arial" w:hAnsi="Arial" w:cs="Arial"/>
          <w:sz w:val="24"/>
          <w:szCs w:val="24"/>
        </w:rPr>
        <w:t xml:space="preserve">here are no </w:t>
      </w:r>
      <w:r w:rsidR="00761255">
        <w:rPr>
          <w:rFonts w:ascii="Arial" w:hAnsi="Arial" w:cs="Arial"/>
          <w:sz w:val="24"/>
          <w:szCs w:val="24"/>
        </w:rPr>
        <w:t xml:space="preserve">WASN transmission system </w:t>
      </w:r>
      <w:r w:rsidR="007538BC">
        <w:rPr>
          <w:rFonts w:ascii="Arial" w:hAnsi="Arial" w:cs="Arial"/>
          <w:sz w:val="24"/>
          <w:szCs w:val="24"/>
        </w:rPr>
        <w:t xml:space="preserve">un-mitigated single element contingencies and related reliability problems.  For example, an outage of one </w:t>
      </w:r>
      <w:r w:rsidR="00894FFD">
        <w:rPr>
          <w:rFonts w:ascii="Arial" w:hAnsi="Arial" w:cs="Arial"/>
          <w:sz w:val="24"/>
          <w:szCs w:val="24"/>
        </w:rPr>
        <w:t xml:space="preserve">of two </w:t>
      </w:r>
      <w:r w:rsidR="007538BC">
        <w:rPr>
          <w:rFonts w:ascii="Arial" w:hAnsi="Arial" w:cs="Arial"/>
          <w:sz w:val="24"/>
          <w:szCs w:val="24"/>
        </w:rPr>
        <w:t>O’Banion-Elverta 230 kV lines could overload the remaining line, but there is a Special Protection System (SPS) in place such that the Sutter Power Plant would be dropped upon the outage and therefore the remaining line would not experience an overload.</w:t>
      </w:r>
      <w:r w:rsidR="008B44BA">
        <w:rPr>
          <w:rFonts w:ascii="Arial" w:hAnsi="Arial" w:cs="Arial"/>
          <w:sz w:val="24"/>
          <w:szCs w:val="24"/>
        </w:rPr>
        <w:t xml:space="preserve">  In 2010, the line could load to 152% of its emergency loading, but with </w:t>
      </w:r>
      <w:r w:rsidR="003508ED">
        <w:rPr>
          <w:rFonts w:ascii="Arial" w:hAnsi="Arial" w:cs="Arial"/>
          <w:sz w:val="24"/>
          <w:szCs w:val="24"/>
        </w:rPr>
        <w:t>the SPS, the loading drops to 87</w:t>
      </w:r>
      <w:r w:rsidR="008B44BA">
        <w:rPr>
          <w:rFonts w:ascii="Arial" w:hAnsi="Arial" w:cs="Arial"/>
          <w:sz w:val="24"/>
          <w:szCs w:val="24"/>
        </w:rPr>
        <w:t>% of its normal rating</w:t>
      </w:r>
      <w:r>
        <w:rPr>
          <w:rFonts w:ascii="Arial" w:hAnsi="Arial" w:cs="Arial"/>
          <w:sz w:val="24"/>
          <w:szCs w:val="24"/>
        </w:rPr>
        <w:t xml:space="preserve"> (see </w:t>
      </w:r>
      <w:r w:rsidR="00C103C3">
        <w:rPr>
          <w:rFonts w:ascii="Arial" w:hAnsi="Arial" w:cs="Arial"/>
          <w:sz w:val="24"/>
          <w:szCs w:val="24"/>
        </w:rPr>
        <w:t>Attachment 4, F</w:t>
      </w:r>
      <w:r>
        <w:rPr>
          <w:rFonts w:ascii="Arial" w:hAnsi="Arial" w:cs="Arial"/>
          <w:sz w:val="24"/>
          <w:szCs w:val="24"/>
        </w:rPr>
        <w:t xml:space="preserve">igures </w:t>
      </w:r>
      <w:r w:rsidR="00C103C3">
        <w:rPr>
          <w:rFonts w:ascii="Arial" w:hAnsi="Arial" w:cs="Arial"/>
          <w:sz w:val="24"/>
          <w:szCs w:val="24"/>
        </w:rPr>
        <w:t>4-1 &amp; 4-1)</w:t>
      </w:r>
      <w:r w:rsidR="008B44BA">
        <w:rPr>
          <w:rFonts w:ascii="Arial" w:hAnsi="Arial" w:cs="Arial"/>
          <w:sz w:val="24"/>
          <w:szCs w:val="24"/>
        </w:rPr>
        <w:t>.</w:t>
      </w:r>
      <w:r w:rsidR="001362BC">
        <w:rPr>
          <w:rFonts w:ascii="Arial" w:hAnsi="Arial" w:cs="Arial"/>
          <w:sz w:val="24"/>
          <w:szCs w:val="24"/>
        </w:rPr>
        <w:t xml:space="preserve">  In 2011, the Sacramento Voltage Support project is scheduled for operation by that summer.  This project adds a new 230 kV line from O’Banion to the Elverta Substation as well as a new 230 kV line from O’Banion to the Natomas Sub.  With this project in operation, dropping the Sutter Power Plant will no longer be necessary.</w:t>
      </w:r>
    </w:p>
    <w:p w:rsidR="00761255" w:rsidRDefault="00761255" w:rsidP="00D26B02">
      <w:pPr>
        <w:rPr>
          <w:rFonts w:ascii="Arial" w:hAnsi="Arial" w:cs="Arial"/>
          <w:sz w:val="24"/>
          <w:szCs w:val="24"/>
        </w:rPr>
      </w:pPr>
    </w:p>
    <w:p w:rsidR="00761255" w:rsidRPr="00761255" w:rsidRDefault="00761255" w:rsidP="00A72E2C">
      <w:pPr>
        <w:jc w:val="both"/>
        <w:rPr>
          <w:rFonts w:ascii="Arial" w:hAnsi="Arial" w:cs="Arial"/>
          <w:bCs/>
          <w:sz w:val="24"/>
          <w:szCs w:val="24"/>
        </w:rPr>
      </w:pPr>
      <w:r>
        <w:rPr>
          <w:rFonts w:ascii="Arial" w:hAnsi="Arial" w:cs="Arial"/>
          <w:bCs/>
          <w:sz w:val="24"/>
          <w:szCs w:val="24"/>
        </w:rPr>
        <w:t xml:space="preserve">The only potential problem not resolved </w:t>
      </w:r>
      <w:r w:rsidR="005F3CFD">
        <w:rPr>
          <w:rFonts w:ascii="Arial" w:hAnsi="Arial" w:cs="Arial"/>
          <w:bCs/>
          <w:sz w:val="24"/>
          <w:szCs w:val="24"/>
        </w:rPr>
        <w:t xml:space="preserve">with a potential mitigation plan </w:t>
      </w:r>
      <w:r>
        <w:rPr>
          <w:rFonts w:ascii="Arial" w:hAnsi="Arial" w:cs="Arial"/>
          <w:bCs/>
          <w:sz w:val="24"/>
          <w:szCs w:val="24"/>
        </w:rPr>
        <w:t xml:space="preserve">and </w:t>
      </w:r>
      <w:r w:rsidR="005F3CFD">
        <w:rPr>
          <w:rFonts w:ascii="Arial" w:hAnsi="Arial" w:cs="Arial"/>
          <w:bCs/>
          <w:sz w:val="24"/>
          <w:szCs w:val="24"/>
        </w:rPr>
        <w:t xml:space="preserve">is </w:t>
      </w:r>
      <w:r>
        <w:rPr>
          <w:rFonts w:ascii="Arial" w:hAnsi="Arial" w:cs="Arial"/>
          <w:bCs/>
          <w:sz w:val="24"/>
          <w:szCs w:val="24"/>
        </w:rPr>
        <w:t>identified with NERC Planning Standard TPL-002(System Performance Following Loss of a Single Bulk Electric System (BES) Element) was that upon an outage of the O’Banion-N</w:t>
      </w:r>
      <w:r w:rsidR="008B44BA">
        <w:rPr>
          <w:rFonts w:ascii="Arial" w:hAnsi="Arial" w:cs="Arial"/>
          <w:bCs/>
          <w:sz w:val="24"/>
          <w:szCs w:val="24"/>
        </w:rPr>
        <w:t>atomas 230 kV line, the Natomas-</w:t>
      </w:r>
      <w:r>
        <w:rPr>
          <w:rFonts w:ascii="Arial" w:hAnsi="Arial" w:cs="Arial"/>
          <w:bCs/>
          <w:sz w:val="24"/>
          <w:szCs w:val="24"/>
        </w:rPr>
        <w:t>Hurley 230 kV line may load 4% above its emergency rating</w:t>
      </w:r>
      <w:r w:rsidR="008B44BA">
        <w:rPr>
          <w:rFonts w:ascii="Arial" w:hAnsi="Arial" w:cs="Arial"/>
          <w:bCs/>
          <w:sz w:val="24"/>
          <w:szCs w:val="24"/>
        </w:rPr>
        <w:t xml:space="preserve"> in 2011</w:t>
      </w:r>
      <w:r>
        <w:rPr>
          <w:rFonts w:ascii="Arial" w:hAnsi="Arial" w:cs="Arial"/>
          <w:bCs/>
          <w:sz w:val="24"/>
          <w:szCs w:val="24"/>
        </w:rPr>
        <w:t xml:space="preserve">.  The line in question is owned by the Sacramento Municipal Utility District (SMUD) and will </w:t>
      </w:r>
      <w:r w:rsidR="008B44BA">
        <w:rPr>
          <w:rFonts w:ascii="Arial" w:hAnsi="Arial" w:cs="Arial"/>
          <w:bCs/>
          <w:sz w:val="24"/>
          <w:szCs w:val="24"/>
        </w:rPr>
        <w:t xml:space="preserve">need to </w:t>
      </w:r>
      <w:r>
        <w:rPr>
          <w:rFonts w:ascii="Arial" w:hAnsi="Arial" w:cs="Arial"/>
          <w:bCs/>
          <w:sz w:val="24"/>
          <w:szCs w:val="24"/>
        </w:rPr>
        <w:t>be resolved by them</w:t>
      </w:r>
      <w:r w:rsidR="008D2482">
        <w:rPr>
          <w:rFonts w:ascii="Arial" w:hAnsi="Arial" w:cs="Arial"/>
          <w:bCs/>
          <w:sz w:val="24"/>
          <w:szCs w:val="24"/>
        </w:rPr>
        <w:t xml:space="preserve"> (see </w:t>
      </w:r>
      <w:r w:rsidR="00C103C3">
        <w:rPr>
          <w:rFonts w:ascii="Arial" w:hAnsi="Arial" w:cs="Arial"/>
          <w:bCs/>
          <w:sz w:val="24"/>
          <w:szCs w:val="24"/>
        </w:rPr>
        <w:t>Attachment 4, Figure 4-3)</w:t>
      </w:r>
      <w:r>
        <w:rPr>
          <w:rFonts w:ascii="Arial" w:hAnsi="Arial" w:cs="Arial"/>
          <w:bCs/>
          <w:sz w:val="24"/>
          <w:szCs w:val="24"/>
        </w:rPr>
        <w:t>.</w:t>
      </w:r>
    </w:p>
    <w:p w:rsidR="00646D45" w:rsidRPr="00465AD6" w:rsidRDefault="00646D45" w:rsidP="00D26B02">
      <w:pPr>
        <w:rPr>
          <w:rFonts w:ascii="Arial" w:hAnsi="Arial" w:cs="Arial"/>
          <w:sz w:val="24"/>
          <w:szCs w:val="24"/>
        </w:rPr>
      </w:pPr>
    </w:p>
    <w:p w:rsidR="00646D45" w:rsidRDefault="00646D45" w:rsidP="00A72E2C">
      <w:pPr>
        <w:jc w:val="both"/>
        <w:rPr>
          <w:rFonts w:ascii="Arial" w:hAnsi="Arial" w:cs="Arial"/>
          <w:sz w:val="24"/>
          <w:szCs w:val="24"/>
        </w:rPr>
      </w:pPr>
      <w:r w:rsidRPr="00465AD6">
        <w:rPr>
          <w:rFonts w:ascii="Arial" w:hAnsi="Arial" w:cs="Arial"/>
          <w:sz w:val="24"/>
          <w:szCs w:val="24"/>
        </w:rPr>
        <w:t xml:space="preserve">The study results demonstrate that no post-transient problems were discovered and that reactive margin exists when the Northern California load was increased by 5% </w:t>
      </w:r>
      <w:r w:rsidR="00956D5E" w:rsidRPr="00465AD6">
        <w:rPr>
          <w:rFonts w:ascii="Arial" w:hAnsi="Arial" w:cs="Arial"/>
          <w:sz w:val="24"/>
          <w:szCs w:val="24"/>
        </w:rPr>
        <w:t>for a single contingency</w:t>
      </w:r>
      <w:r w:rsidR="00344CB2">
        <w:rPr>
          <w:rFonts w:ascii="Arial" w:hAnsi="Arial" w:cs="Arial"/>
          <w:sz w:val="24"/>
          <w:szCs w:val="24"/>
        </w:rPr>
        <w:t xml:space="preserve"> per WECC reactive margin requirements</w:t>
      </w:r>
      <w:r w:rsidR="008D2482">
        <w:rPr>
          <w:rFonts w:ascii="Arial" w:hAnsi="Arial" w:cs="Arial"/>
          <w:sz w:val="24"/>
          <w:szCs w:val="24"/>
        </w:rPr>
        <w:t xml:space="preserve"> (see </w:t>
      </w:r>
      <w:r w:rsidR="000C6995">
        <w:rPr>
          <w:rFonts w:ascii="Arial" w:hAnsi="Arial" w:cs="Arial"/>
          <w:sz w:val="24"/>
          <w:szCs w:val="24"/>
        </w:rPr>
        <w:t>Attachment 4, Figures 4-4 &amp; 4-7</w:t>
      </w:r>
      <w:r w:rsidR="00F9239F">
        <w:rPr>
          <w:rFonts w:ascii="Arial" w:hAnsi="Arial" w:cs="Arial"/>
          <w:sz w:val="24"/>
          <w:szCs w:val="24"/>
        </w:rPr>
        <w:t>)</w:t>
      </w:r>
      <w:r w:rsidRPr="00465AD6">
        <w:rPr>
          <w:rFonts w:ascii="Arial" w:hAnsi="Arial" w:cs="Arial"/>
          <w:sz w:val="24"/>
          <w:szCs w:val="24"/>
        </w:rPr>
        <w:t>.</w:t>
      </w:r>
    </w:p>
    <w:p w:rsidR="008D2482" w:rsidRDefault="008D2482" w:rsidP="00D26B02">
      <w:pPr>
        <w:rPr>
          <w:rFonts w:ascii="Arial" w:hAnsi="Arial" w:cs="Arial"/>
          <w:sz w:val="24"/>
          <w:szCs w:val="24"/>
        </w:rPr>
      </w:pPr>
    </w:p>
    <w:p w:rsidR="008D2482" w:rsidRPr="00465AD6" w:rsidRDefault="008D2482" w:rsidP="00A72E2C">
      <w:pPr>
        <w:jc w:val="both"/>
        <w:rPr>
          <w:rFonts w:ascii="Arial" w:hAnsi="Arial" w:cs="Arial"/>
          <w:sz w:val="24"/>
          <w:szCs w:val="24"/>
        </w:rPr>
      </w:pPr>
      <w:r>
        <w:rPr>
          <w:rFonts w:ascii="Arial" w:hAnsi="Arial" w:cs="Arial"/>
          <w:sz w:val="24"/>
          <w:szCs w:val="24"/>
        </w:rPr>
        <w:t xml:space="preserve">The study results demonstrate that no dynamic stability problems were discovered and </w:t>
      </w:r>
      <w:r>
        <w:rPr>
          <w:rFonts w:ascii="Arial" w:hAnsi="Arial" w:cs="Arial"/>
          <w:sz w:val="24"/>
          <w:szCs w:val="24"/>
        </w:rPr>
        <w:lastRenderedPageBreak/>
        <w:t xml:space="preserve">that simulations were damped (see </w:t>
      </w:r>
      <w:r w:rsidR="000C6995">
        <w:rPr>
          <w:rFonts w:ascii="Arial" w:hAnsi="Arial" w:cs="Arial"/>
          <w:sz w:val="24"/>
          <w:szCs w:val="24"/>
        </w:rPr>
        <w:t>Attachment 4, Figures 4-8</w:t>
      </w:r>
      <w:r w:rsidR="00F62FEC">
        <w:rPr>
          <w:rFonts w:ascii="Arial" w:hAnsi="Arial" w:cs="Arial"/>
          <w:sz w:val="24"/>
          <w:szCs w:val="24"/>
        </w:rPr>
        <w:t xml:space="preserve"> thru </w:t>
      </w:r>
      <w:r w:rsidR="000C6995">
        <w:rPr>
          <w:rFonts w:ascii="Arial" w:hAnsi="Arial" w:cs="Arial"/>
          <w:sz w:val="24"/>
          <w:szCs w:val="24"/>
        </w:rPr>
        <w:t>4-15</w:t>
      </w:r>
      <w:r>
        <w:rPr>
          <w:rFonts w:ascii="Arial" w:hAnsi="Arial" w:cs="Arial"/>
          <w:sz w:val="24"/>
          <w:szCs w:val="24"/>
        </w:rPr>
        <w:t>).</w:t>
      </w:r>
    </w:p>
    <w:p w:rsidR="00646D45" w:rsidRPr="00465AD6" w:rsidRDefault="00646D45" w:rsidP="00D26B02">
      <w:pPr>
        <w:rPr>
          <w:rFonts w:ascii="Arial" w:hAnsi="Arial" w:cs="Arial"/>
          <w:sz w:val="24"/>
          <w:szCs w:val="24"/>
        </w:rPr>
      </w:pPr>
    </w:p>
    <w:p w:rsidR="00646D45" w:rsidRPr="00465AD6" w:rsidRDefault="00805B10" w:rsidP="00A72E2C">
      <w:pPr>
        <w:jc w:val="both"/>
        <w:rPr>
          <w:rFonts w:ascii="Arial" w:hAnsi="Arial" w:cs="Arial"/>
          <w:sz w:val="24"/>
          <w:szCs w:val="24"/>
        </w:rPr>
      </w:pPr>
      <w:r>
        <w:rPr>
          <w:rFonts w:ascii="Arial" w:hAnsi="Arial" w:cs="Arial"/>
          <w:sz w:val="24"/>
          <w:szCs w:val="24"/>
        </w:rPr>
        <w:t>The contingency analysis plots c</w:t>
      </w:r>
      <w:r w:rsidR="00915D21">
        <w:rPr>
          <w:rFonts w:ascii="Arial" w:hAnsi="Arial" w:cs="Arial"/>
          <w:sz w:val="24"/>
          <w:szCs w:val="24"/>
        </w:rPr>
        <w:t xml:space="preserve">ontained in </w:t>
      </w:r>
      <w:r w:rsidR="008D2482">
        <w:rPr>
          <w:rFonts w:ascii="Arial" w:hAnsi="Arial" w:cs="Arial"/>
          <w:sz w:val="24"/>
          <w:szCs w:val="24"/>
        </w:rPr>
        <w:t xml:space="preserve">the figures </w:t>
      </w:r>
      <w:r w:rsidR="00894FFD">
        <w:rPr>
          <w:rFonts w:ascii="Arial" w:hAnsi="Arial" w:cs="Arial"/>
          <w:sz w:val="24"/>
          <w:szCs w:val="24"/>
        </w:rPr>
        <w:t xml:space="preserve">in Attachment 4 </w:t>
      </w:r>
      <w:r>
        <w:rPr>
          <w:rFonts w:ascii="Arial" w:hAnsi="Arial" w:cs="Arial"/>
          <w:sz w:val="24"/>
          <w:szCs w:val="24"/>
        </w:rPr>
        <w:t xml:space="preserve">is a sampling of the contingency studies conducted, but cover critical points within the WASN transmission system.  </w:t>
      </w:r>
      <w:r w:rsidR="00894FFD">
        <w:rPr>
          <w:rFonts w:ascii="Arial" w:hAnsi="Arial" w:cs="Arial"/>
          <w:sz w:val="24"/>
          <w:szCs w:val="24"/>
        </w:rPr>
        <w:t>As can be seen in Attachment 2</w:t>
      </w:r>
      <w:r w:rsidR="008D2482">
        <w:rPr>
          <w:rFonts w:ascii="Arial" w:hAnsi="Arial" w:cs="Arial"/>
          <w:sz w:val="24"/>
          <w:szCs w:val="24"/>
        </w:rPr>
        <w:t>, many more contingencies were analyzed and there results were consistent with what is reported here.  Plots for those contingencies are available upon request.</w:t>
      </w:r>
    </w:p>
    <w:p w:rsidR="00646D45" w:rsidRPr="00465AD6" w:rsidRDefault="00646D45" w:rsidP="00646D45">
      <w:pPr>
        <w:rPr>
          <w:rFonts w:ascii="Arial" w:hAnsi="Arial" w:cs="Arial"/>
          <w:sz w:val="24"/>
          <w:szCs w:val="24"/>
        </w:rPr>
      </w:pPr>
    </w:p>
    <w:p w:rsidR="00646D45" w:rsidRDefault="00646D45" w:rsidP="00A72E2C">
      <w:pPr>
        <w:jc w:val="both"/>
        <w:rPr>
          <w:rFonts w:ascii="Arial" w:hAnsi="Arial" w:cs="Arial"/>
          <w:sz w:val="24"/>
          <w:szCs w:val="24"/>
        </w:rPr>
      </w:pPr>
      <w:r w:rsidRPr="00465AD6">
        <w:rPr>
          <w:rFonts w:ascii="Arial" w:hAnsi="Arial" w:cs="Arial"/>
          <w:sz w:val="24"/>
          <w:szCs w:val="24"/>
        </w:rPr>
        <w:t xml:space="preserve">This </w:t>
      </w:r>
      <w:r w:rsidR="00D26DEF" w:rsidRPr="00465AD6">
        <w:rPr>
          <w:rFonts w:ascii="Arial" w:hAnsi="Arial" w:cs="Arial"/>
          <w:sz w:val="24"/>
          <w:szCs w:val="24"/>
        </w:rPr>
        <w:t xml:space="preserve">steady-state thermal and voltage </w:t>
      </w:r>
      <w:r w:rsidRPr="00465AD6">
        <w:rPr>
          <w:rFonts w:ascii="Arial" w:hAnsi="Arial" w:cs="Arial"/>
          <w:sz w:val="24"/>
          <w:szCs w:val="24"/>
        </w:rPr>
        <w:t xml:space="preserve">analysis was conducted on </w:t>
      </w:r>
      <w:r w:rsidR="00D26DEF" w:rsidRPr="00465AD6">
        <w:rPr>
          <w:rFonts w:ascii="Arial" w:hAnsi="Arial" w:cs="Arial"/>
          <w:sz w:val="24"/>
          <w:szCs w:val="24"/>
        </w:rPr>
        <w:t>the power flow cases listed in Table 1 on page</w:t>
      </w:r>
      <w:r w:rsidR="00E25D2C">
        <w:rPr>
          <w:rFonts w:ascii="Arial" w:hAnsi="Arial" w:cs="Arial"/>
          <w:sz w:val="24"/>
          <w:szCs w:val="24"/>
        </w:rPr>
        <w:t xml:space="preserve"> 9</w:t>
      </w:r>
      <w:r w:rsidR="00D26DEF" w:rsidRPr="00465AD6">
        <w:rPr>
          <w:rFonts w:ascii="Arial" w:hAnsi="Arial" w:cs="Arial"/>
          <w:sz w:val="24"/>
          <w:szCs w:val="24"/>
        </w:rPr>
        <w:t xml:space="preserve"> in this report.  Post-tran</w:t>
      </w:r>
      <w:r w:rsidR="00894FFD">
        <w:rPr>
          <w:rFonts w:ascii="Arial" w:hAnsi="Arial" w:cs="Arial"/>
          <w:sz w:val="24"/>
          <w:szCs w:val="24"/>
        </w:rPr>
        <w:t>sient and stability analysis were</w:t>
      </w:r>
      <w:r w:rsidR="00D26DEF" w:rsidRPr="00465AD6">
        <w:rPr>
          <w:rFonts w:ascii="Arial" w:hAnsi="Arial" w:cs="Arial"/>
          <w:sz w:val="24"/>
          <w:szCs w:val="24"/>
        </w:rPr>
        <w:t xml:space="preserve"> conducted on </w:t>
      </w:r>
      <w:r w:rsidR="00E25D2C">
        <w:rPr>
          <w:rFonts w:ascii="Arial" w:hAnsi="Arial" w:cs="Arial"/>
          <w:sz w:val="24"/>
          <w:szCs w:val="24"/>
        </w:rPr>
        <w:t>the 5 year (2014) and 10 year (2019</w:t>
      </w:r>
      <w:r w:rsidRPr="00465AD6">
        <w:rPr>
          <w:rFonts w:ascii="Arial" w:hAnsi="Arial" w:cs="Arial"/>
          <w:sz w:val="24"/>
          <w:szCs w:val="24"/>
        </w:rPr>
        <w:t>) base cases.  They demonstrate compliance wit</w:t>
      </w:r>
      <w:r w:rsidR="005777E4">
        <w:rPr>
          <w:rFonts w:ascii="Arial" w:hAnsi="Arial" w:cs="Arial"/>
          <w:sz w:val="24"/>
          <w:szCs w:val="24"/>
        </w:rPr>
        <w:t>h NERC Planning Standard TPL</w:t>
      </w:r>
      <w:r w:rsidR="00054A3B">
        <w:rPr>
          <w:rFonts w:ascii="Arial" w:hAnsi="Arial" w:cs="Arial"/>
          <w:sz w:val="24"/>
          <w:szCs w:val="24"/>
        </w:rPr>
        <w:t xml:space="preserve"> </w:t>
      </w:r>
      <w:r w:rsidR="005777E4">
        <w:rPr>
          <w:rFonts w:ascii="Arial" w:hAnsi="Arial" w:cs="Arial"/>
          <w:sz w:val="24"/>
          <w:szCs w:val="24"/>
        </w:rPr>
        <w:t>-</w:t>
      </w:r>
      <w:r w:rsidR="00054A3B">
        <w:rPr>
          <w:rFonts w:ascii="Arial" w:hAnsi="Arial" w:cs="Arial"/>
          <w:sz w:val="24"/>
          <w:szCs w:val="24"/>
        </w:rPr>
        <w:t xml:space="preserve"> </w:t>
      </w:r>
      <w:r w:rsidR="005777E4">
        <w:rPr>
          <w:rFonts w:ascii="Arial" w:hAnsi="Arial" w:cs="Arial"/>
          <w:sz w:val="24"/>
          <w:szCs w:val="24"/>
        </w:rPr>
        <w:t>002</w:t>
      </w:r>
      <w:r w:rsidRPr="00465AD6">
        <w:rPr>
          <w:rFonts w:ascii="Arial" w:hAnsi="Arial" w:cs="Arial"/>
          <w:sz w:val="24"/>
          <w:szCs w:val="24"/>
        </w:rPr>
        <w:t xml:space="preserve"> over a 10 year future period.</w:t>
      </w:r>
    </w:p>
    <w:p w:rsidR="008B44BA" w:rsidRDefault="008B44BA" w:rsidP="00646D45">
      <w:pPr>
        <w:rPr>
          <w:rFonts w:ascii="Arial" w:hAnsi="Arial" w:cs="Arial"/>
          <w:sz w:val="24"/>
          <w:szCs w:val="24"/>
        </w:rPr>
      </w:pPr>
    </w:p>
    <w:p w:rsidR="006A7CC2" w:rsidRDefault="006A7CC2" w:rsidP="00E254B5">
      <w:pPr>
        <w:pStyle w:val="Heading2"/>
        <w:numPr>
          <w:ilvl w:val="0"/>
          <w:numId w:val="34"/>
        </w:numPr>
        <w:tabs>
          <w:tab w:val="left" w:pos="720"/>
        </w:tabs>
        <w:ind w:left="720" w:hanging="720"/>
        <w:rPr>
          <w:rFonts w:ascii="Arial" w:hAnsi="Arial" w:cs="Arial"/>
        </w:rPr>
      </w:pPr>
      <w:bookmarkStart w:id="46" w:name="_Toc244589880"/>
      <w:r>
        <w:rPr>
          <w:rFonts w:ascii="Arial" w:hAnsi="Arial" w:cs="Arial"/>
        </w:rPr>
        <w:t>Category C (NERC Planning Standard TPL</w:t>
      </w:r>
      <w:r w:rsidR="00054A3B">
        <w:rPr>
          <w:rFonts w:ascii="Arial" w:hAnsi="Arial" w:cs="Arial"/>
        </w:rPr>
        <w:t xml:space="preserve"> </w:t>
      </w:r>
      <w:r>
        <w:rPr>
          <w:rFonts w:ascii="Arial" w:hAnsi="Arial" w:cs="Arial"/>
        </w:rPr>
        <w:t>-</w:t>
      </w:r>
      <w:r w:rsidR="00054A3B">
        <w:rPr>
          <w:rFonts w:ascii="Arial" w:hAnsi="Arial" w:cs="Arial"/>
        </w:rPr>
        <w:t xml:space="preserve"> </w:t>
      </w:r>
      <w:r>
        <w:rPr>
          <w:rFonts w:ascii="Arial" w:hAnsi="Arial" w:cs="Arial"/>
        </w:rPr>
        <w:t>003): Double Element Outages, (N-2)</w:t>
      </w:r>
      <w:bookmarkEnd w:id="46"/>
    </w:p>
    <w:p w:rsidR="00D26B02" w:rsidRDefault="00D26B02" w:rsidP="00261A45">
      <w:pPr>
        <w:rPr>
          <w:rFonts w:ascii="Arial" w:hAnsi="Arial" w:cs="Arial"/>
          <w:sz w:val="24"/>
        </w:rPr>
      </w:pPr>
    </w:p>
    <w:p w:rsidR="004B47F2" w:rsidRDefault="00CB49BC" w:rsidP="00A72E2C">
      <w:pPr>
        <w:jc w:val="both"/>
        <w:rPr>
          <w:rFonts w:ascii="Arial" w:hAnsi="Arial" w:cs="Arial"/>
          <w:sz w:val="24"/>
          <w:szCs w:val="24"/>
        </w:rPr>
      </w:pPr>
      <w:r>
        <w:rPr>
          <w:rFonts w:ascii="Arial" w:hAnsi="Arial" w:cs="Arial"/>
          <w:sz w:val="24"/>
          <w:szCs w:val="24"/>
        </w:rPr>
        <w:t xml:space="preserve">In Attachment 5 </w:t>
      </w:r>
      <w:r w:rsidR="007B5113">
        <w:rPr>
          <w:rFonts w:ascii="Arial" w:hAnsi="Arial" w:cs="Arial"/>
          <w:sz w:val="24"/>
          <w:szCs w:val="24"/>
        </w:rPr>
        <w:t>are figures illustrating the</w:t>
      </w:r>
      <w:r w:rsidR="003730D3" w:rsidRPr="00465AD6">
        <w:rPr>
          <w:rFonts w:ascii="Arial" w:hAnsi="Arial" w:cs="Arial"/>
          <w:sz w:val="24"/>
          <w:szCs w:val="24"/>
        </w:rPr>
        <w:t xml:space="preserve"> results of steady-state thermal and voltage analysis for NERC Category C contingencies per NERC Planning Standard TPL</w:t>
      </w:r>
      <w:r w:rsidR="00054A3B">
        <w:rPr>
          <w:rFonts w:ascii="Arial" w:hAnsi="Arial" w:cs="Arial"/>
          <w:sz w:val="24"/>
          <w:szCs w:val="24"/>
        </w:rPr>
        <w:t xml:space="preserve"> </w:t>
      </w:r>
      <w:r w:rsidR="003730D3" w:rsidRPr="00465AD6">
        <w:rPr>
          <w:rFonts w:ascii="Arial" w:hAnsi="Arial" w:cs="Arial"/>
          <w:sz w:val="24"/>
          <w:szCs w:val="24"/>
        </w:rPr>
        <w:t>-</w:t>
      </w:r>
      <w:r w:rsidR="00054A3B">
        <w:rPr>
          <w:rFonts w:ascii="Arial" w:hAnsi="Arial" w:cs="Arial"/>
          <w:sz w:val="24"/>
          <w:szCs w:val="24"/>
        </w:rPr>
        <w:t xml:space="preserve"> </w:t>
      </w:r>
      <w:r w:rsidR="003730D3" w:rsidRPr="00465AD6">
        <w:rPr>
          <w:rFonts w:ascii="Arial" w:hAnsi="Arial" w:cs="Arial"/>
          <w:sz w:val="24"/>
          <w:szCs w:val="24"/>
        </w:rPr>
        <w:t xml:space="preserve">003.  </w:t>
      </w:r>
      <w:r>
        <w:rPr>
          <w:rFonts w:ascii="Arial" w:hAnsi="Arial" w:cs="Arial"/>
          <w:sz w:val="24"/>
          <w:szCs w:val="24"/>
        </w:rPr>
        <w:t>S</w:t>
      </w:r>
      <w:r w:rsidR="00896925" w:rsidRPr="00465AD6">
        <w:rPr>
          <w:rFonts w:ascii="Arial" w:hAnsi="Arial" w:cs="Arial"/>
          <w:sz w:val="24"/>
          <w:szCs w:val="24"/>
        </w:rPr>
        <w:t>everal potential reliability problems</w:t>
      </w:r>
      <w:r w:rsidR="00502187" w:rsidRPr="00465AD6">
        <w:rPr>
          <w:rFonts w:ascii="Arial" w:hAnsi="Arial" w:cs="Arial"/>
          <w:sz w:val="24"/>
          <w:szCs w:val="24"/>
        </w:rPr>
        <w:t xml:space="preserve"> were found, but all are </w:t>
      </w:r>
      <w:r w:rsidR="00083446">
        <w:rPr>
          <w:rFonts w:ascii="Arial" w:hAnsi="Arial" w:cs="Arial"/>
          <w:sz w:val="24"/>
          <w:szCs w:val="24"/>
        </w:rPr>
        <w:t>already mitigated with exis</w:t>
      </w:r>
      <w:r w:rsidR="00896925" w:rsidRPr="00465AD6">
        <w:rPr>
          <w:rFonts w:ascii="Arial" w:hAnsi="Arial" w:cs="Arial"/>
          <w:sz w:val="24"/>
          <w:szCs w:val="24"/>
        </w:rPr>
        <w:t>ting operating procedures</w:t>
      </w:r>
      <w:r w:rsidR="002A47D7">
        <w:rPr>
          <w:rFonts w:ascii="Arial" w:hAnsi="Arial" w:cs="Arial"/>
          <w:sz w:val="24"/>
          <w:szCs w:val="24"/>
        </w:rPr>
        <w:t xml:space="preserve"> and one can be mitigated with a new Special protection System (SPS)</w:t>
      </w:r>
      <w:r w:rsidR="002C5D1F">
        <w:rPr>
          <w:rFonts w:ascii="Arial" w:hAnsi="Arial" w:cs="Arial"/>
          <w:sz w:val="24"/>
          <w:szCs w:val="24"/>
        </w:rPr>
        <w:t xml:space="preserve"> and one will be mitigated with a new transmission project</w:t>
      </w:r>
      <w:r w:rsidR="00896925" w:rsidRPr="00465AD6">
        <w:rPr>
          <w:rFonts w:ascii="Arial" w:hAnsi="Arial" w:cs="Arial"/>
          <w:sz w:val="24"/>
          <w:szCs w:val="24"/>
        </w:rPr>
        <w:t xml:space="preserve">.  </w:t>
      </w:r>
    </w:p>
    <w:p w:rsidR="004B47F2" w:rsidRDefault="004B47F2" w:rsidP="00896925">
      <w:pPr>
        <w:rPr>
          <w:rFonts w:ascii="Arial" w:hAnsi="Arial" w:cs="Arial"/>
          <w:sz w:val="24"/>
          <w:szCs w:val="24"/>
        </w:rPr>
      </w:pPr>
    </w:p>
    <w:p w:rsidR="00896925" w:rsidRDefault="00D9539D" w:rsidP="00A72E2C">
      <w:pPr>
        <w:jc w:val="both"/>
        <w:rPr>
          <w:rFonts w:ascii="Arial" w:hAnsi="Arial" w:cs="Arial"/>
          <w:sz w:val="24"/>
          <w:szCs w:val="24"/>
        </w:rPr>
      </w:pPr>
      <w:r>
        <w:rPr>
          <w:rFonts w:ascii="Arial" w:hAnsi="Arial" w:cs="Arial"/>
          <w:sz w:val="24"/>
          <w:szCs w:val="24"/>
        </w:rPr>
        <w:t>Specifically, an outage of both Shasta – Cottonwood 230 kV lines can cause the Shasta-Flanagan-Keswick 230 kV line to load above its emergency rating</w:t>
      </w:r>
      <w:r w:rsidR="001435DA">
        <w:rPr>
          <w:rFonts w:ascii="Arial" w:hAnsi="Arial" w:cs="Arial"/>
          <w:sz w:val="24"/>
          <w:szCs w:val="24"/>
        </w:rPr>
        <w:t xml:space="preserve"> (Attachment 5, Figure 5-1)</w:t>
      </w:r>
      <w:r>
        <w:rPr>
          <w:rFonts w:ascii="Arial" w:hAnsi="Arial" w:cs="Arial"/>
          <w:sz w:val="24"/>
          <w:szCs w:val="24"/>
        </w:rPr>
        <w:t xml:space="preserve">.  </w:t>
      </w:r>
      <w:r w:rsidR="00585587">
        <w:rPr>
          <w:rFonts w:ascii="Arial" w:hAnsi="Arial" w:cs="Arial"/>
          <w:bCs/>
          <w:sz w:val="24"/>
          <w:szCs w:val="24"/>
        </w:rPr>
        <w:t xml:space="preserve">To date, reduction of the loading on these lines has been accomplished through an operating procedure and was not a reliability problem due to the past configuration of the Shasta 230 kV bus where this double line outage was not connected to all of the Shasta units.  In 2009, the Shasta 230 kV bus was re-configured into one bus and therefore with an outage of both lines to Cottonwood, Shasta generation can be too high for the remaining transmission out of Shasta.  </w:t>
      </w:r>
      <w:r w:rsidR="00824EE1">
        <w:rPr>
          <w:rFonts w:ascii="Arial" w:hAnsi="Arial" w:cs="Arial"/>
          <w:sz w:val="24"/>
          <w:szCs w:val="24"/>
        </w:rPr>
        <w:t>Also, a</w:t>
      </w:r>
      <w:r w:rsidR="00824EE1">
        <w:rPr>
          <w:rFonts w:ascii="Arial" w:hAnsi="Arial" w:cs="Arial"/>
          <w:bCs/>
          <w:sz w:val="24"/>
          <w:szCs w:val="24"/>
        </w:rPr>
        <w:t xml:space="preserve">n actual outage of both of these lines has not occurred in the past. </w:t>
      </w:r>
      <w:r w:rsidR="00824EE1">
        <w:rPr>
          <w:rFonts w:ascii="Arial" w:hAnsi="Arial" w:cs="Arial"/>
          <w:sz w:val="24"/>
          <w:szCs w:val="24"/>
        </w:rPr>
        <w:t xml:space="preserve"> </w:t>
      </w:r>
      <w:r w:rsidR="00507F76">
        <w:rPr>
          <w:rFonts w:ascii="Arial" w:hAnsi="Arial" w:cs="Arial"/>
          <w:sz w:val="24"/>
          <w:szCs w:val="24"/>
        </w:rPr>
        <w:t xml:space="preserve">Due to maintenance on the Shasta units, their output has </w:t>
      </w:r>
      <w:r w:rsidR="00462DC0">
        <w:rPr>
          <w:rFonts w:ascii="Arial" w:hAnsi="Arial" w:cs="Arial"/>
          <w:sz w:val="24"/>
          <w:szCs w:val="24"/>
        </w:rPr>
        <w:t xml:space="preserve">also </w:t>
      </w:r>
      <w:r w:rsidR="00507F76">
        <w:rPr>
          <w:rFonts w:ascii="Arial" w:hAnsi="Arial" w:cs="Arial"/>
          <w:sz w:val="24"/>
          <w:szCs w:val="24"/>
        </w:rPr>
        <w:t>been increased from 125 MW to 140 MW each.  With this additional potential generation capability, the post-contingency loading on the Shast</w:t>
      </w:r>
      <w:r w:rsidR="00824EE1">
        <w:rPr>
          <w:rFonts w:ascii="Arial" w:hAnsi="Arial" w:cs="Arial"/>
          <w:sz w:val="24"/>
          <w:szCs w:val="24"/>
        </w:rPr>
        <w:t>a-Flanagan and Flanagan-</w:t>
      </w:r>
      <w:r w:rsidR="00507F76">
        <w:rPr>
          <w:rFonts w:ascii="Arial" w:hAnsi="Arial" w:cs="Arial"/>
          <w:sz w:val="24"/>
          <w:szCs w:val="24"/>
        </w:rPr>
        <w:t>Keswick 230 kV line</w:t>
      </w:r>
      <w:r w:rsidR="00824EE1">
        <w:rPr>
          <w:rFonts w:ascii="Arial" w:hAnsi="Arial" w:cs="Arial"/>
          <w:sz w:val="24"/>
          <w:szCs w:val="24"/>
        </w:rPr>
        <w:t>s increase</w:t>
      </w:r>
      <w:r w:rsidR="00507F76">
        <w:rPr>
          <w:rFonts w:ascii="Arial" w:hAnsi="Arial" w:cs="Arial"/>
          <w:sz w:val="24"/>
          <w:szCs w:val="24"/>
        </w:rPr>
        <w:t>.  Because of this, a</w:t>
      </w:r>
      <w:r>
        <w:rPr>
          <w:rFonts w:ascii="Arial" w:hAnsi="Arial" w:cs="Arial"/>
          <w:sz w:val="24"/>
          <w:szCs w:val="24"/>
        </w:rPr>
        <w:t xml:space="preserve">n SPS </w:t>
      </w:r>
      <w:r w:rsidR="00507F76">
        <w:rPr>
          <w:rFonts w:ascii="Arial" w:hAnsi="Arial" w:cs="Arial"/>
          <w:sz w:val="24"/>
          <w:szCs w:val="24"/>
        </w:rPr>
        <w:t>is now required to</w:t>
      </w:r>
      <w:r>
        <w:rPr>
          <w:rFonts w:ascii="Arial" w:hAnsi="Arial" w:cs="Arial"/>
          <w:sz w:val="24"/>
          <w:szCs w:val="24"/>
        </w:rPr>
        <w:t xml:space="preserve"> drop sufficient Shasta generation </w:t>
      </w:r>
      <w:r w:rsidR="00835683">
        <w:rPr>
          <w:rFonts w:ascii="Arial" w:hAnsi="Arial" w:cs="Arial"/>
          <w:sz w:val="24"/>
          <w:szCs w:val="24"/>
        </w:rPr>
        <w:t xml:space="preserve">quicker </w:t>
      </w:r>
      <w:r>
        <w:rPr>
          <w:rFonts w:ascii="Arial" w:hAnsi="Arial" w:cs="Arial"/>
          <w:sz w:val="24"/>
          <w:szCs w:val="24"/>
        </w:rPr>
        <w:t>to bring the line loading within its normal rating</w:t>
      </w:r>
      <w:r w:rsidR="001435DA">
        <w:rPr>
          <w:rFonts w:ascii="Arial" w:hAnsi="Arial" w:cs="Arial"/>
          <w:sz w:val="24"/>
          <w:szCs w:val="24"/>
        </w:rPr>
        <w:t xml:space="preserve"> (Attachment 5, Figure 5-2)</w:t>
      </w:r>
      <w:r>
        <w:rPr>
          <w:rFonts w:ascii="Arial" w:hAnsi="Arial" w:cs="Arial"/>
          <w:sz w:val="24"/>
          <w:szCs w:val="24"/>
        </w:rPr>
        <w:t xml:space="preserve">.  This SPS </w:t>
      </w:r>
      <w:r w:rsidR="00824EE1">
        <w:rPr>
          <w:rFonts w:ascii="Arial" w:hAnsi="Arial" w:cs="Arial"/>
          <w:sz w:val="24"/>
          <w:szCs w:val="24"/>
        </w:rPr>
        <w:t>will be developed and put in operation</w:t>
      </w:r>
      <w:r>
        <w:rPr>
          <w:rFonts w:ascii="Arial" w:hAnsi="Arial" w:cs="Arial"/>
          <w:sz w:val="24"/>
          <w:szCs w:val="24"/>
        </w:rPr>
        <w:t xml:space="preserve"> </w:t>
      </w:r>
      <w:r w:rsidR="00835683">
        <w:rPr>
          <w:rFonts w:ascii="Arial" w:hAnsi="Arial" w:cs="Arial"/>
          <w:sz w:val="24"/>
          <w:szCs w:val="24"/>
        </w:rPr>
        <w:t>at Shasta prior to Spring 2010 when Shasta Power Plant generation would be expected to be high</w:t>
      </w:r>
      <w:r w:rsidR="00824EE1">
        <w:rPr>
          <w:rFonts w:ascii="Arial" w:hAnsi="Arial" w:cs="Arial"/>
          <w:sz w:val="24"/>
          <w:szCs w:val="24"/>
        </w:rPr>
        <w:t xml:space="preserve"> during Spring run-off conditions</w:t>
      </w:r>
      <w:r w:rsidR="00835683">
        <w:rPr>
          <w:rFonts w:ascii="Arial" w:hAnsi="Arial" w:cs="Arial"/>
          <w:sz w:val="24"/>
          <w:szCs w:val="24"/>
        </w:rPr>
        <w:t>.</w:t>
      </w:r>
      <w:r>
        <w:rPr>
          <w:rFonts w:ascii="Arial" w:hAnsi="Arial" w:cs="Arial"/>
          <w:sz w:val="24"/>
          <w:szCs w:val="24"/>
        </w:rPr>
        <w:t xml:space="preserve">  In the mean time, Shasta generation along with the flow on the 230 kV lines to Cottonwood </w:t>
      </w:r>
      <w:r w:rsidR="00824EE1">
        <w:rPr>
          <w:rFonts w:ascii="Arial" w:hAnsi="Arial" w:cs="Arial"/>
          <w:sz w:val="24"/>
          <w:szCs w:val="24"/>
        </w:rPr>
        <w:t>will continue to be</w:t>
      </w:r>
      <w:r>
        <w:rPr>
          <w:rFonts w:ascii="Arial" w:hAnsi="Arial" w:cs="Arial"/>
          <w:sz w:val="24"/>
          <w:szCs w:val="24"/>
        </w:rPr>
        <w:t xml:space="preserve"> monitored </w:t>
      </w:r>
      <w:r w:rsidR="00824EE1">
        <w:rPr>
          <w:rFonts w:ascii="Arial" w:hAnsi="Arial" w:cs="Arial"/>
          <w:sz w:val="24"/>
          <w:szCs w:val="24"/>
        </w:rPr>
        <w:t>per an o</w:t>
      </w:r>
      <w:r w:rsidR="00835683">
        <w:rPr>
          <w:rFonts w:ascii="Arial" w:hAnsi="Arial" w:cs="Arial"/>
          <w:sz w:val="24"/>
          <w:szCs w:val="24"/>
        </w:rPr>
        <w:t xml:space="preserve">perating procedure </w:t>
      </w:r>
      <w:r>
        <w:rPr>
          <w:rFonts w:ascii="Arial" w:hAnsi="Arial" w:cs="Arial"/>
          <w:sz w:val="24"/>
          <w:szCs w:val="24"/>
        </w:rPr>
        <w:t xml:space="preserve">such that a post-contingency </w:t>
      </w:r>
      <w:r w:rsidR="00507F76">
        <w:rPr>
          <w:rFonts w:ascii="Arial" w:hAnsi="Arial" w:cs="Arial"/>
          <w:sz w:val="24"/>
          <w:szCs w:val="24"/>
        </w:rPr>
        <w:t xml:space="preserve">overload above emergency rating limits </w:t>
      </w:r>
      <w:r>
        <w:rPr>
          <w:rFonts w:ascii="Arial" w:hAnsi="Arial" w:cs="Arial"/>
          <w:sz w:val="24"/>
          <w:szCs w:val="24"/>
        </w:rPr>
        <w:t>will not happen until an SPS is in place.</w:t>
      </w:r>
      <w:r w:rsidR="00835683">
        <w:rPr>
          <w:rFonts w:ascii="Arial" w:hAnsi="Arial" w:cs="Arial"/>
          <w:sz w:val="24"/>
          <w:szCs w:val="24"/>
        </w:rPr>
        <w:t xml:space="preserve">  Since Shasta generation is typically much lower during the Fall and Winter seasons, curtailment of Shasta generation is not expected </w:t>
      </w:r>
      <w:r w:rsidR="00462DC0">
        <w:rPr>
          <w:rFonts w:ascii="Arial" w:hAnsi="Arial" w:cs="Arial"/>
          <w:sz w:val="24"/>
          <w:szCs w:val="24"/>
        </w:rPr>
        <w:t xml:space="preserve">prior to having the SPS </w:t>
      </w:r>
      <w:r w:rsidR="00835683">
        <w:rPr>
          <w:rFonts w:ascii="Arial" w:hAnsi="Arial" w:cs="Arial"/>
          <w:sz w:val="24"/>
          <w:szCs w:val="24"/>
        </w:rPr>
        <w:t>in operation.</w:t>
      </w:r>
    </w:p>
    <w:p w:rsidR="006072AC" w:rsidRDefault="006072AC" w:rsidP="00896925">
      <w:pPr>
        <w:rPr>
          <w:rFonts w:ascii="Arial" w:hAnsi="Arial" w:cs="Arial"/>
          <w:sz w:val="24"/>
          <w:szCs w:val="24"/>
        </w:rPr>
      </w:pPr>
    </w:p>
    <w:p w:rsidR="006072AC" w:rsidRDefault="006072AC" w:rsidP="00A72E2C">
      <w:pPr>
        <w:jc w:val="both"/>
        <w:rPr>
          <w:rFonts w:ascii="Arial" w:hAnsi="Arial" w:cs="Arial"/>
          <w:sz w:val="24"/>
          <w:szCs w:val="24"/>
        </w:rPr>
      </w:pPr>
      <w:r>
        <w:rPr>
          <w:rFonts w:ascii="Arial" w:hAnsi="Arial" w:cs="Arial"/>
          <w:sz w:val="24"/>
          <w:szCs w:val="24"/>
        </w:rPr>
        <w:t>An outage of part of the WASN portion of Elverta Substation</w:t>
      </w:r>
      <w:r w:rsidR="004F2966">
        <w:rPr>
          <w:rFonts w:ascii="Arial" w:hAnsi="Arial" w:cs="Arial"/>
          <w:sz w:val="24"/>
          <w:szCs w:val="24"/>
        </w:rPr>
        <w:t xml:space="preserve"> (the East section)</w:t>
      </w:r>
      <w:r w:rsidR="008C49A6">
        <w:rPr>
          <w:rFonts w:ascii="Arial" w:hAnsi="Arial" w:cs="Arial"/>
          <w:sz w:val="24"/>
          <w:szCs w:val="24"/>
        </w:rPr>
        <w:t xml:space="preserve"> can </w:t>
      </w:r>
      <w:r w:rsidR="008C49A6">
        <w:rPr>
          <w:rFonts w:ascii="Arial" w:hAnsi="Arial" w:cs="Arial"/>
          <w:sz w:val="24"/>
          <w:szCs w:val="24"/>
        </w:rPr>
        <w:lastRenderedPageBreak/>
        <w:t>result in overloading the Hurley-Natom</w:t>
      </w:r>
      <w:r w:rsidR="00032596">
        <w:rPr>
          <w:rFonts w:ascii="Arial" w:hAnsi="Arial" w:cs="Arial"/>
          <w:sz w:val="24"/>
          <w:szCs w:val="24"/>
        </w:rPr>
        <w:t xml:space="preserve">as </w:t>
      </w:r>
      <w:r w:rsidR="008C49A6">
        <w:rPr>
          <w:rFonts w:ascii="Arial" w:hAnsi="Arial" w:cs="Arial"/>
          <w:sz w:val="24"/>
          <w:szCs w:val="24"/>
        </w:rPr>
        <w:t>and the Hurley</w:t>
      </w:r>
      <w:r>
        <w:rPr>
          <w:rFonts w:ascii="Arial" w:hAnsi="Arial" w:cs="Arial"/>
          <w:sz w:val="24"/>
          <w:szCs w:val="24"/>
        </w:rPr>
        <w:t>-Elverta 230 kV line</w:t>
      </w:r>
      <w:r w:rsidR="00032596">
        <w:rPr>
          <w:rFonts w:ascii="Arial" w:hAnsi="Arial" w:cs="Arial"/>
          <w:sz w:val="24"/>
          <w:szCs w:val="24"/>
        </w:rPr>
        <w:t>s</w:t>
      </w:r>
      <w:r w:rsidR="001E43B4">
        <w:rPr>
          <w:rFonts w:ascii="Arial" w:hAnsi="Arial" w:cs="Arial"/>
          <w:sz w:val="24"/>
          <w:szCs w:val="24"/>
        </w:rPr>
        <w:t xml:space="preserve"> (Attachment 5, Figure 5-3)</w:t>
      </w:r>
      <w:r>
        <w:rPr>
          <w:rFonts w:ascii="Arial" w:hAnsi="Arial" w:cs="Arial"/>
          <w:sz w:val="24"/>
          <w:szCs w:val="24"/>
        </w:rPr>
        <w:t>.</w:t>
      </w:r>
      <w:r w:rsidR="008C49A6">
        <w:rPr>
          <w:rFonts w:ascii="Arial" w:hAnsi="Arial" w:cs="Arial"/>
          <w:sz w:val="24"/>
          <w:szCs w:val="24"/>
        </w:rPr>
        <w:t xml:space="preserve">  The Hurley-Elverta 230 kV line overload is mitigated by an SPS already in operation to drop Sutter Power Plant generation</w:t>
      </w:r>
      <w:r w:rsidR="001E43B4">
        <w:rPr>
          <w:rFonts w:ascii="Arial" w:hAnsi="Arial" w:cs="Arial"/>
          <w:sz w:val="24"/>
          <w:szCs w:val="24"/>
        </w:rPr>
        <w:t xml:space="preserve"> (Attachment 5, Figure 5-4)</w:t>
      </w:r>
      <w:r w:rsidR="008C49A6">
        <w:rPr>
          <w:rFonts w:ascii="Arial" w:hAnsi="Arial" w:cs="Arial"/>
          <w:sz w:val="24"/>
          <w:szCs w:val="24"/>
        </w:rPr>
        <w:t>.  The Hurley-Natomas line loads to 103% of its emergency rating of 319 MVA.</w:t>
      </w:r>
      <w:r w:rsidR="00016D5D">
        <w:rPr>
          <w:rFonts w:ascii="Arial" w:hAnsi="Arial" w:cs="Arial"/>
          <w:sz w:val="24"/>
          <w:szCs w:val="24"/>
        </w:rPr>
        <w:t xml:space="preserve">  Completion and operation of the Sa</w:t>
      </w:r>
      <w:r w:rsidR="00DE620A">
        <w:rPr>
          <w:rFonts w:ascii="Arial" w:hAnsi="Arial" w:cs="Arial"/>
          <w:sz w:val="24"/>
          <w:szCs w:val="24"/>
        </w:rPr>
        <w:t xml:space="preserve">cramento Voltage Support Project </w:t>
      </w:r>
      <w:r w:rsidR="00016D5D">
        <w:rPr>
          <w:rFonts w:ascii="Arial" w:hAnsi="Arial" w:cs="Arial"/>
          <w:sz w:val="24"/>
          <w:szCs w:val="24"/>
        </w:rPr>
        <w:t>(new 230 kV lines from O’Banion to Natomas and S</w:t>
      </w:r>
      <w:r w:rsidR="00BE33CE">
        <w:rPr>
          <w:rFonts w:ascii="Arial" w:hAnsi="Arial" w:cs="Arial"/>
          <w:sz w:val="24"/>
          <w:szCs w:val="24"/>
        </w:rPr>
        <w:t>MUD</w:t>
      </w:r>
      <w:r w:rsidR="00016D5D">
        <w:rPr>
          <w:rFonts w:ascii="Arial" w:hAnsi="Arial" w:cs="Arial"/>
          <w:sz w:val="24"/>
          <w:szCs w:val="24"/>
        </w:rPr>
        <w:t>’s side of the Elverta Substation mitigates this overload</w:t>
      </w:r>
      <w:r w:rsidR="001E43B4">
        <w:rPr>
          <w:rFonts w:ascii="Arial" w:hAnsi="Arial" w:cs="Arial"/>
          <w:sz w:val="24"/>
          <w:szCs w:val="24"/>
        </w:rPr>
        <w:t xml:space="preserve"> (Attachment 5, Figure 5-5)</w:t>
      </w:r>
      <w:r w:rsidR="00016D5D">
        <w:rPr>
          <w:rFonts w:ascii="Arial" w:hAnsi="Arial" w:cs="Arial"/>
          <w:sz w:val="24"/>
          <w:szCs w:val="24"/>
        </w:rPr>
        <w:t>.</w:t>
      </w:r>
      <w:r w:rsidR="00DE620A">
        <w:rPr>
          <w:rFonts w:ascii="Arial" w:hAnsi="Arial" w:cs="Arial"/>
          <w:sz w:val="24"/>
          <w:szCs w:val="24"/>
        </w:rPr>
        <w:t xml:space="preserve">  This project is progressing on schedule for operation in Spring 2011.</w:t>
      </w:r>
    </w:p>
    <w:p w:rsidR="002A49F3" w:rsidRDefault="002A49F3" w:rsidP="00896925">
      <w:pPr>
        <w:rPr>
          <w:rFonts w:ascii="Arial" w:hAnsi="Arial" w:cs="Arial"/>
          <w:sz w:val="24"/>
          <w:szCs w:val="24"/>
        </w:rPr>
      </w:pPr>
    </w:p>
    <w:p w:rsidR="002A49F3" w:rsidRPr="00417BEB" w:rsidRDefault="002A49F3" w:rsidP="00A72E2C">
      <w:pPr>
        <w:jc w:val="both"/>
        <w:rPr>
          <w:rFonts w:ascii="Arial" w:hAnsi="Arial" w:cs="Arial"/>
          <w:sz w:val="24"/>
          <w:szCs w:val="24"/>
        </w:rPr>
      </w:pPr>
      <w:r>
        <w:rPr>
          <w:rFonts w:ascii="Arial" w:hAnsi="Arial" w:cs="Arial"/>
          <w:bCs/>
          <w:sz w:val="24"/>
          <w:szCs w:val="24"/>
        </w:rPr>
        <w:t>T</w:t>
      </w:r>
      <w:r w:rsidRPr="00403FD9">
        <w:rPr>
          <w:rFonts w:ascii="Arial" w:hAnsi="Arial" w:cs="Arial"/>
          <w:sz w:val="24"/>
          <w:szCs w:val="24"/>
        </w:rPr>
        <w:t>hermal loading and Sacramento Area import capability continue to be increased</w:t>
      </w:r>
      <w:r>
        <w:rPr>
          <w:rFonts w:ascii="Arial" w:hAnsi="Arial" w:cs="Arial"/>
          <w:sz w:val="24"/>
          <w:szCs w:val="24"/>
        </w:rPr>
        <w:t xml:space="preserve"> (~200 MW)</w:t>
      </w:r>
      <w:r w:rsidRPr="00403FD9">
        <w:rPr>
          <w:rFonts w:ascii="Arial" w:hAnsi="Arial" w:cs="Arial"/>
          <w:sz w:val="24"/>
          <w:szCs w:val="24"/>
        </w:rPr>
        <w:t xml:space="preserve"> with the Sacramento Voltage Support (SVS) Project (new 230 kV lines from O’Banion Substation to Elverta and Natomas Substations) in operation.  Without the project, reliance on dropping the Sutter Power Plant for certain outages will continue to increase.  Presently, the plant must be dropped immediately upon an outage of only one of the O’Banion-Elverta 230 kV lines.  </w:t>
      </w:r>
      <w:r>
        <w:rPr>
          <w:rFonts w:ascii="Arial" w:hAnsi="Arial" w:cs="Arial"/>
          <w:sz w:val="24"/>
          <w:szCs w:val="24"/>
        </w:rPr>
        <w:t xml:space="preserve">In future years, the transmission system to import power into the Sacramento Area will be thermally insufficient without the two new transmission lines that form the SVS Project.  In addition, maintaining reliable and sufficient import capability is dependent on the Sacramento Municipal Utility District’s (SMUD) continuing effort to install reactive voltage support as their load grows.  This project is identified with meeting NERC Planning Standards TPL-002 and TPL-003.  </w:t>
      </w:r>
      <w:r w:rsidR="00027220">
        <w:rPr>
          <w:rFonts w:ascii="Arial" w:hAnsi="Arial" w:cs="Arial"/>
          <w:sz w:val="24"/>
          <w:szCs w:val="24"/>
        </w:rPr>
        <w:t>The pre SVS system and performance is captured in Figures 5-6 thru 5-8)</w:t>
      </w:r>
      <w:r w:rsidR="00B06E6B">
        <w:rPr>
          <w:rFonts w:ascii="Arial" w:hAnsi="Arial" w:cs="Arial"/>
          <w:sz w:val="24"/>
          <w:szCs w:val="24"/>
        </w:rPr>
        <w:t xml:space="preserve">.  Figure 5-6 is the normal system, Figure 5-7 includes an outage of </w:t>
      </w:r>
      <w:r w:rsidR="00707148">
        <w:rPr>
          <w:rFonts w:ascii="Arial" w:hAnsi="Arial" w:cs="Arial"/>
          <w:sz w:val="24"/>
          <w:szCs w:val="24"/>
        </w:rPr>
        <w:t>one of two O”Banion-Elverta 230 kV</w:t>
      </w:r>
      <w:r w:rsidR="00B06E6B">
        <w:rPr>
          <w:rFonts w:ascii="Arial" w:hAnsi="Arial" w:cs="Arial"/>
          <w:sz w:val="24"/>
          <w:szCs w:val="24"/>
        </w:rPr>
        <w:t xml:space="preserve"> lines and Figure 5-8 includes an outage of </w:t>
      </w:r>
      <w:r w:rsidR="00936C2E">
        <w:rPr>
          <w:rFonts w:ascii="Arial" w:hAnsi="Arial" w:cs="Arial"/>
          <w:sz w:val="24"/>
          <w:szCs w:val="24"/>
        </w:rPr>
        <w:t>one of two O”Banion-Elverta 230 kV lines</w:t>
      </w:r>
      <w:r w:rsidR="00B06E6B">
        <w:rPr>
          <w:rFonts w:ascii="Arial" w:hAnsi="Arial" w:cs="Arial"/>
          <w:sz w:val="24"/>
          <w:szCs w:val="24"/>
        </w:rPr>
        <w:t xml:space="preserve"> 230 kV lines</w:t>
      </w:r>
      <w:r w:rsidR="00707148">
        <w:rPr>
          <w:rFonts w:ascii="Arial" w:hAnsi="Arial" w:cs="Arial"/>
          <w:sz w:val="24"/>
          <w:szCs w:val="24"/>
        </w:rPr>
        <w:t xml:space="preserve"> along with dropping Sutter P</w:t>
      </w:r>
      <w:r w:rsidR="00B06E6B">
        <w:rPr>
          <w:rFonts w:ascii="Arial" w:hAnsi="Arial" w:cs="Arial"/>
          <w:sz w:val="24"/>
          <w:szCs w:val="24"/>
        </w:rPr>
        <w:t>ower</w:t>
      </w:r>
      <w:r w:rsidR="00707148">
        <w:rPr>
          <w:rFonts w:ascii="Arial" w:hAnsi="Arial" w:cs="Arial"/>
          <w:sz w:val="24"/>
          <w:szCs w:val="24"/>
        </w:rPr>
        <w:t xml:space="preserve"> P</w:t>
      </w:r>
      <w:r w:rsidR="00B06E6B">
        <w:rPr>
          <w:rFonts w:ascii="Arial" w:hAnsi="Arial" w:cs="Arial"/>
          <w:sz w:val="24"/>
          <w:szCs w:val="24"/>
        </w:rPr>
        <w:t>lant generation.</w:t>
      </w:r>
      <w:r w:rsidR="00936C2E">
        <w:rPr>
          <w:rFonts w:ascii="Arial" w:hAnsi="Arial" w:cs="Arial"/>
          <w:sz w:val="24"/>
          <w:szCs w:val="24"/>
        </w:rPr>
        <w:t xml:space="preserve">  Figure 5-9 represents the system with the SVS Project in operation and Figure </w:t>
      </w:r>
      <w:r w:rsidR="0080551F">
        <w:rPr>
          <w:rFonts w:ascii="Arial" w:hAnsi="Arial" w:cs="Arial"/>
          <w:sz w:val="24"/>
          <w:szCs w:val="24"/>
        </w:rPr>
        <w:t xml:space="preserve">5-10 </w:t>
      </w:r>
      <w:r w:rsidR="00936C2E">
        <w:rPr>
          <w:rFonts w:ascii="Arial" w:hAnsi="Arial" w:cs="Arial"/>
          <w:sz w:val="24"/>
          <w:szCs w:val="24"/>
        </w:rPr>
        <w:t>shows the SVS Project along with an outage of both Rancho Seco</w:t>
      </w:r>
      <w:r w:rsidR="00DD2B5C">
        <w:rPr>
          <w:rFonts w:ascii="Arial" w:hAnsi="Arial" w:cs="Arial"/>
          <w:sz w:val="24"/>
          <w:szCs w:val="24"/>
        </w:rPr>
        <w:t>-Belotta</w:t>
      </w:r>
      <w:r w:rsidR="00936C2E">
        <w:rPr>
          <w:rFonts w:ascii="Arial" w:hAnsi="Arial" w:cs="Arial"/>
          <w:sz w:val="24"/>
          <w:szCs w:val="24"/>
        </w:rPr>
        <w:t xml:space="preserve"> 230 kV lines.</w:t>
      </w:r>
      <w:r w:rsidR="00DD2B5C">
        <w:rPr>
          <w:rFonts w:ascii="Arial" w:hAnsi="Arial" w:cs="Arial"/>
          <w:sz w:val="24"/>
          <w:szCs w:val="24"/>
        </w:rPr>
        <w:t xml:space="preserve">  A</w:t>
      </w:r>
      <w:r w:rsidR="001C17A5">
        <w:rPr>
          <w:rFonts w:ascii="Arial" w:hAnsi="Arial" w:cs="Arial"/>
          <w:sz w:val="24"/>
          <w:szCs w:val="24"/>
        </w:rPr>
        <w:t xml:space="preserve"> Power versus Voltage (PV) analysis was conducted and showed that with sufficient voltage support maintained within the SMUD area, the ability to import power into the SMUD and Roseville areas can be increased by ~200 mw with the SVS Project.  In addition to annual transmission assessments, reliability within the Sacramento area is maintained on a yearly basis through the operational studies conducted by the Sacramento Valley Study Group where their study for 2009 shows the Sacramento Area imports limited by voltage stability.</w:t>
      </w:r>
      <w:r w:rsidR="00DD2B5C">
        <w:rPr>
          <w:rFonts w:ascii="Arial" w:hAnsi="Arial" w:cs="Arial"/>
          <w:sz w:val="24"/>
          <w:szCs w:val="24"/>
        </w:rPr>
        <w:t xml:space="preserve">  This group defines nomogram operation within operating procedures for maintain reliable operation.</w:t>
      </w:r>
    </w:p>
    <w:p w:rsidR="002A49F3" w:rsidRDefault="002A49F3" w:rsidP="002A49F3">
      <w:pPr>
        <w:rPr>
          <w:rFonts w:ascii="Arial" w:hAnsi="Arial" w:cs="Arial"/>
          <w:sz w:val="24"/>
          <w:szCs w:val="24"/>
        </w:rPr>
      </w:pPr>
    </w:p>
    <w:p w:rsidR="002A49F3" w:rsidRPr="00417BEB" w:rsidRDefault="002A49F3" w:rsidP="00A72E2C">
      <w:pPr>
        <w:jc w:val="both"/>
        <w:rPr>
          <w:rFonts w:ascii="Arial" w:hAnsi="Arial" w:cs="Arial"/>
          <w:sz w:val="24"/>
          <w:szCs w:val="24"/>
        </w:rPr>
      </w:pPr>
      <w:r w:rsidRPr="00417BEB">
        <w:rPr>
          <w:rFonts w:ascii="Arial" w:hAnsi="Arial" w:cs="Arial"/>
          <w:sz w:val="24"/>
          <w:szCs w:val="24"/>
        </w:rPr>
        <w:t>Using a 2015 peak summer base case developed for another study and including future planned voltage support within the SMUD Area, an outage of both RanchoSeco-Bellota 230 kV lines</w:t>
      </w:r>
      <w:r w:rsidR="00755825">
        <w:rPr>
          <w:rFonts w:ascii="Arial" w:hAnsi="Arial" w:cs="Arial"/>
          <w:sz w:val="24"/>
          <w:szCs w:val="24"/>
        </w:rPr>
        <w:t xml:space="preserve"> (Attachment 5, Figure 5-11)</w:t>
      </w:r>
      <w:r w:rsidRPr="00417BEB">
        <w:rPr>
          <w:rFonts w:ascii="Arial" w:hAnsi="Arial" w:cs="Arial"/>
          <w:sz w:val="24"/>
          <w:szCs w:val="24"/>
        </w:rPr>
        <w:t xml:space="preserve"> in combination with the Sutter Power Plant off-line</w:t>
      </w:r>
      <w:r w:rsidR="00755825">
        <w:rPr>
          <w:rFonts w:ascii="Arial" w:hAnsi="Arial" w:cs="Arial"/>
          <w:sz w:val="24"/>
          <w:szCs w:val="24"/>
        </w:rPr>
        <w:t xml:space="preserve"> (Attachment 5, Figure 5-12)</w:t>
      </w:r>
      <w:r w:rsidRPr="00417BEB">
        <w:rPr>
          <w:rFonts w:ascii="Arial" w:hAnsi="Arial" w:cs="Arial"/>
          <w:sz w:val="24"/>
          <w:szCs w:val="24"/>
        </w:rPr>
        <w:t xml:space="preserve"> will cause the Tracy-Hurley 230 kV lines  # 1and #2 to load to </w:t>
      </w:r>
      <w:r w:rsidR="0067388B">
        <w:rPr>
          <w:rFonts w:ascii="Arial" w:hAnsi="Arial" w:cs="Arial"/>
          <w:sz w:val="24"/>
          <w:szCs w:val="24"/>
        </w:rPr>
        <w:t>~98% and ~100%</w:t>
      </w:r>
      <w:r w:rsidRPr="00417BEB">
        <w:rPr>
          <w:rFonts w:ascii="Arial" w:hAnsi="Arial" w:cs="Arial"/>
          <w:sz w:val="24"/>
          <w:szCs w:val="24"/>
        </w:rPr>
        <w:t xml:space="preserve"> respectively of their emergency ratings</w:t>
      </w:r>
      <w:r w:rsidR="00755825">
        <w:rPr>
          <w:rFonts w:ascii="Arial" w:hAnsi="Arial" w:cs="Arial"/>
          <w:sz w:val="24"/>
          <w:szCs w:val="24"/>
        </w:rPr>
        <w:t xml:space="preserve"> (Attachment 5, Figure 5-13)</w:t>
      </w:r>
      <w:r w:rsidRPr="00417BEB">
        <w:rPr>
          <w:rFonts w:ascii="Arial" w:hAnsi="Arial" w:cs="Arial"/>
          <w:sz w:val="24"/>
          <w:szCs w:val="24"/>
        </w:rPr>
        <w:t>.  This limiting contingency is consistent with Sacramento Area operation as outlined each year by the Sacramento Valley Study Group (SVSG).  This group produces an annual assessment defining operating limits and reliable load serving capability for the Sacramento Municipal Utility District and City of Roseville service areas.</w:t>
      </w:r>
      <w:r>
        <w:rPr>
          <w:rFonts w:ascii="Arial" w:hAnsi="Arial" w:cs="Arial"/>
          <w:sz w:val="24"/>
          <w:szCs w:val="24"/>
        </w:rPr>
        <w:t xml:space="preserve">  Based on this information, a project to mitigate the potential overloading </w:t>
      </w:r>
      <w:r w:rsidR="00585587">
        <w:rPr>
          <w:rFonts w:ascii="Arial" w:hAnsi="Arial" w:cs="Arial"/>
          <w:sz w:val="24"/>
          <w:szCs w:val="24"/>
        </w:rPr>
        <w:t>may need</w:t>
      </w:r>
      <w:r>
        <w:rPr>
          <w:rFonts w:ascii="Arial" w:hAnsi="Arial" w:cs="Arial"/>
          <w:sz w:val="24"/>
          <w:szCs w:val="24"/>
        </w:rPr>
        <w:t xml:space="preserve"> to be in place prior to 2015 summer.  </w:t>
      </w:r>
      <w:r w:rsidR="00F07C60">
        <w:rPr>
          <w:rFonts w:ascii="Arial" w:hAnsi="Arial" w:cs="Arial"/>
          <w:sz w:val="24"/>
          <w:szCs w:val="24"/>
        </w:rPr>
        <w:t xml:space="preserve">Alternatives can be to continue to use a </w:t>
      </w:r>
      <w:r w:rsidR="00F07C60">
        <w:rPr>
          <w:rFonts w:ascii="Arial" w:hAnsi="Arial" w:cs="Arial"/>
          <w:sz w:val="24"/>
          <w:szCs w:val="24"/>
        </w:rPr>
        <w:lastRenderedPageBreak/>
        <w:t>nomogram for Sacramento area load, generation in that area and imported power and therefore, as required and allowed by NERC Planning Standard TPL-003, reduce or drop load in the Sacramento area upon an outage of both Ranch</w:t>
      </w:r>
      <w:r w:rsidR="00EA641A">
        <w:rPr>
          <w:rFonts w:ascii="Arial" w:hAnsi="Arial" w:cs="Arial"/>
          <w:sz w:val="24"/>
          <w:szCs w:val="24"/>
        </w:rPr>
        <w:t xml:space="preserve">o Seco-Bellota 230 kV lines or </w:t>
      </w:r>
      <w:r w:rsidR="00F07C60">
        <w:rPr>
          <w:rFonts w:ascii="Arial" w:hAnsi="Arial" w:cs="Arial"/>
          <w:sz w:val="24"/>
          <w:szCs w:val="24"/>
        </w:rPr>
        <w:t>reconductor the lines with a larger ampacity conductor.</w:t>
      </w:r>
    </w:p>
    <w:p w:rsidR="00896925" w:rsidRPr="00465AD6" w:rsidRDefault="00896925" w:rsidP="00896925">
      <w:pPr>
        <w:rPr>
          <w:rFonts w:ascii="Arial" w:hAnsi="Arial" w:cs="Arial"/>
          <w:sz w:val="24"/>
          <w:szCs w:val="24"/>
        </w:rPr>
      </w:pPr>
    </w:p>
    <w:p w:rsidR="007B5113" w:rsidRDefault="007B5113" w:rsidP="00A72E2C">
      <w:pPr>
        <w:jc w:val="both"/>
        <w:rPr>
          <w:rFonts w:ascii="Arial" w:hAnsi="Arial" w:cs="Arial"/>
          <w:sz w:val="24"/>
          <w:szCs w:val="24"/>
        </w:rPr>
      </w:pPr>
      <w:r w:rsidRPr="00465AD6">
        <w:rPr>
          <w:rFonts w:ascii="Arial" w:hAnsi="Arial" w:cs="Arial"/>
          <w:sz w:val="24"/>
          <w:szCs w:val="24"/>
        </w:rPr>
        <w:t xml:space="preserve">The study results demonstrate that no post-transient problems were discovered and that reactive margin exists when the Northern California load was increased by </w:t>
      </w:r>
      <w:r w:rsidR="008F20C5">
        <w:rPr>
          <w:rFonts w:ascii="Arial" w:hAnsi="Arial" w:cs="Arial"/>
          <w:sz w:val="24"/>
          <w:szCs w:val="24"/>
        </w:rPr>
        <w:t>2.</w:t>
      </w:r>
      <w:r w:rsidRPr="00465AD6">
        <w:rPr>
          <w:rFonts w:ascii="Arial" w:hAnsi="Arial" w:cs="Arial"/>
          <w:sz w:val="24"/>
          <w:szCs w:val="24"/>
        </w:rPr>
        <w:t xml:space="preserve">5% for a </w:t>
      </w:r>
      <w:r w:rsidR="008F20C5">
        <w:rPr>
          <w:rFonts w:ascii="Arial" w:hAnsi="Arial" w:cs="Arial"/>
          <w:sz w:val="24"/>
          <w:szCs w:val="24"/>
        </w:rPr>
        <w:t>double</w:t>
      </w:r>
      <w:r w:rsidRPr="00465AD6">
        <w:rPr>
          <w:rFonts w:ascii="Arial" w:hAnsi="Arial" w:cs="Arial"/>
          <w:sz w:val="24"/>
          <w:szCs w:val="24"/>
        </w:rPr>
        <w:t xml:space="preserve"> contingency</w:t>
      </w:r>
      <w:r>
        <w:rPr>
          <w:rFonts w:ascii="Arial" w:hAnsi="Arial" w:cs="Arial"/>
          <w:sz w:val="24"/>
          <w:szCs w:val="24"/>
        </w:rPr>
        <w:t xml:space="preserve"> (</w:t>
      </w:r>
      <w:r w:rsidR="00B56DF8">
        <w:rPr>
          <w:rFonts w:ascii="Arial" w:hAnsi="Arial" w:cs="Arial"/>
          <w:sz w:val="24"/>
          <w:szCs w:val="24"/>
        </w:rPr>
        <w:t>Attachment 5, Figures</w:t>
      </w:r>
      <w:r w:rsidR="008571E4">
        <w:rPr>
          <w:rFonts w:ascii="Arial" w:hAnsi="Arial" w:cs="Arial"/>
          <w:sz w:val="24"/>
          <w:szCs w:val="24"/>
        </w:rPr>
        <w:t xml:space="preserve"> 5-14 thru 5-17</w:t>
      </w:r>
      <w:r w:rsidR="00B56DF8">
        <w:rPr>
          <w:rFonts w:ascii="Arial" w:hAnsi="Arial" w:cs="Arial"/>
          <w:sz w:val="24"/>
          <w:szCs w:val="24"/>
        </w:rPr>
        <w:t xml:space="preserve"> </w:t>
      </w:r>
      <w:r>
        <w:rPr>
          <w:rFonts w:ascii="Arial" w:hAnsi="Arial" w:cs="Arial"/>
          <w:sz w:val="24"/>
          <w:szCs w:val="24"/>
        </w:rPr>
        <w:t>)</w:t>
      </w:r>
      <w:r w:rsidRPr="00465AD6">
        <w:rPr>
          <w:rFonts w:ascii="Arial" w:hAnsi="Arial" w:cs="Arial"/>
          <w:sz w:val="24"/>
          <w:szCs w:val="24"/>
        </w:rPr>
        <w:t>.</w:t>
      </w:r>
    </w:p>
    <w:p w:rsidR="007B5113" w:rsidRDefault="007B5113" w:rsidP="007B5113">
      <w:pPr>
        <w:rPr>
          <w:rFonts w:ascii="Arial" w:hAnsi="Arial" w:cs="Arial"/>
          <w:sz w:val="24"/>
          <w:szCs w:val="24"/>
        </w:rPr>
      </w:pPr>
    </w:p>
    <w:p w:rsidR="007B5113" w:rsidRPr="00465AD6" w:rsidRDefault="007B5113" w:rsidP="007B5113">
      <w:pPr>
        <w:rPr>
          <w:rFonts w:ascii="Arial" w:hAnsi="Arial" w:cs="Arial"/>
          <w:sz w:val="24"/>
          <w:szCs w:val="24"/>
        </w:rPr>
      </w:pPr>
      <w:r>
        <w:rPr>
          <w:rFonts w:ascii="Arial" w:hAnsi="Arial" w:cs="Arial"/>
          <w:sz w:val="24"/>
          <w:szCs w:val="24"/>
        </w:rPr>
        <w:t>The study results demonstrate that no dynamic stability problems were discovered and that simulations were damped (</w:t>
      </w:r>
      <w:r w:rsidR="00B56DF8">
        <w:rPr>
          <w:rFonts w:ascii="Arial" w:hAnsi="Arial" w:cs="Arial"/>
          <w:sz w:val="24"/>
          <w:szCs w:val="24"/>
        </w:rPr>
        <w:t>Attachment 5, Figures</w:t>
      </w:r>
      <w:r w:rsidR="003C5D0B">
        <w:rPr>
          <w:rFonts w:ascii="Arial" w:hAnsi="Arial" w:cs="Arial"/>
          <w:sz w:val="24"/>
          <w:szCs w:val="24"/>
        </w:rPr>
        <w:t>18 thru 25)</w:t>
      </w:r>
      <w:r>
        <w:rPr>
          <w:rFonts w:ascii="Arial" w:hAnsi="Arial" w:cs="Arial"/>
          <w:sz w:val="24"/>
          <w:szCs w:val="24"/>
        </w:rPr>
        <w:t>.</w:t>
      </w:r>
    </w:p>
    <w:p w:rsidR="00896925" w:rsidRPr="00465AD6" w:rsidRDefault="00896925" w:rsidP="00896925">
      <w:pPr>
        <w:rPr>
          <w:rFonts w:ascii="Arial" w:hAnsi="Arial" w:cs="Arial"/>
          <w:sz w:val="24"/>
          <w:szCs w:val="24"/>
        </w:rPr>
      </w:pPr>
    </w:p>
    <w:p w:rsidR="00896925" w:rsidRPr="00465AD6" w:rsidRDefault="00896925" w:rsidP="00A72E2C">
      <w:pPr>
        <w:jc w:val="both"/>
        <w:rPr>
          <w:rFonts w:ascii="Arial" w:hAnsi="Arial" w:cs="Arial"/>
          <w:sz w:val="24"/>
          <w:szCs w:val="24"/>
        </w:rPr>
      </w:pPr>
      <w:r w:rsidRPr="00465AD6">
        <w:rPr>
          <w:rFonts w:ascii="Arial" w:hAnsi="Arial" w:cs="Arial"/>
          <w:sz w:val="24"/>
          <w:szCs w:val="24"/>
        </w:rPr>
        <w:t>As verification, the projected state of WASN’s transmission system relate</w:t>
      </w:r>
      <w:r w:rsidR="008A2C14" w:rsidRPr="00465AD6">
        <w:rPr>
          <w:rFonts w:ascii="Arial" w:hAnsi="Arial" w:cs="Arial"/>
          <w:sz w:val="24"/>
          <w:szCs w:val="24"/>
        </w:rPr>
        <w:t>d to TPL</w:t>
      </w:r>
      <w:r w:rsidR="00054A3B">
        <w:rPr>
          <w:rFonts w:ascii="Arial" w:hAnsi="Arial" w:cs="Arial"/>
          <w:sz w:val="24"/>
          <w:szCs w:val="24"/>
        </w:rPr>
        <w:t xml:space="preserve"> </w:t>
      </w:r>
      <w:r w:rsidR="008A2C14" w:rsidRPr="00465AD6">
        <w:rPr>
          <w:rFonts w:ascii="Arial" w:hAnsi="Arial" w:cs="Arial"/>
          <w:sz w:val="24"/>
          <w:szCs w:val="24"/>
        </w:rPr>
        <w:t>-003</w:t>
      </w:r>
      <w:r w:rsidRPr="00465AD6">
        <w:rPr>
          <w:rFonts w:ascii="Arial" w:hAnsi="Arial" w:cs="Arial"/>
          <w:sz w:val="24"/>
          <w:szCs w:val="24"/>
        </w:rPr>
        <w:t xml:space="preserve"> is shown by power flow, post-transient and dynamic stability plots included in Attachment </w:t>
      </w:r>
      <w:r w:rsidR="008A2C14" w:rsidRPr="00465AD6">
        <w:rPr>
          <w:rFonts w:ascii="Arial" w:hAnsi="Arial" w:cs="Arial"/>
          <w:sz w:val="24"/>
          <w:szCs w:val="24"/>
        </w:rPr>
        <w:t>5</w:t>
      </w:r>
      <w:r w:rsidRPr="00465AD6">
        <w:rPr>
          <w:rFonts w:ascii="Arial" w:hAnsi="Arial" w:cs="Arial"/>
          <w:sz w:val="24"/>
          <w:szCs w:val="24"/>
        </w:rPr>
        <w:t xml:space="preserve"> of this report.  </w:t>
      </w:r>
      <w:r w:rsidR="00805B10">
        <w:rPr>
          <w:rFonts w:ascii="Arial" w:hAnsi="Arial" w:cs="Arial"/>
          <w:sz w:val="24"/>
          <w:szCs w:val="24"/>
        </w:rPr>
        <w:t xml:space="preserve">The contingency analysis plots contained in these attachments is a sampling of the contingency studies conducted, but cover critical points within the WASN transmission system such that it can be expected that other contingencies at other points would produce similar results.  This is based on </w:t>
      </w:r>
      <w:r w:rsidR="007A6EFC">
        <w:rPr>
          <w:rFonts w:ascii="Arial" w:hAnsi="Arial" w:cs="Arial"/>
          <w:sz w:val="24"/>
          <w:szCs w:val="24"/>
        </w:rPr>
        <w:t>WASN’s 2008 Annual</w:t>
      </w:r>
      <w:r w:rsidR="00CB49BC">
        <w:rPr>
          <w:rFonts w:ascii="Arial" w:hAnsi="Arial" w:cs="Arial"/>
          <w:sz w:val="24"/>
          <w:szCs w:val="24"/>
        </w:rPr>
        <w:t xml:space="preserve"> Transmission Assessment as well as </w:t>
      </w:r>
      <w:r w:rsidR="00805B10">
        <w:rPr>
          <w:rFonts w:ascii="Arial" w:hAnsi="Arial" w:cs="Arial"/>
          <w:sz w:val="24"/>
          <w:szCs w:val="24"/>
        </w:rPr>
        <w:t xml:space="preserve">previous years studies conducted within the Sacramento Valley Study Group.  </w:t>
      </w:r>
      <w:r w:rsidRPr="00465AD6">
        <w:rPr>
          <w:rFonts w:ascii="Arial" w:hAnsi="Arial" w:cs="Arial"/>
          <w:sz w:val="24"/>
          <w:szCs w:val="24"/>
        </w:rPr>
        <w:t xml:space="preserve">The post-transient plots </w:t>
      </w:r>
      <w:r w:rsidR="008A2C14" w:rsidRPr="00465AD6">
        <w:rPr>
          <w:rFonts w:ascii="Arial" w:hAnsi="Arial" w:cs="Arial"/>
          <w:sz w:val="24"/>
          <w:szCs w:val="24"/>
        </w:rPr>
        <w:t>in Attachment 5</w:t>
      </w:r>
      <w:r w:rsidRPr="00465AD6">
        <w:rPr>
          <w:rFonts w:ascii="Arial" w:hAnsi="Arial" w:cs="Arial"/>
          <w:sz w:val="24"/>
          <w:szCs w:val="24"/>
        </w:rPr>
        <w:t xml:space="preserve"> show available MVar margin</w:t>
      </w:r>
      <w:r w:rsidR="00344CB2">
        <w:rPr>
          <w:rFonts w:ascii="Arial" w:hAnsi="Arial" w:cs="Arial"/>
          <w:sz w:val="24"/>
          <w:szCs w:val="24"/>
        </w:rPr>
        <w:t xml:space="preserve"> with load increased by 2.5% per WECC reactive margin requirements</w:t>
      </w:r>
      <w:r w:rsidRPr="00465AD6">
        <w:rPr>
          <w:rFonts w:ascii="Arial" w:hAnsi="Arial" w:cs="Arial"/>
          <w:sz w:val="24"/>
          <w:szCs w:val="24"/>
        </w:rPr>
        <w:t xml:space="preserve">.  The dynamic stability plots </w:t>
      </w:r>
      <w:r w:rsidR="008A2C14" w:rsidRPr="00465AD6">
        <w:rPr>
          <w:rFonts w:ascii="Arial" w:hAnsi="Arial" w:cs="Arial"/>
          <w:sz w:val="24"/>
          <w:szCs w:val="24"/>
        </w:rPr>
        <w:t>in Attachment 5</w:t>
      </w:r>
      <w:r w:rsidRPr="00465AD6">
        <w:rPr>
          <w:rFonts w:ascii="Arial" w:hAnsi="Arial" w:cs="Arial"/>
          <w:sz w:val="24"/>
          <w:szCs w:val="24"/>
        </w:rPr>
        <w:t xml:space="preserve"> show stable system performance.  </w:t>
      </w:r>
    </w:p>
    <w:p w:rsidR="00896925" w:rsidRPr="00465AD6" w:rsidRDefault="00896925" w:rsidP="00896925">
      <w:pPr>
        <w:rPr>
          <w:rFonts w:ascii="Arial" w:hAnsi="Arial" w:cs="Arial"/>
          <w:sz w:val="24"/>
          <w:szCs w:val="24"/>
        </w:rPr>
      </w:pPr>
    </w:p>
    <w:p w:rsidR="00896925" w:rsidRDefault="00D26DEF" w:rsidP="00A72E2C">
      <w:pPr>
        <w:jc w:val="both"/>
        <w:rPr>
          <w:rFonts w:ascii="Arial" w:hAnsi="Arial" w:cs="Arial"/>
          <w:sz w:val="24"/>
          <w:szCs w:val="24"/>
        </w:rPr>
      </w:pPr>
      <w:r w:rsidRPr="00465AD6">
        <w:rPr>
          <w:rFonts w:ascii="Arial" w:hAnsi="Arial" w:cs="Arial"/>
          <w:sz w:val="24"/>
          <w:szCs w:val="24"/>
        </w:rPr>
        <w:t>This steady-state thermal and voltage analysis was conducted on the power flow cases listed in Table 1 on page</w:t>
      </w:r>
      <w:r w:rsidR="00457CCC">
        <w:rPr>
          <w:rFonts w:ascii="Arial" w:hAnsi="Arial" w:cs="Arial"/>
          <w:sz w:val="24"/>
          <w:szCs w:val="24"/>
        </w:rPr>
        <w:t xml:space="preserve"> 9</w:t>
      </w:r>
      <w:r w:rsidRPr="00465AD6">
        <w:rPr>
          <w:rFonts w:ascii="Arial" w:hAnsi="Arial" w:cs="Arial"/>
          <w:sz w:val="24"/>
          <w:szCs w:val="24"/>
        </w:rPr>
        <w:t xml:space="preserve"> in this report.  Post-transient and stability analysis w</w:t>
      </w:r>
      <w:r w:rsidR="00457CCC">
        <w:rPr>
          <w:rFonts w:ascii="Arial" w:hAnsi="Arial" w:cs="Arial"/>
          <w:sz w:val="24"/>
          <w:szCs w:val="24"/>
        </w:rPr>
        <w:t>as conducted on the 5 year (2014) and 10 year (2019</w:t>
      </w:r>
      <w:r w:rsidRPr="00465AD6">
        <w:rPr>
          <w:rFonts w:ascii="Arial" w:hAnsi="Arial" w:cs="Arial"/>
          <w:sz w:val="24"/>
          <w:szCs w:val="24"/>
        </w:rPr>
        <w:t>) base cases.  They demonstrate compliance with NERC Planning Standard TPL</w:t>
      </w:r>
      <w:r w:rsidR="00054A3B">
        <w:rPr>
          <w:rFonts w:ascii="Arial" w:hAnsi="Arial" w:cs="Arial"/>
          <w:sz w:val="24"/>
          <w:szCs w:val="24"/>
        </w:rPr>
        <w:t xml:space="preserve"> </w:t>
      </w:r>
      <w:r w:rsidRPr="00465AD6">
        <w:rPr>
          <w:rFonts w:ascii="Arial" w:hAnsi="Arial" w:cs="Arial"/>
          <w:sz w:val="24"/>
          <w:szCs w:val="24"/>
        </w:rPr>
        <w:t>-</w:t>
      </w:r>
      <w:r w:rsidR="00054A3B">
        <w:rPr>
          <w:rFonts w:ascii="Arial" w:hAnsi="Arial" w:cs="Arial"/>
          <w:sz w:val="24"/>
          <w:szCs w:val="24"/>
        </w:rPr>
        <w:t xml:space="preserve"> </w:t>
      </w:r>
      <w:r w:rsidRPr="00465AD6">
        <w:rPr>
          <w:rFonts w:ascii="Arial" w:hAnsi="Arial" w:cs="Arial"/>
          <w:sz w:val="24"/>
          <w:szCs w:val="24"/>
        </w:rPr>
        <w:t>003 over a 10 year future period.</w:t>
      </w:r>
    </w:p>
    <w:p w:rsidR="0052655C" w:rsidRDefault="0052655C" w:rsidP="00261A45">
      <w:pPr>
        <w:rPr>
          <w:rFonts w:ascii="Arial" w:hAnsi="Arial" w:cs="Arial"/>
          <w:sz w:val="24"/>
          <w:szCs w:val="24"/>
        </w:rPr>
      </w:pPr>
    </w:p>
    <w:p w:rsidR="00D26DEF" w:rsidRPr="002A49F3" w:rsidRDefault="0052655C" w:rsidP="00A72E2C">
      <w:pPr>
        <w:jc w:val="both"/>
        <w:rPr>
          <w:rFonts w:ascii="Arial" w:hAnsi="Arial" w:cs="Arial"/>
          <w:sz w:val="24"/>
          <w:szCs w:val="24"/>
        </w:rPr>
      </w:pPr>
      <w:r>
        <w:rPr>
          <w:rFonts w:ascii="Arial" w:hAnsi="Arial" w:cs="Arial"/>
          <w:sz w:val="24"/>
          <w:szCs w:val="24"/>
        </w:rPr>
        <w:t xml:space="preserve">Dynamic stability analysis was primarily conducted modeling a 3-phase fault which is more severe than a single-phase to ground fault with normal clearing times, but analysis was conducted to assess the impact of a single-phase to ground fault with delayed clearing times.  </w:t>
      </w:r>
      <w:r w:rsidR="00C72C3D">
        <w:rPr>
          <w:rFonts w:ascii="Arial" w:hAnsi="Arial" w:cs="Arial"/>
          <w:sz w:val="24"/>
          <w:szCs w:val="24"/>
        </w:rPr>
        <w:t xml:space="preserve">Based on comparing the results of 3-phase faults and single-phase to ground faults where all the simulations were stable, </w:t>
      </w:r>
      <w:r w:rsidR="009F61D6">
        <w:rPr>
          <w:rFonts w:ascii="Arial" w:hAnsi="Arial" w:cs="Arial"/>
          <w:sz w:val="24"/>
          <w:szCs w:val="24"/>
        </w:rPr>
        <w:t xml:space="preserve">it can be concluded that no instability </w:t>
      </w:r>
      <w:r w:rsidR="008F20C5">
        <w:rPr>
          <w:rFonts w:ascii="Arial" w:hAnsi="Arial" w:cs="Arial"/>
          <w:sz w:val="24"/>
          <w:szCs w:val="24"/>
        </w:rPr>
        <w:t xml:space="preserve">and less post-contingency impact to the system </w:t>
      </w:r>
      <w:r w:rsidR="009F61D6">
        <w:rPr>
          <w:rFonts w:ascii="Arial" w:hAnsi="Arial" w:cs="Arial"/>
          <w:sz w:val="24"/>
          <w:szCs w:val="24"/>
        </w:rPr>
        <w:t>would be found if all contingencies were run modeling single-phase to ground faults.</w:t>
      </w:r>
    </w:p>
    <w:p w:rsidR="006A7CC2" w:rsidRDefault="006A7CC2" w:rsidP="006A7CC2">
      <w:pPr>
        <w:pStyle w:val="Heading2"/>
        <w:numPr>
          <w:ilvl w:val="0"/>
          <w:numId w:val="34"/>
        </w:numPr>
        <w:tabs>
          <w:tab w:val="left" w:pos="720"/>
        </w:tabs>
        <w:ind w:left="360"/>
        <w:rPr>
          <w:rFonts w:ascii="Arial" w:hAnsi="Arial" w:cs="Arial"/>
        </w:rPr>
      </w:pPr>
      <w:bookmarkStart w:id="47" w:name="_Toc244589881"/>
      <w:r>
        <w:rPr>
          <w:rFonts w:ascii="Arial" w:hAnsi="Arial" w:cs="Arial"/>
        </w:rPr>
        <w:t>Category D (NERC Planning Standard TPL</w:t>
      </w:r>
      <w:r w:rsidR="00054A3B">
        <w:rPr>
          <w:rFonts w:ascii="Arial" w:hAnsi="Arial" w:cs="Arial"/>
        </w:rPr>
        <w:t xml:space="preserve"> </w:t>
      </w:r>
      <w:r>
        <w:rPr>
          <w:rFonts w:ascii="Arial" w:hAnsi="Arial" w:cs="Arial"/>
        </w:rPr>
        <w:t>-</w:t>
      </w:r>
      <w:r w:rsidR="00054A3B">
        <w:rPr>
          <w:rFonts w:ascii="Arial" w:hAnsi="Arial" w:cs="Arial"/>
        </w:rPr>
        <w:t xml:space="preserve"> </w:t>
      </w:r>
      <w:r>
        <w:rPr>
          <w:rFonts w:ascii="Arial" w:hAnsi="Arial" w:cs="Arial"/>
        </w:rPr>
        <w:t>004): Extreme Events (N-2 plus)</w:t>
      </w:r>
      <w:bookmarkEnd w:id="47"/>
    </w:p>
    <w:p w:rsidR="006A7CC2" w:rsidRDefault="006A7CC2" w:rsidP="00261A45">
      <w:pPr>
        <w:rPr>
          <w:rFonts w:ascii="Arial" w:hAnsi="Arial" w:cs="Arial"/>
          <w:sz w:val="24"/>
        </w:rPr>
      </w:pPr>
    </w:p>
    <w:p w:rsidR="00553928" w:rsidRDefault="009D2EDB" w:rsidP="00A72E2C">
      <w:pPr>
        <w:jc w:val="both"/>
        <w:rPr>
          <w:rFonts w:ascii="Arial" w:hAnsi="Arial" w:cs="Arial"/>
          <w:sz w:val="24"/>
          <w:szCs w:val="24"/>
        </w:rPr>
      </w:pPr>
      <w:r>
        <w:rPr>
          <w:rFonts w:ascii="Arial" w:hAnsi="Arial" w:cs="Arial"/>
          <w:sz w:val="24"/>
          <w:szCs w:val="24"/>
        </w:rPr>
        <w:t>Attachment 6 contains power flow, post-transient and dynamic stability plots illustrating the impact of</w:t>
      </w:r>
      <w:r w:rsidR="005A0087" w:rsidRPr="00465AD6">
        <w:rPr>
          <w:rFonts w:ascii="Arial" w:hAnsi="Arial" w:cs="Arial"/>
          <w:sz w:val="24"/>
          <w:szCs w:val="24"/>
        </w:rPr>
        <w:t xml:space="preserve"> NERC Category D contingencies per NERC Planning Standard TPL</w:t>
      </w:r>
      <w:r w:rsidR="00054A3B">
        <w:rPr>
          <w:rFonts w:ascii="Arial" w:hAnsi="Arial" w:cs="Arial"/>
          <w:sz w:val="24"/>
          <w:szCs w:val="24"/>
        </w:rPr>
        <w:t xml:space="preserve"> </w:t>
      </w:r>
      <w:r w:rsidR="005A0087" w:rsidRPr="00465AD6">
        <w:rPr>
          <w:rFonts w:ascii="Arial" w:hAnsi="Arial" w:cs="Arial"/>
          <w:sz w:val="24"/>
          <w:szCs w:val="24"/>
        </w:rPr>
        <w:t>-</w:t>
      </w:r>
      <w:r w:rsidR="00F47235">
        <w:rPr>
          <w:rFonts w:ascii="Arial" w:hAnsi="Arial" w:cs="Arial"/>
          <w:sz w:val="24"/>
          <w:szCs w:val="24"/>
        </w:rPr>
        <w:t xml:space="preserve"> </w:t>
      </w:r>
      <w:r w:rsidR="005A0087" w:rsidRPr="00465AD6">
        <w:rPr>
          <w:rFonts w:ascii="Arial" w:hAnsi="Arial" w:cs="Arial"/>
          <w:sz w:val="24"/>
          <w:szCs w:val="24"/>
        </w:rPr>
        <w:t>004.</w:t>
      </w:r>
    </w:p>
    <w:p w:rsidR="00553928" w:rsidRDefault="00553928" w:rsidP="005A0087">
      <w:pPr>
        <w:rPr>
          <w:rFonts w:ascii="Arial" w:hAnsi="Arial" w:cs="Arial"/>
          <w:sz w:val="24"/>
          <w:szCs w:val="24"/>
        </w:rPr>
      </w:pPr>
    </w:p>
    <w:p w:rsidR="00CA4456" w:rsidRDefault="005A0087" w:rsidP="00A72E2C">
      <w:pPr>
        <w:jc w:val="both"/>
        <w:rPr>
          <w:rFonts w:ascii="Arial" w:hAnsi="Arial" w:cs="Arial"/>
          <w:sz w:val="24"/>
          <w:szCs w:val="24"/>
        </w:rPr>
      </w:pPr>
      <w:r w:rsidRPr="00465AD6">
        <w:rPr>
          <w:rFonts w:ascii="Arial" w:hAnsi="Arial" w:cs="Arial"/>
          <w:sz w:val="24"/>
          <w:szCs w:val="24"/>
        </w:rPr>
        <w:t xml:space="preserve"> As can be seen</w:t>
      </w:r>
      <w:r w:rsidR="009D2EDB">
        <w:rPr>
          <w:rFonts w:ascii="Arial" w:hAnsi="Arial" w:cs="Arial"/>
          <w:sz w:val="24"/>
          <w:szCs w:val="24"/>
        </w:rPr>
        <w:t xml:space="preserve">, one combination of outages (over-lapping outages of the Keswick-Olinda, Keswick-O’Banion, Keswick-Airport and Keswick Flanagan 230 kV lines)  at the Keswick substation can cause a number of 115 kV transmission lines connected to Keswick Substation to overload as well as causing the Keswick 230/115 kV transformer </w:t>
      </w:r>
      <w:r w:rsidR="009D2EDB">
        <w:rPr>
          <w:rFonts w:ascii="Arial" w:hAnsi="Arial" w:cs="Arial"/>
          <w:sz w:val="24"/>
          <w:szCs w:val="24"/>
        </w:rPr>
        <w:lastRenderedPageBreak/>
        <w:t>banks to overload</w:t>
      </w:r>
      <w:r w:rsidR="00036F4C">
        <w:rPr>
          <w:rFonts w:ascii="Arial" w:hAnsi="Arial" w:cs="Arial"/>
          <w:sz w:val="24"/>
          <w:szCs w:val="24"/>
        </w:rPr>
        <w:t xml:space="preserve"> (Attachment 6, Figure 6-1)</w:t>
      </w:r>
      <w:r w:rsidR="009D2EDB">
        <w:rPr>
          <w:rFonts w:ascii="Arial" w:hAnsi="Arial" w:cs="Arial"/>
          <w:sz w:val="24"/>
          <w:szCs w:val="24"/>
        </w:rPr>
        <w:t xml:space="preserve">.  </w:t>
      </w:r>
      <w:r w:rsidRPr="00465AD6">
        <w:rPr>
          <w:rFonts w:ascii="Arial" w:hAnsi="Arial" w:cs="Arial"/>
          <w:sz w:val="24"/>
          <w:szCs w:val="24"/>
        </w:rPr>
        <w:t xml:space="preserve"> </w:t>
      </w:r>
      <w:r w:rsidR="005E3BD6">
        <w:rPr>
          <w:rFonts w:ascii="Arial" w:hAnsi="Arial" w:cs="Arial"/>
          <w:sz w:val="24"/>
          <w:szCs w:val="24"/>
        </w:rPr>
        <w:t>WASN Operating Procedure OP-</w:t>
      </w:r>
      <w:r w:rsidR="009D2EDB">
        <w:rPr>
          <w:rFonts w:ascii="Arial" w:hAnsi="Arial" w:cs="Arial"/>
          <w:sz w:val="24"/>
          <w:szCs w:val="24"/>
        </w:rPr>
        <w:t xml:space="preserve">17 outlines the procedure for reducing hydro generation </w:t>
      </w:r>
      <w:r w:rsidR="00136524">
        <w:rPr>
          <w:rFonts w:ascii="Arial" w:hAnsi="Arial" w:cs="Arial"/>
          <w:sz w:val="24"/>
          <w:szCs w:val="24"/>
        </w:rPr>
        <w:t xml:space="preserve">at Keswick, J.F.Carr and Spring Creek Power Plants </w:t>
      </w:r>
      <w:r w:rsidR="009D2EDB">
        <w:rPr>
          <w:rFonts w:ascii="Arial" w:hAnsi="Arial" w:cs="Arial"/>
          <w:sz w:val="24"/>
          <w:szCs w:val="24"/>
        </w:rPr>
        <w:t>to prevent and or relieve overloads upon an outage</w:t>
      </w:r>
      <w:r w:rsidR="00B275BE">
        <w:rPr>
          <w:rFonts w:ascii="Arial" w:hAnsi="Arial" w:cs="Arial"/>
          <w:sz w:val="24"/>
          <w:szCs w:val="24"/>
        </w:rPr>
        <w:t xml:space="preserve"> of one of these lines</w:t>
      </w:r>
      <w:r w:rsidR="00036F4C">
        <w:rPr>
          <w:rFonts w:ascii="Arial" w:hAnsi="Arial" w:cs="Arial"/>
          <w:sz w:val="24"/>
          <w:szCs w:val="24"/>
        </w:rPr>
        <w:t xml:space="preserve"> (Attachment 6, Figure 6-2)</w:t>
      </w:r>
      <w:r w:rsidR="00B275BE">
        <w:rPr>
          <w:rFonts w:ascii="Arial" w:hAnsi="Arial" w:cs="Arial"/>
          <w:sz w:val="24"/>
          <w:szCs w:val="24"/>
        </w:rPr>
        <w:t xml:space="preserve">. </w:t>
      </w:r>
      <w:r w:rsidR="00CA4456">
        <w:rPr>
          <w:rFonts w:ascii="Arial" w:hAnsi="Arial" w:cs="Arial"/>
          <w:sz w:val="24"/>
          <w:szCs w:val="24"/>
        </w:rPr>
        <w:t>The potential impact of this c</w:t>
      </w:r>
      <w:r w:rsidR="00B275BE">
        <w:rPr>
          <w:rFonts w:ascii="Arial" w:hAnsi="Arial" w:cs="Arial"/>
          <w:sz w:val="24"/>
          <w:szCs w:val="24"/>
        </w:rPr>
        <w:t xml:space="preserve">ontingency was </w:t>
      </w:r>
      <w:r w:rsidR="00CA4456">
        <w:rPr>
          <w:rFonts w:ascii="Arial" w:hAnsi="Arial" w:cs="Arial"/>
          <w:sz w:val="24"/>
          <w:szCs w:val="24"/>
        </w:rPr>
        <w:t>also shown</w:t>
      </w:r>
      <w:r w:rsidR="00B275BE">
        <w:rPr>
          <w:rFonts w:ascii="Arial" w:hAnsi="Arial" w:cs="Arial"/>
          <w:sz w:val="24"/>
          <w:szCs w:val="24"/>
        </w:rPr>
        <w:t xml:space="preserve"> in WASN’s 2008 Annual Transmission Assessment</w:t>
      </w:r>
      <w:r w:rsidR="00CA4456">
        <w:rPr>
          <w:rFonts w:ascii="Arial" w:hAnsi="Arial" w:cs="Arial"/>
          <w:sz w:val="24"/>
          <w:szCs w:val="24"/>
        </w:rPr>
        <w:t>.  The</w:t>
      </w:r>
      <w:r w:rsidR="00B275BE">
        <w:rPr>
          <w:rFonts w:ascii="Arial" w:hAnsi="Arial" w:cs="Arial"/>
          <w:sz w:val="24"/>
          <w:szCs w:val="24"/>
        </w:rPr>
        <w:t xml:space="preserve"> solution to mitigating any overloads has been implemented</w:t>
      </w:r>
      <w:r w:rsidR="007B11EE">
        <w:rPr>
          <w:rFonts w:ascii="Arial" w:hAnsi="Arial" w:cs="Arial"/>
          <w:sz w:val="24"/>
          <w:szCs w:val="24"/>
        </w:rPr>
        <w:t xml:space="preserve"> through OP-17.</w:t>
      </w:r>
      <w:r w:rsidR="00B275BE">
        <w:rPr>
          <w:rFonts w:ascii="Arial" w:hAnsi="Arial" w:cs="Arial"/>
          <w:sz w:val="24"/>
          <w:szCs w:val="24"/>
        </w:rPr>
        <w:t xml:space="preserve">.  </w:t>
      </w:r>
    </w:p>
    <w:p w:rsidR="00CA4456" w:rsidRDefault="00CA4456" w:rsidP="00A72E2C">
      <w:pPr>
        <w:jc w:val="both"/>
        <w:rPr>
          <w:rFonts w:ascii="Arial" w:hAnsi="Arial" w:cs="Arial"/>
          <w:sz w:val="24"/>
          <w:szCs w:val="24"/>
        </w:rPr>
      </w:pPr>
    </w:p>
    <w:p w:rsidR="005A0087" w:rsidRPr="00465AD6" w:rsidRDefault="005A0087" w:rsidP="00A72E2C">
      <w:pPr>
        <w:jc w:val="both"/>
        <w:rPr>
          <w:rFonts w:ascii="Arial" w:hAnsi="Arial" w:cs="Arial"/>
          <w:sz w:val="24"/>
          <w:szCs w:val="24"/>
        </w:rPr>
      </w:pPr>
      <w:r>
        <w:rPr>
          <w:rFonts w:ascii="Arial" w:hAnsi="Arial" w:cs="Arial"/>
          <w:sz w:val="24"/>
          <w:szCs w:val="24"/>
        </w:rPr>
        <w:t xml:space="preserve">No cascading operating conditions </w:t>
      </w:r>
      <w:r w:rsidR="00CA4456">
        <w:rPr>
          <w:rFonts w:ascii="Arial" w:hAnsi="Arial" w:cs="Arial"/>
          <w:sz w:val="24"/>
          <w:szCs w:val="24"/>
        </w:rPr>
        <w:t xml:space="preserve">associated with Category D contingencies </w:t>
      </w:r>
      <w:r>
        <w:rPr>
          <w:rFonts w:ascii="Arial" w:hAnsi="Arial" w:cs="Arial"/>
          <w:sz w:val="24"/>
          <w:szCs w:val="24"/>
        </w:rPr>
        <w:t>were found and</w:t>
      </w:r>
      <w:r w:rsidRPr="00465AD6">
        <w:rPr>
          <w:rFonts w:ascii="Arial" w:hAnsi="Arial" w:cs="Arial"/>
          <w:sz w:val="24"/>
          <w:szCs w:val="24"/>
        </w:rPr>
        <w:t xml:space="preserve"> </w:t>
      </w:r>
      <w:r w:rsidR="00763757">
        <w:rPr>
          <w:rFonts w:ascii="Arial" w:hAnsi="Arial" w:cs="Arial"/>
          <w:sz w:val="24"/>
          <w:szCs w:val="24"/>
        </w:rPr>
        <w:t>any loss of load</w:t>
      </w:r>
      <w:r>
        <w:rPr>
          <w:rFonts w:ascii="Arial" w:hAnsi="Arial" w:cs="Arial"/>
          <w:sz w:val="24"/>
          <w:szCs w:val="24"/>
        </w:rPr>
        <w:t xml:space="preserve"> is limited to the local area. WASN will study and analyze the merit of </w:t>
      </w:r>
      <w:r w:rsidR="00CA4456">
        <w:rPr>
          <w:rFonts w:ascii="Arial" w:hAnsi="Arial" w:cs="Arial"/>
          <w:sz w:val="24"/>
          <w:szCs w:val="24"/>
        </w:rPr>
        <w:t xml:space="preserve">any required </w:t>
      </w:r>
      <w:r w:rsidRPr="00465AD6">
        <w:rPr>
          <w:rFonts w:ascii="Arial" w:hAnsi="Arial" w:cs="Arial"/>
          <w:sz w:val="24"/>
          <w:szCs w:val="24"/>
        </w:rPr>
        <w:t>new</w:t>
      </w:r>
      <w:r>
        <w:rPr>
          <w:rFonts w:ascii="Arial" w:hAnsi="Arial" w:cs="Arial"/>
          <w:sz w:val="24"/>
          <w:szCs w:val="24"/>
        </w:rPr>
        <w:t xml:space="preserve"> </w:t>
      </w:r>
      <w:r w:rsidRPr="00465AD6">
        <w:rPr>
          <w:rFonts w:ascii="Arial" w:hAnsi="Arial" w:cs="Arial"/>
          <w:sz w:val="24"/>
          <w:szCs w:val="24"/>
        </w:rPr>
        <w:t>operating procedures</w:t>
      </w:r>
      <w:r>
        <w:rPr>
          <w:rFonts w:ascii="Arial" w:hAnsi="Arial" w:cs="Arial"/>
          <w:sz w:val="24"/>
          <w:szCs w:val="24"/>
        </w:rPr>
        <w:t xml:space="preserve"> or other feasible mitigation plan</w:t>
      </w:r>
      <w:r w:rsidR="00763757">
        <w:rPr>
          <w:rFonts w:ascii="Arial" w:hAnsi="Arial" w:cs="Arial"/>
          <w:sz w:val="24"/>
          <w:szCs w:val="24"/>
        </w:rPr>
        <w:t>s</w:t>
      </w:r>
      <w:r w:rsidRPr="00465AD6">
        <w:rPr>
          <w:rFonts w:ascii="Arial" w:hAnsi="Arial" w:cs="Arial"/>
          <w:sz w:val="24"/>
          <w:szCs w:val="24"/>
        </w:rPr>
        <w:t xml:space="preserve"> during the coming year.  The potential reliability</w:t>
      </w:r>
      <w:r w:rsidR="00CA4456">
        <w:rPr>
          <w:rFonts w:ascii="Arial" w:hAnsi="Arial" w:cs="Arial"/>
          <w:sz w:val="24"/>
          <w:szCs w:val="24"/>
        </w:rPr>
        <w:t xml:space="preserve"> problems associated with </w:t>
      </w:r>
      <w:r w:rsidRPr="00465AD6">
        <w:rPr>
          <w:rFonts w:ascii="Arial" w:hAnsi="Arial" w:cs="Arial"/>
          <w:sz w:val="24"/>
          <w:szCs w:val="24"/>
        </w:rPr>
        <w:t>Category D (TPL</w:t>
      </w:r>
      <w:r w:rsidR="00054A3B">
        <w:rPr>
          <w:rFonts w:ascii="Arial" w:hAnsi="Arial" w:cs="Arial"/>
          <w:sz w:val="24"/>
          <w:szCs w:val="24"/>
        </w:rPr>
        <w:t xml:space="preserve"> </w:t>
      </w:r>
      <w:r w:rsidRPr="00465AD6">
        <w:rPr>
          <w:rFonts w:ascii="Arial" w:hAnsi="Arial" w:cs="Arial"/>
          <w:sz w:val="24"/>
          <w:szCs w:val="24"/>
        </w:rPr>
        <w:t>-</w:t>
      </w:r>
      <w:r w:rsidR="00054A3B">
        <w:rPr>
          <w:rFonts w:ascii="Arial" w:hAnsi="Arial" w:cs="Arial"/>
          <w:sz w:val="24"/>
          <w:szCs w:val="24"/>
        </w:rPr>
        <w:t xml:space="preserve"> </w:t>
      </w:r>
      <w:r w:rsidRPr="00465AD6">
        <w:rPr>
          <w:rFonts w:ascii="Arial" w:hAnsi="Arial" w:cs="Arial"/>
          <w:sz w:val="24"/>
          <w:szCs w:val="24"/>
        </w:rPr>
        <w:t>004) extreme contingency events have not been</w:t>
      </w:r>
      <w:r w:rsidR="00CA4456">
        <w:rPr>
          <w:rFonts w:ascii="Arial" w:hAnsi="Arial" w:cs="Arial"/>
          <w:sz w:val="24"/>
          <w:szCs w:val="24"/>
        </w:rPr>
        <w:t xml:space="preserve"> seen historically</w:t>
      </w:r>
      <w:r w:rsidRPr="00465AD6">
        <w:rPr>
          <w:rFonts w:ascii="Arial" w:hAnsi="Arial" w:cs="Arial"/>
          <w:sz w:val="24"/>
          <w:szCs w:val="24"/>
        </w:rPr>
        <w:t>, but WASN will continue to assess the need and viability for implementing operating procedures or other mitigation measures.</w:t>
      </w:r>
    </w:p>
    <w:p w:rsidR="00A256B7" w:rsidRPr="00465AD6" w:rsidRDefault="00A256B7" w:rsidP="00A256B7">
      <w:pPr>
        <w:rPr>
          <w:rFonts w:ascii="Arial" w:hAnsi="Arial" w:cs="Arial"/>
          <w:sz w:val="24"/>
          <w:szCs w:val="24"/>
        </w:rPr>
      </w:pPr>
    </w:p>
    <w:p w:rsidR="00694FF2" w:rsidRDefault="00A256B7" w:rsidP="00A72E2C">
      <w:pPr>
        <w:jc w:val="both"/>
        <w:rPr>
          <w:rFonts w:ascii="Arial" w:hAnsi="Arial" w:cs="Arial"/>
          <w:sz w:val="24"/>
          <w:szCs w:val="24"/>
        </w:rPr>
      </w:pPr>
      <w:r w:rsidRPr="00465AD6">
        <w:rPr>
          <w:rFonts w:ascii="Arial" w:hAnsi="Arial" w:cs="Arial"/>
          <w:sz w:val="24"/>
          <w:szCs w:val="24"/>
        </w:rPr>
        <w:t>As verification, the projected state of WASN’s transmission system relate</w:t>
      </w:r>
      <w:r w:rsidR="000B1005" w:rsidRPr="00465AD6">
        <w:rPr>
          <w:rFonts w:ascii="Arial" w:hAnsi="Arial" w:cs="Arial"/>
          <w:sz w:val="24"/>
          <w:szCs w:val="24"/>
        </w:rPr>
        <w:t>d to TPL-004</w:t>
      </w:r>
      <w:r w:rsidRPr="00465AD6">
        <w:rPr>
          <w:rFonts w:ascii="Arial" w:hAnsi="Arial" w:cs="Arial"/>
          <w:sz w:val="24"/>
          <w:szCs w:val="24"/>
        </w:rPr>
        <w:t xml:space="preserve"> is shown by power flow, post-transient and dynamic stability plots included in Attachment </w:t>
      </w:r>
      <w:r w:rsidR="000B1005" w:rsidRPr="00465AD6">
        <w:rPr>
          <w:rFonts w:ascii="Arial" w:hAnsi="Arial" w:cs="Arial"/>
          <w:sz w:val="24"/>
          <w:szCs w:val="24"/>
        </w:rPr>
        <w:t>6</w:t>
      </w:r>
      <w:r w:rsidRPr="00465AD6">
        <w:rPr>
          <w:rFonts w:ascii="Arial" w:hAnsi="Arial" w:cs="Arial"/>
          <w:sz w:val="24"/>
          <w:szCs w:val="24"/>
        </w:rPr>
        <w:t xml:space="preserve"> of this report.  </w:t>
      </w:r>
      <w:r w:rsidR="00805B10">
        <w:rPr>
          <w:rFonts w:ascii="Arial" w:hAnsi="Arial" w:cs="Arial"/>
          <w:sz w:val="24"/>
          <w:szCs w:val="24"/>
        </w:rPr>
        <w:t xml:space="preserve">The contingency analysis plots contained in these attachments is a sampling of the contingency studies conducted, but cover critical points within the WASN transmission system such that it can be expected that other contingencies at other points would produce similar results.  This is based on previous years studies conducted within the Sacramento Valley Study Group.  </w:t>
      </w:r>
      <w:r w:rsidRPr="00465AD6">
        <w:rPr>
          <w:rFonts w:ascii="Arial" w:hAnsi="Arial" w:cs="Arial"/>
          <w:sz w:val="24"/>
          <w:szCs w:val="24"/>
        </w:rPr>
        <w:t xml:space="preserve">The post-transient plots </w:t>
      </w:r>
      <w:r w:rsidR="000B1005" w:rsidRPr="00465AD6">
        <w:rPr>
          <w:rFonts w:ascii="Arial" w:hAnsi="Arial" w:cs="Arial"/>
          <w:sz w:val="24"/>
          <w:szCs w:val="24"/>
        </w:rPr>
        <w:t>in Attachment 6</w:t>
      </w:r>
      <w:r w:rsidRPr="00465AD6">
        <w:rPr>
          <w:rFonts w:ascii="Arial" w:hAnsi="Arial" w:cs="Arial"/>
          <w:sz w:val="24"/>
          <w:szCs w:val="24"/>
        </w:rPr>
        <w:t xml:space="preserve"> show available MVar margin</w:t>
      </w:r>
      <w:r w:rsidR="00553928">
        <w:rPr>
          <w:rFonts w:ascii="Arial" w:hAnsi="Arial" w:cs="Arial"/>
          <w:sz w:val="24"/>
          <w:szCs w:val="24"/>
        </w:rPr>
        <w:t xml:space="preserve"> with load increased by 2;.5% per WECC reactive margin requirements</w:t>
      </w:r>
      <w:r w:rsidR="008058A9">
        <w:rPr>
          <w:rFonts w:ascii="Arial" w:hAnsi="Arial" w:cs="Arial"/>
          <w:sz w:val="24"/>
          <w:szCs w:val="24"/>
        </w:rPr>
        <w:t xml:space="preserve"> (Figures 6-3 thru</w:t>
      </w:r>
      <w:r w:rsidR="0040368F">
        <w:rPr>
          <w:rFonts w:ascii="Arial" w:hAnsi="Arial" w:cs="Arial"/>
          <w:sz w:val="24"/>
          <w:szCs w:val="24"/>
        </w:rPr>
        <w:t xml:space="preserve"> 6-6)</w:t>
      </w:r>
      <w:r w:rsidR="008058A9">
        <w:rPr>
          <w:rFonts w:ascii="Arial" w:hAnsi="Arial" w:cs="Arial"/>
          <w:sz w:val="24"/>
          <w:szCs w:val="24"/>
        </w:rPr>
        <w:t xml:space="preserve"> </w:t>
      </w:r>
      <w:r w:rsidRPr="00465AD6">
        <w:rPr>
          <w:rFonts w:ascii="Arial" w:hAnsi="Arial" w:cs="Arial"/>
          <w:sz w:val="24"/>
          <w:szCs w:val="24"/>
        </w:rPr>
        <w:t xml:space="preserve">.  The dynamic stability plots </w:t>
      </w:r>
      <w:r w:rsidR="000B1005" w:rsidRPr="00465AD6">
        <w:rPr>
          <w:rFonts w:ascii="Arial" w:hAnsi="Arial" w:cs="Arial"/>
          <w:sz w:val="24"/>
          <w:szCs w:val="24"/>
        </w:rPr>
        <w:t>in Attachment 6</w:t>
      </w:r>
      <w:r w:rsidR="00EE3390">
        <w:rPr>
          <w:rFonts w:ascii="Arial" w:hAnsi="Arial" w:cs="Arial"/>
          <w:sz w:val="24"/>
          <w:szCs w:val="24"/>
        </w:rPr>
        <w:t xml:space="preserve"> (Figures 6-7 thru 6-10) </w:t>
      </w:r>
      <w:r w:rsidR="00553928">
        <w:rPr>
          <w:rFonts w:ascii="Arial" w:hAnsi="Arial" w:cs="Arial"/>
          <w:sz w:val="24"/>
          <w:szCs w:val="24"/>
        </w:rPr>
        <w:t xml:space="preserve"> </w:t>
      </w:r>
      <w:r w:rsidRPr="00465AD6">
        <w:rPr>
          <w:rFonts w:ascii="Arial" w:hAnsi="Arial" w:cs="Arial"/>
          <w:sz w:val="24"/>
          <w:szCs w:val="24"/>
        </w:rPr>
        <w:t>show stable system performance</w:t>
      </w:r>
      <w:r w:rsidR="00553928">
        <w:rPr>
          <w:rFonts w:ascii="Arial" w:hAnsi="Arial" w:cs="Arial"/>
          <w:sz w:val="24"/>
          <w:szCs w:val="24"/>
        </w:rPr>
        <w:t>.</w:t>
      </w:r>
    </w:p>
    <w:p w:rsidR="00A256B7" w:rsidRPr="00465AD6" w:rsidRDefault="00A256B7" w:rsidP="00A256B7">
      <w:pPr>
        <w:rPr>
          <w:rFonts w:ascii="Arial" w:hAnsi="Arial" w:cs="Arial"/>
          <w:sz w:val="24"/>
          <w:szCs w:val="24"/>
        </w:rPr>
      </w:pPr>
    </w:p>
    <w:p w:rsidR="00805B10" w:rsidRDefault="00A256B7" w:rsidP="00A72E2C">
      <w:pPr>
        <w:jc w:val="both"/>
        <w:rPr>
          <w:b/>
          <w:sz w:val="24"/>
          <w:szCs w:val="24"/>
        </w:rPr>
      </w:pPr>
      <w:r w:rsidRPr="00465AD6">
        <w:rPr>
          <w:rFonts w:ascii="Arial" w:hAnsi="Arial" w:cs="Arial"/>
          <w:sz w:val="24"/>
          <w:szCs w:val="24"/>
        </w:rPr>
        <w:t>This steady-state thermal and voltage analysis was conducted on the 10 years of power flow cases listed in Table 1 on pages 7 and 8 in this report.  Post-transient and stability analysis w</w:t>
      </w:r>
      <w:r w:rsidR="00553928">
        <w:rPr>
          <w:rFonts w:ascii="Arial" w:hAnsi="Arial" w:cs="Arial"/>
          <w:sz w:val="24"/>
          <w:szCs w:val="24"/>
        </w:rPr>
        <w:t>as conducted on the 5 year (2014) and 10 year (2019</w:t>
      </w:r>
      <w:r w:rsidRPr="00465AD6">
        <w:rPr>
          <w:rFonts w:ascii="Arial" w:hAnsi="Arial" w:cs="Arial"/>
          <w:sz w:val="24"/>
          <w:szCs w:val="24"/>
        </w:rPr>
        <w:t>) base cases.  They demonstrate compliance with NERC Planning Standard TPL</w:t>
      </w:r>
      <w:r w:rsidR="00054A3B">
        <w:rPr>
          <w:rFonts w:ascii="Arial" w:hAnsi="Arial" w:cs="Arial"/>
          <w:sz w:val="24"/>
          <w:szCs w:val="24"/>
        </w:rPr>
        <w:t xml:space="preserve"> </w:t>
      </w:r>
      <w:r w:rsidR="000B1005" w:rsidRPr="00465AD6">
        <w:rPr>
          <w:rFonts w:ascii="Arial" w:hAnsi="Arial" w:cs="Arial"/>
          <w:sz w:val="24"/>
          <w:szCs w:val="24"/>
        </w:rPr>
        <w:t>-</w:t>
      </w:r>
      <w:r w:rsidR="00054A3B">
        <w:rPr>
          <w:rFonts w:ascii="Arial" w:hAnsi="Arial" w:cs="Arial"/>
          <w:sz w:val="24"/>
          <w:szCs w:val="24"/>
        </w:rPr>
        <w:t xml:space="preserve"> </w:t>
      </w:r>
      <w:r w:rsidR="000B1005" w:rsidRPr="00465AD6">
        <w:rPr>
          <w:rFonts w:ascii="Arial" w:hAnsi="Arial" w:cs="Arial"/>
          <w:sz w:val="24"/>
          <w:szCs w:val="24"/>
        </w:rPr>
        <w:t>004</w:t>
      </w:r>
      <w:r w:rsidRPr="00465AD6">
        <w:rPr>
          <w:rFonts w:ascii="Arial" w:hAnsi="Arial" w:cs="Arial"/>
          <w:sz w:val="24"/>
          <w:szCs w:val="24"/>
        </w:rPr>
        <w:t xml:space="preserve"> over a 10 year future period.</w:t>
      </w:r>
    </w:p>
    <w:p w:rsidR="00266A92" w:rsidRDefault="00266A92" w:rsidP="00A72E2C">
      <w:pPr>
        <w:jc w:val="both"/>
        <w:sectPr w:rsidR="00266A92" w:rsidSect="00CD0D6E">
          <w:pgSz w:w="12240" w:h="15840"/>
          <w:pgMar w:top="1440" w:right="1440" w:bottom="1440" w:left="1440" w:header="720" w:footer="720" w:gutter="0"/>
          <w:cols w:space="720"/>
          <w:titlePg/>
          <w:docGrid w:linePitch="272"/>
        </w:sectPr>
      </w:pPr>
    </w:p>
    <w:p w:rsidR="007F5A74" w:rsidRDefault="00A612D9" w:rsidP="002469A5">
      <w:pPr>
        <w:pStyle w:val="Heading2"/>
        <w:rPr>
          <w:rFonts w:ascii="Arial" w:hAnsi="Arial" w:cs="Arial"/>
        </w:rPr>
      </w:pPr>
      <w:bookmarkStart w:id="48" w:name="_Toc244589882"/>
      <w:r w:rsidRPr="004F4EAF">
        <w:rPr>
          <w:rFonts w:ascii="Arial" w:hAnsi="Arial" w:cs="Arial"/>
          <w:sz w:val="32"/>
          <w:szCs w:val="32"/>
        </w:rPr>
        <w:lastRenderedPageBreak/>
        <w:t>Attachment 1:</w:t>
      </w:r>
      <w:r>
        <w:rPr>
          <w:rFonts w:ascii="Arial" w:hAnsi="Arial" w:cs="Arial"/>
        </w:rPr>
        <w:t xml:space="preserve">  Diagram</w:t>
      </w:r>
      <w:r w:rsidR="00E3420E">
        <w:rPr>
          <w:rFonts w:ascii="Arial" w:hAnsi="Arial" w:cs="Arial"/>
        </w:rPr>
        <w:t xml:space="preserve"> of </w:t>
      </w:r>
      <w:r w:rsidR="00FC553B">
        <w:rPr>
          <w:rFonts w:ascii="Arial" w:hAnsi="Arial" w:cs="Arial"/>
        </w:rPr>
        <w:t xml:space="preserve">the </w:t>
      </w:r>
      <w:r w:rsidR="001E680B">
        <w:rPr>
          <w:rFonts w:ascii="Arial" w:hAnsi="Arial" w:cs="Arial"/>
        </w:rPr>
        <w:t>Western Area Power Administration – Sierra Nevada Region</w:t>
      </w:r>
      <w:r w:rsidR="00FC553B">
        <w:rPr>
          <w:rFonts w:ascii="Arial" w:hAnsi="Arial" w:cs="Arial"/>
        </w:rPr>
        <w:t xml:space="preserve"> Transmission System</w:t>
      </w:r>
      <w:bookmarkEnd w:id="48"/>
    </w:p>
    <w:p w:rsidR="009C34CB" w:rsidRDefault="00EF24F2" w:rsidP="00FC553B">
      <w:pPr>
        <w:rPr>
          <w:rFonts w:ascii="Arial" w:hAnsi="Arial" w:cs="Arial"/>
          <w:sz w:val="24"/>
        </w:rPr>
        <w:sectPr w:rsidR="009C34CB" w:rsidSect="00CD0D6E">
          <w:footerReference w:type="default" r:id="rId16"/>
          <w:pgSz w:w="12240" w:h="15840"/>
          <w:pgMar w:top="1440" w:right="1440" w:bottom="864" w:left="1440" w:header="720" w:footer="720" w:gutter="0"/>
          <w:cols w:space="720"/>
        </w:sectPr>
      </w:pPr>
      <w:r w:rsidRPr="00F66BCC">
        <w:rPr>
          <w:rFonts w:ascii="Arial" w:hAnsi="Arial" w:cs="Arial"/>
          <w:sz w:val="24"/>
        </w:rPr>
        <w:pict>
          <v:shape id="_x0000_i1027" type="#_x0000_t75" style="width:462.75pt;height:626.25pt">
            <v:imagedata r:id="rId17" o:title="wapa area rev"/>
          </v:shape>
        </w:pict>
      </w:r>
    </w:p>
    <w:p w:rsidR="004F4EAF" w:rsidRPr="009423BD" w:rsidRDefault="004F4EAF" w:rsidP="004F4EAF">
      <w:pPr>
        <w:pStyle w:val="Heading2"/>
        <w:rPr>
          <w:rFonts w:ascii="Arial" w:hAnsi="Arial" w:cs="Arial"/>
          <w:sz w:val="28"/>
          <w:szCs w:val="28"/>
        </w:rPr>
      </w:pPr>
      <w:bookmarkStart w:id="49" w:name="_Toc244589883"/>
      <w:r w:rsidRPr="009423BD">
        <w:rPr>
          <w:rFonts w:ascii="Arial" w:hAnsi="Arial" w:cs="Arial"/>
          <w:sz w:val="28"/>
          <w:szCs w:val="28"/>
        </w:rPr>
        <w:lastRenderedPageBreak/>
        <w:t>Attachment 2:  Contingencies Studies</w:t>
      </w:r>
      <w:bookmarkEnd w:id="49"/>
    </w:p>
    <w:p w:rsidR="00572BD4" w:rsidRDefault="00F66BCC" w:rsidP="00FC553B">
      <w:pPr>
        <w:rPr>
          <w:rFonts w:ascii="Arial" w:hAnsi="Arial" w:cs="Arial"/>
          <w:b/>
          <w:sz w:val="24"/>
        </w:rPr>
      </w:pPr>
      <w:r w:rsidRPr="00F66BCC">
        <w:rPr>
          <w:rFonts w:ascii="Arial" w:hAnsi="Arial" w:cs="Arial"/>
          <w:b/>
          <w:noProof/>
        </w:rPr>
        <w:pict>
          <v:oval id="_x0000_s1031" style="position:absolute;margin-left:331.2pt;margin-top:540pt;width:.05pt;height:.05pt;z-index:1;mso-position-horizontal-relative:page;mso-position-vertical-relative:page" o:allowincell="f" fillcolor="black" stroked="f" strokeweight="0">
            <w10:wrap anchorx="page" anchory="page"/>
          </v:oval>
        </w:pict>
      </w:r>
    </w:p>
    <w:p w:rsidR="00572BD4" w:rsidRPr="00F1517C" w:rsidRDefault="00572BD4" w:rsidP="00773ABC">
      <w:pPr>
        <w:jc w:val="both"/>
        <w:rPr>
          <w:rFonts w:ascii="Arial" w:hAnsi="Arial" w:cs="Arial"/>
          <w:sz w:val="24"/>
          <w:szCs w:val="24"/>
        </w:rPr>
      </w:pPr>
      <w:r w:rsidRPr="00F1517C">
        <w:rPr>
          <w:rFonts w:ascii="Arial" w:hAnsi="Arial" w:cs="Arial"/>
          <w:sz w:val="24"/>
          <w:szCs w:val="24"/>
        </w:rPr>
        <w:t xml:space="preserve">The following list of contingencies were </w:t>
      </w:r>
      <w:r w:rsidR="00837B42" w:rsidRPr="00F1517C">
        <w:rPr>
          <w:rFonts w:ascii="Arial" w:hAnsi="Arial" w:cs="Arial"/>
          <w:sz w:val="24"/>
          <w:szCs w:val="24"/>
        </w:rPr>
        <w:t>included</w:t>
      </w:r>
      <w:r w:rsidRPr="00F1517C">
        <w:rPr>
          <w:rFonts w:ascii="Arial" w:hAnsi="Arial" w:cs="Arial"/>
          <w:sz w:val="24"/>
          <w:szCs w:val="24"/>
        </w:rPr>
        <w:t xml:space="preserve"> for thermal, voltage, post-transient and transient stability.</w:t>
      </w:r>
      <w:r w:rsidR="00F1517C" w:rsidRPr="00F1517C">
        <w:rPr>
          <w:rFonts w:ascii="Arial" w:hAnsi="Arial" w:cs="Arial"/>
          <w:sz w:val="24"/>
          <w:szCs w:val="24"/>
        </w:rPr>
        <w:t xml:space="preserve">  For transient stability analysis and while Table 1 within the NERC Planning Standards TPL-001 thru 004 allow for simulating a single-line to ground</w:t>
      </w:r>
      <w:r w:rsidR="00D46C7B">
        <w:rPr>
          <w:rFonts w:ascii="Arial" w:hAnsi="Arial" w:cs="Arial"/>
          <w:sz w:val="24"/>
          <w:szCs w:val="24"/>
        </w:rPr>
        <w:t>(SLG)</w:t>
      </w:r>
      <w:r w:rsidR="00F1517C" w:rsidRPr="00F1517C">
        <w:rPr>
          <w:rFonts w:ascii="Arial" w:hAnsi="Arial" w:cs="Arial"/>
          <w:sz w:val="24"/>
          <w:szCs w:val="24"/>
        </w:rPr>
        <w:t xml:space="preserve"> fault for certain contingencies, this WASN transmission assessment was conducted simulating 3-phase faults for all of the contingencies studied</w:t>
      </w:r>
      <w:r w:rsidR="00D46C7B">
        <w:rPr>
          <w:rFonts w:ascii="Arial" w:hAnsi="Arial" w:cs="Arial"/>
          <w:sz w:val="24"/>
          <w:szCs w:val="24"/>
        </w:rPr>
        <w:t>, but included SLG faults for some contingencies to verify that this type of fault would produce less of an impact to system reliability</w:t>
      </w:r>
      <w:r w:rsidR="00F1517C" w:rsidRPr="00F1517C">
        <w:rPr>
          <w:rFonts w:ascii="Arial" w:hAnsi="Arial" w:cs="Arial"/>
          <w:sz w:val="24"/>
          <w:szCs w:val="24"/>
        </w:rPr>
        <w:t xml:space="preserve">. </w:t>
      </w:r>
      <w:r w:rsidR="00F1517C">
        <w:rPr>
          <w:rFonts w:ascii="Arial" w:hAnsi="Arial" w:cs="Arial"/>
          <w:sz w:val="24"/>
          <w:szCs w:val="24"/>
        </w:rPr>
        <w:t xml:space="preserve">  The fault was applied on the leading bus.  For example, a 3-phase fault was applied at Captain Jack for a fault on the Captain Jack to Olinda 500 kV line that’s results in a</w:t>
      </w:r>
      <w:r w:rsidR="00FF5132">
        <w:rPr>
          <w:rFonts w:ascii="Arial" w:hAnsi="Arial" w:cs="Arial"/>
          <w:sz w:val="24"/>
          <w:szCs w:val="24"/>
        </w:rPr>
        <w:t>n</w:t>
      </w:r>
      <w:r w:rsidR="00F1517C">
        <w:rPr>
          <w:rFonts w:ascii="Arial" w:hAnsi="Arial" w:cs="Arial"/>
          <w:sz w:val="24"/>
          <w:szCs w:val="24"/>
        </w:rPr>
        <w:t xml:space="preserve"> outage of the line after the fault is cleared in 4 cycles.</w:t>
      </w:r>
    </w:p>
    <w:p w:rsidR="009C34CB" w:rsidRDefault="009C34CB" w:rsidP="00FC553B">
      <w:pPr>
        <w:rPr>
          <w:rFonts w:ascii="Arial" w:hAnsi="Arial" w:cs="Arial"/>
          <w:b/>
          <w:sz w:val="24"/>
        </w:rPr>
      </w:pPr>
    </w:p>
    <w:p w:rsidR="0008536E" w:rsidRPr="0008536E" w:rsidRDefault="00F030FC" w:rsidP="00FC553B">
      <w:pPr>
        <w:rPr>
          <w:rFonts w:ascii="Arial" w:hAnsi="Arial" w:cs="Arial"/>
          <w:b/>
          <w:sz w:val="24"/>
        </w:rPr>
      </w:pPr>
      <w:r>
        <w:rPr>
          <w:rFonts w:ascii="Arial" w:hAnsi="Arial" w:cs="Arial"/>
          <w:b/>
          <w:sz w:val="24"/>
        </w:rPr>
        <w:t>Event resulting in the loss of a single element – NERC Level B</w:t>
      </w:r>
    </w:p>
    <w:p w:rsidR="009C34CB" w:rsidRDefault="00572BD4" w:rsidP="00281A6F">
      <w:pPr>
        <w:numPr>
          <w:ilvl w:val="0"/>
          <w:numId w:val="37"/>
        </w:numPr>
        <w:rPr>
          <w:rFonts w:ascii="Arial" w:hAnsi="Arial" w:cs="Arial"/>
          <w:sz w:val="24"/>
        </w:rPr>
      </w:pPr>
      <w:r>
        <w:rPr>
          <w:rFonts w:ascii="Arial" w:hAnsi="Arial" w:cs="Arial"/>
          <w:sz w:val="24"/>
        </w:rPr>
        <w:t>Captain Jack – Olinda 500 kV</w:t>
      </w:r>
    </w:p>
    <w:p w:rsidR="00572BD4" w:rsidRDefault="00572BD4" w:rsidP="00281A6F">
      <w:pPr>
        <w:numPr>
          <w:ilvl w:val="0"/>
          <w:numId w:val="37"/>
        </w:numPr>
        <w:rPr>
          <w:rFonts w:ascii="Arial" w:hAnsi="Arial" w:cs="Arial"/>
          <w:sz w:val="24"/>
        </w:rPr>
      </w:pPr>
      <w:r>
        <w:rPr>
          <w:rFonts w:ascii="Arial" w:hAnsi="Arial" w:cs="Arial"/>
          <w:sz w:val="24"/>
        </w:rPr>
        <w:t>Olinda – Tracy 500 kV</w:t>
      </w:r>
    </w:p>
    <w:p w:rsidR="00572BD4" w:rsidRDefault="00B02453" w:rsidP="00281A6F">
      <w:pPr>
        <w:numPr>
          <w:ilvl w:val="0"/>
          <w:numId w:val="37"/>
        </w:numPr>
        <w:rPr>
          <w:rFonts w:ascii="Arial" w:hAnsi="Arial" w:cs="Arial"/>
          <w:sz w:val="24"/>
        </w:rPr>
      </w:pPr>
      <w:r>
        <w:rPr>
          <w:rFonts w:ascii="Arial" w:hAnsi="Arial" w:cs="Arial"/>
          <w:sz w:val="24"/>
        </w:rPr>
        <w:t>Folsom Power P</w:t>
      </w:r>
      <w:r w:rsidR="00572BD4">
        <w:rPr>
          <w:rFonts w:ascii="Arial" w:hAnsi="Arial" w:cs="Arial"/>
          <w:sz w:val="24"/>
        </w:rPr>
        <w:t>lant Units 1, 2 or 3</w:t>
      </w:r>
    </w:p>
    <w:p w:rsidR="00572BD4" w:rsidRDefault="00B02453" w:rsidP="00281A6F">
      <w:pPr>
        <w:numPr>
          <w:ilvl w:val="0"/>
          <w:numId w:val="37"/>
        </w:numPr>
        <w:rPr>
          <w:rFonts w:ascii="Arial" w:hAnsi="Arial" w:cs="Arial"/>
          <w:sz w:val="24"/>
        </w:rPr>
      </w:pPr>
      <w:r>
        <w:rPr>
          <w:rFonts w:ascii="Arial" w:hAnsi="Arial" w:cs="Arial"/>
          <w:sz w:val="24"/>
        </w:rPr>
        <w:t>Nimbus Power P</w:t>
      </w:r>
      <w:r w:rsidR="00572BD4">
        <w:rPr>
          <w:rFonts w:ascii="Arial" w:hAnsi="Arial" w:cs="Arial"/>
          <w:sz w:val="24"/>
        </w:rPr>
        <w:t>lant Units 1 or 2</w:t>
      </w:r>
    </w:p>
    <w:p w:rsidR="00572BD4" w:rsidRDefault="00572BD4" w:rsidP="00281A6F">
      <w:pPr>
        <w:numPr>
          <w:ilvl w:val="0"/>
          <w:numId w:val="37"/>
        </w:numPr>
        <w:rPr>
          <w:rFonts w:ascii="Arial" w:hAnsi="Arial" w:cs="Arial"/>
          <w:sz w:val="24"/>
        </w:rPr>
      </w:pPr>
      <w:r>
        <w:rPr>
          <w:rFonts w:ascii="Arial" w:hAnsi="Arial" w:cs="Arial"/>
          <w:sz w:val="24"/>
        </w:rPr>
        <w:t xml:space="preserve">Roseville </w:t>
      </w:r>
      <w:r w:rsidR="00B02453">
        <w:rPr>
          <w:rFonts w:ascii="Arial" w:hAnsi="Arial" w:cs="Arial"/>
          <w:sz w:val="24"/>
        </w:rPr>
        <w:t xml:space="preserve">Generation </w:t>
      </w:r>
      <w:r>
        <w:rPr>
          <w:rFonts w:ascii="Arial" w:hAnsi="Arial" w:cs="Arial"/>
          <w:sz w:val="24"/>
        </w:rPr>
        <w:t>Units Rep1, 2 or 3</w:t>
      </w:r>
    </w:p>
    <w:p w:rsidR="00572BD4" w:rsidRDefault="00572BD4" w:rsidP="00281A6F">
      <w:pPr>
        <w:numPr>
          <w:ilvl w:val="0"/>
          <w:numId w:val="37"/>
        </w:numPr>
        <w:rPr>
          <w:rFonts w:ascii="Arial" w:hAnsi="Arial" w:cs="Arial"/>
          <w:sz w:val="24"/>
        </w:rPr>
      </w:pPr>
      <w:r>
        <w:rPr>
          <w:rFonts w:ascii="Arial" w:hAnsi="Arial" w:cs="Arial"/>
          <w:sz w:val="24"/>
        </w:rPr>
        <w:t xml:space="preserve">Roseville </w:t>
      </w:r>
      <w:r w:rsidR="00B02453">
        <w:rPr>
          <w:rFonts w:ascii="Arial" w:hAnsi="Arial" w:cs="Arial"/>
          <w:sz w:val="24"/>
        </w:rPr>
        <w:t xml:space="preserve">Generation </w:t>
      </w:r>
      <w:r>
        <w:rPr>
          <w:rFonts w:ascii="Arial" w:hAnsi="Arial" w:cs="Arial"/>
          <w:sz w:val="24"/>
        </w:rPr>
        <w:t>CT’s 1 or 2</w:t>
      </w:r>
    </w:p>
    <w:p w:rsidR="00572BD4" w:rsidRDefault="00572BD4" w:rsidP="00281A6F">
      <w:pPr>
        <w:numPr>
          <w:ilvl w:val="0"/>
          <w:numId w:val="37"/>
        </w:numPr>
        <w:rPr>
          <w:rFonts w:ascii="Arial" w:hAnsi="Arial" w:cs="Arial"/>
          <w:sz w:val="24"/>
        </w:rPr>
      </w:pPr>
      <w:r>
        <w:rPr>
          <w:rFonts w:ascii="Arial" w:hAnsi="Arial" w:cs="Arial"/>
          <w:sz w:val="24"/>
        </w:rPr>
        <w:t>Sutter Power Plant Units 1, 2, or 3</w:t>
      </w:r>
    </w:p>
    <w:p w:rsidR="00572BD4" w:rsidRDefault="00572BD4" w:rsidP="00281A6F">
      <w:pPr>
        <w:numPr>
          <w:ilvl w:val="0"/>
          <w:numId w:val="37"/>
        </w:numPr>
        <w:rPr>
          <w:rFonts w:ascii="Arial" w:hAnsi="Arial" w:cs="Arial"/>
          <w:sz w:val="24"/>
        </w:rPr>
      </w:pPr>
      <w:r>
        <w:rPr>
          <w:rFonts w:ascii="Arial" w:hAnsi="Arial" w:cs="Arial"/>
          <w:sz w:val="24"/>
        </w:rPr>
        <w:t>Airport – Cottonwood 230 kV</w:t>
      </w:r>
    </w:p>
    <w:p w:rsidR="00572BD4" w:rsidRDefault="00572BD4" w:rsidP="00281A6F">
      <w:pPr>
        <w:numPr>
          <w:ilvl w:val="0"/>
          <w:numId w:val="37"/>
        </w:numPr>
        <w:rPr>
          <w:rFonts w:ascii="Arial" w:hAnsi="Arial" w:cs="Arial"/>
          <w:sz w:val="24"/>
        </w:rPr>
      </w:pPr>
      <w:r>
        <w:rPr>
          <w:rFonts w:ascii="Arial" w:hAnsi="Arial" w:cs="Arial"/>
          <w:sz w:val="24"/>
        </w:rPr>
        <w:t>Cottonwood – Round Mountain 230 kV</w:t>
      </w:r>
    </w:p>
    <w:p w:rsidR="00572BD4" w:rsidRDefault="00572BD4" w:rsidP="00281A6F">
      <w:pPr>
        <w:numPr>
          <w:ilvl w:val="0"/>
          <w:numId w:val="37"/>
        </w:numPr>
        <w:rPr>
          <w:rFonts w:ascii="Arial" w:hAnsi="Arial" w:cs="Arial"/>
          <w:sz w:val="24"/>
        </w:rPr>
      </w:pPr>
      <w:r>
        <w:rPr>
          <w:rFonts w:ascii="Arial" w:hAnsi="Arial" w:cs="Arial"/>
          <w:sz w:val="24"/>
        </w:rPr>
        <w:t>Cottonwood – Roseville 230 kV</w:t>
      </w:r>
    </w:p>
    <w:p w:rsidR="00572BD4" w:rsidRDefault="00572BD4" w:rsidP="00281A6F">
      <w:pPr>
        <w:numPr>
          <w:ilvl w:val="0"/>
          <w:numId w:val="37"/>
        </w:numPr>
        <w:rPr>
          <w:rFonts w:ascii="Arial" w:hAnsi="Arial" w:cs="Arial"/>
          <w:sz w:val="24"/>
        </w:rPr>
      </w:pPr>
      <w:r>
        <w:rPr>
          <w:rFonts w:ascii="Arial" w:hAnsi="Arial" w:cs="Arial"/>
          <w:sz w:val="24"/>
        </w:rPr>
        <w:t>Cottonwood – Shasta 230 kV overlapping with Shasta</w:t>
      </w:r>
      <w:r w:rsidR="00A73420">
        <w:rPr>
          <w:rFonts w:ascii="Arial" w:hAnsi="Arial" w:cs="Arial"/>
          <w:sz w:val="24"/>
        </w:rPr>
        <w:t xml:space="preserve"> Units 1 &amp;</w:t>
      </w:r>
      <w:r>
        <w:rPr>
          <w:rFonts w:ascii="Arial" w:hAnsi="Arial" w:cs="Arial"/>
          <w:sz w:val="24"/>
        </w:rPr>
        <w:t xml:space="preserve"> 2</w:t>
      </w:r>
    </w:p>
    <w:p w:rsidR="00572BD4" w:rsidRDefault="00572BD4" w:rsidP="00281A6F">
      <w:pPr>
        <w:numPr>
          <w:ilvl w:val="0"/>
          <w:numId w:val="37"/>
        </w:numPr>
        <w:rPr>
          <w:rFonts w:ascii="Arial" w:hAnsi="Arial" w:cs="Arial"/>
          <w:sz w:val="24"/>
        </w:rPr>
      </w:pPr>
      <w:r>
        <w:rPr>
          <w:rFonts w:ascii="Arial" w:hAnsi="Arial" w:cs="Arial"/>
          <w:sz w:val="24"/>
        </w:rPr>
        <w:t>Cottonwood – Shasta 230 kV overlapping with Shasta</w:t>
      </w:r>
      <w:r w:rsidR="00A73420">
        <w:rPr>
          <w:rFonts w:ascii="Arial" w:hAnsi="Arial" w:cs="Arial"/>
          <w:sz w:val="24"/>
        </w:rPr>
        <w:t xml:space="preserve"> Units 3 &amp;</w:t>
      </w:r>
      <w:r>
        <w:rPr>
          <w:rFonts w:ascii="Arial" w:hAnsi="Arial" w:cs="Arial"/>
          <w:sz w:val="24"/>
        </w:rPr>
        <w:t xml:space="preserve"> 4</w:t>
      </w:r>
    </w:p>
    <w:p w:rsidR="00572BD4" w:rsidRDefault="00572BD4" w:rsidP="00281A6F">
      <w:pPr>
        <w:numPr>
          <w:ilvl w:val="0"/>
          <w:numId w:val="37"/>
        </w:numPr>
        <w:rPr>
          <w:rFonts w:ascii="Arial" w:hAnsi="Arial" w:cs="Arial"/>
          <w:sz w:val="24"/>
        </w:rPr>
      </w:pPr>
      <w:r>
        <w:rPr>
          <w:rFonts w:ascii="Arial" w:hAnsi="Arial" w:cs="Arial"/>
          <w:sz w:val="24"/>
        </w:rPr>
        <w:t xml:space="preserve">Elverta </w:t>
      </w:r>
      <w:r w:rsidR="00FC1CA2">
        <w:rPr>
          <w:rFonts w:ascii="Arial" w:hAnsi="Arial" w:cs="Arial"/>
          <w:sz w:val="24"/>
        </w:rPr>
        <w:t xml:space="preserve">WAPA </w:t>
      </w:r>
      <w:r>
        <w:rPr>
          <w:rFonts w:ascii="Arial" w:hAnsi="Arial" w:cs="Arial"/>
          <w:sz w:val="24"/>
        </w:rPr>
        <w:t>– Hurley 230 kV</w:t>
      </w:r>
    </w:p>
    <w:p w:rsidR="0008536E" w:rsidRDefault="0008536E" w:rsidP="00281A6F">
      <w:pPr>
        <w:numPr>
          <w:ilvl w:val="0"/>
          <w:numId w:val="37"/>
        </w:numPr>
        <w:rPr>
          <w:rFonts w:ascii="Arial" w:hAnsi="Arial" w:cs="Arial"/>
          <w:sz w:val="24"/>
        </w:rPr>
      </w:pPr>
      <w:r>
        <w:rPr>
          <w:rFonts w:ascii="Arial" w:hAnsi="Arial" w:cs="Arial"/>
          <w:sz w:val="24"/>
        </w:rPr>
        <w:t>Fiddyment – Elverta</w:t>
      </w:r>
      <w:r w:rsidR="00FC1CA2">
        <w:rPr>
          <w:rFonts w:ascii="Arial" w:hAnsi="Arial" w:cs="Arial"/>
          <w:sz w:val="24"/>
        </w:rPr>
        <w:t xml:space="preserve"> WAPA</w:t>
      </w:r>
      <w:r>
        <w:rPr>
          <w:rFonts w:ascii="Arial" w:hAnsi="Arial" w:cs="Arial"/>
          <w:sz w:val="24"/>
        </w:rPr>
        <w:t xml:space="preserve"> </w:t>
      </w:r>
      <w:r w:rsidR="00FC1CA2">
        <w:rPr>
          <w:rFonts w:ascii="Arial" w:hAnsi="Arial" w:cs="Arial"/>
          <w:sz w:val="24"/>
        </w:rPr>
        <w:t>230 kV</w:t>
      </w:r>
    </w:p>
    <w:p w:rsidR="0008536E" w:rsidRDefault="0008536E" w:rsidP="00281A6F">
      <w:pPr>
        <w:numPr>
          <w:ilvl w:val="0"/>
          <w:numId w:val="37"/>
        </w:numPr>
        <w:rPr>
          <w:rFonts w:ascii="Arial" w:hAnsi="Arial" w:cs="Arial"/>
          <w:sz w:val="24"/>
        </w:rPr>
      </w:pPr>
      <w:r>
        <w:rPr>
          <w:rFonts w:ascii="Arial" w:hAnsi="Arial" w:cs="Arial"/>
          <w:sz w:val="24"/>
        </w:rPr>
        <w:t xml:space="preserve">Fiddyment – Roseville </w:t>
      </w:r>
      <w:r w:rsidR="00FC1CA2">
        <w:rPr>
          <w:rFonts w:ascii="Arial" w:hAnsi="Arial" w:cs="Arial"/>
          <w:sz w:val="24"/>
        </w:rPr>
        <w:t>230 kV</w:t>
      </w:r>
    </w:p>
    <w:p w:rsidR="0008536E" w:rsidRDefault="0008536E" w:rsidP="00281A6F">
      <w:pPr>
        <w:numPr>
          <w:ilvl w:val="0"/>
          <w:numId w:val="37"/>
        </w:numPr>
        <w:rPr>
          <w:rFonts w:ascii="Arial" w:hAnsi="Arial" w:cs="Arial"/>
          <w:sz w:val="24"/>
        </w:rPr>
      </w:pPr>
      <w:r>
        <w:rPr>
          <w:rFonts w:ascii="Arial" w:hAnsi="Arial" w:cs="Arial"/>
          <w:sz w:val="24"/>
        </w:rPr>
        <w:t xml:space="preserve">Flanagan – Keswick </w:t>
      </w:r>
      <w:r w:rsidR="00FC1CA2">
        <w:rPr>
          <w:rFonts w:ascii="Arial" w:hAnsi="Arial" w:cs="Arial"/>
          <w:sz w:val="24"/>
        </w:rPr>
        <w:t>230 kV</w:t>
      </w:r>
    </w:p>
    <w:p w:rsidR="00457E64" w:rsidRDefault="00457E64" w:rsidP="00457E64">
      <w:pPr>
        <w:numPr>
          <w:ilvl w:val="0"/>
          <w:numId w:val="37"/>
        </w:numPr>
        <w:rPr>
          <w:rFonts w:ascii="Arial" w:hAnsi="Arial" w:cs="Arial"/>
          <w:sz w:val="24"/>
        </w:rPr>
      </w:pPr>
      <w:r>
        <w:rPr>
          <w:rFonts w:ascii="Arial" w:hAnsi="Arial" w:cs="Arial"/>
          <w:sz w:val="24"/>
        </w:rPr>
        <w:t>Folsom – Lake 230 kV</w:t>
      </w:r>
    </w:p>
    <w:p w:rsidR="0008536E" w:rsidRDefault="0008536E" w:rsidP="00281A6F">
      <w:pPr>
        <w:numPr>
          <w:ilvl w:val="0"/>
          <w:numId w:val="37"/>
        </w:numPr>
        <w:rPr>
          <w:rFonts w:ascii="Arial" w:hAnsi="Arial" w:cs="Arial"/>
          <w:sz w:val="24"/>
        </w:rPr>
      </w:pPr>
      <w:r>
        <w:rPr>
          <w:rFonts w:ascii="Arial" w:hAnsi="Arial" w:cs="Arial"/>
          <w:sz w:val="24"/>
        </w:rPr>
        <w:t xml:space="preserve">Folsom – Nimbus </w:t>
      </w:r>
      <w:r w:rsidR="00FC1CA2">
        <w:rPr>
          <w:rFonts w:ascii="Arial" w:hAnsi="Arial" w:cs="Arial"/>
          <w:sz w:val="24"/>
        </w:rPr>
        <w:t>115 kV</w:t>
      </w:r>
    </w:p>
    <w:p w:rsidR="00457E64" w:rsidRPr="00457E64" w:rsidRDefault="00457E64" w:rsidP="00457E64">
      <w:pPr>
        <w:numPr>
          <w:ilvl w:val="0"/>
          <w:numId w:val="37"/>
        </w:numPr>
        <w:rPr>
          <w:rFonts w:ascii="Arial" w:hAnsi="Arial" w:cs="Arial"/>
          <w:sz w:val="24"/>
        </w:rPr>
      </w:pPr>
      <w:r>
        <w:rPr>
          <w:rFonts w:ascii="Arial" w:hAnsi="Arial" w:cs="Arial"/>
          <w:sz w:val="24"/>
        </w:rPr>
        <w:t>Folsom – Orangevale 230 kV</w:t>
      </w:r>
    </w:p>
    <w:p w:rsidR="0008536E" w:rsidRDefault="0008536E" w:rsidP="00281A6F">
      <w:pPr>
        <w:numPr>
          <w:ilvl w:val="0"/>
          <w:numId w:val="37"/>
        </w:numPr>
        <w:rPr>
          <w:rFonts w:ascii="Arial" w:hAnsi="Arial" w:cs="Arial"/>
          <w:sz w:val="24"/>
        </w:rPr>
      </w:pPr>
      <w:r>
        <w:rPr>
          <w:rFonts w:ascii="Arial" w:hAnsi="Arial" w:cs="Arial"/>
          <w:sz w:val="24"/>
        </w:rPr>
        <w:t xml:space="preserve">Folsom – Roseville </w:t>
      </w:r>
      <w:r w:rsidR="00FC1CA2">
        <w:rPr>
          <w:rFonts w:ascii="Arial" w:hAnsi="Arial" w:cs="Arial"/>
          <w:sz w:val="24"/>
        </w:rPr>
        <w:t>230 kV</w:t>
      </w:r>
    </w:p>
    <w:p w:rsidR="0008536E" w:rsidRDefault="005F3B1C" w:rsidP="00281A6F">
      <w:pPr>
        <w:numPr>
          <w:ilvl w:val="0"/>
          <w:numId w:val="37"/>
        </w:numPr>
        <w:rPr>
          <w:rFonts w:ascii="Arial" w:hAnsi="Arial" w:cs="Arial"/>
          <w:sz w:val="24"/>
        </w:rPr>
      </w:pPr>
      <w:r>
        <w:rPr>
          <w:rFonts w:ascii="Arial" w:hAnsi="Arial" w:cs="Arial"/>
          <w:sz w:val="24"/>
        </w:rPr>
        <w:t xml:space="preserve">Goldhill – Lake </w:t>
      </w:r>
      <w:r w:rsidR="00FC1CA2">
        <w:rPr>
          <w:rFonts w:ascii="Arial" w:hAnsi="Arial" w:cs="Arial"/>
          <w:sz w:val="24"/>
        </w:rPr>
        <w:t>230 kV</w:t>
      </w:r>
    </w:p>
    <w:p w:rsidR="005F3B1C" w:rsidRDefault="005F3B1C" w:rsidP="00281A6F">
      <w:pPr>
        <w:numPr>
          <w:ilvl w:val="0"/>
          <w:numId w:val="37"/>
        </w:numPr>
        <w:rPr>
          <w:rFonts w:ascii="Arial" w:hAnsi="Arial" w:cs="Arial"/>
          <w:sz w:val="24"/>
        </w:rPr>
      </w:pPr>
      <w:r>
        <w:rPr>
          <w:rFonts w:ascii="Arial" w:hAnsi="Arial" w:cs="Arial"/>
          <w:sz w:val="24"/>
        </w:rPr>
        <w:t xml:space="preserve">Keswick – Airport </w:t>
      </w:r>
      <w:r w:rsidR="00FC1CA2">
        <w:rPr>
          <w:rFonts w:ascii="Arial" w:hAnsi="Arial" w:cs="Arial"/>
          <w:sz w:val="24"/>
        </w:rPr>
        <w:t>230 kV</w:t>
      </w:r>
    </w:p>
    <w:p w:rsidR="00C06732" w:rsidRDefault="00C06732" w:rsidP="00281A6F">
      <w:pPr>
        <w:numPr>
          <w:ilvl w:val="0"/>
          <w:numId w:val="37"/>
        </w:numPr>
        <w:rPr>
          <w:rFonts w:ascii="Arial" w:hAnsi="Arial" w:cs="Arial"/>
          <w:sz w:val="24"/>
        </w:rPr>
      </w:pPr>
      <w:r>
        <w:rPr>
          <w:rFonts w:ascii="Arial" w:hAnsi="Arial" w:cs="Arial"/>
          <w:sz w:val="24"/>
        </w:rPr>
        <w:t xml:space="preserve">Keswick – JF </w:t>
      </w:r>
      <w:r w:rsidR="00FC1CA2">
        <w:rPr>
          <w:rFonts w:ascii="Arial" w:hAnsi="Arial" w:cs="Arial"/>
          <w:sz w:val="24"/>
        </w:rPr>
        <w:t>Carr 230 kV</w:t>
      </w:r>
    </w:p>
    <w:p w:rsidR="00C06732" w:rsidRDefault="00C06732" w:rsidP="00281A6F">
      <w:pPr>
        <w:numPr>
          <w:ilvl w:val="0"/>
          <w:numId w:val="37"/>
        </w:numPr>
        <w:rPr>
          <w:rFonts w:ascii="Arial" w:hAnsi="Arial" w:cs="Arial"/>
          <w:sz w:val="24"/>
        </w:rPr>
      </w:pPr>
      <w:r>
        <w:rPr>
          <w:rFonts w:ascii="Arial" w:hAnsi="Arial" w:cs="Arial"/>
          <w:sz w:val="24"/>
        </w:rPr>
        <w:t>Keswick – O’</w:t>
      </w:r>
      <w:r w:rsidR="00FC1CA2">
        <w:rPr>
          <w:rFonts w:ascii="Arial" w:hAnsi="Arial" w:cs="Arial"/>
          <w:sz w:val="24"/>
        </w:rPr>
        <w:t>Banion 230 kV</w:t>
      </w:r>
    </w:p>
    <w:p w:rsidR="00C06732" w:rsidRDefault="00C06732" w:rsidP="00281A6F">
      <w:pPr>
        <w:numPr>
          <w:ilvl w:val="0"/>
          <w:numId w:val="37"/>
        </w:numPr>
        <w:rPr>
          <w:rFonts w:ascii="Arial" w:hAnsi="Arial" w:cs="Arial"/>
          <w:sz w:val="24"/>
        </w:rPr>
      </w:pPr>
      <w:r>
        <w:rPr>
          <w:rFonts w:ascii="Arial" w:hAnsi="Arial" w:cs="Arial"/>
          <w:sz w:val="24"/>
        </w:rPr>
        <w:t>Keswick – Spring Creek 230 kV overlapping with Spring Creek Unit 1</w:t>
      </w:r>
    </w:p>
    <w:p w:rsidR="00FC1CA2" w:rsidRDefault="00FC1CA2" w:rsidP="00281A6F">
      <w:pPr>
        <w:numPr>
          <w:ilvl w:val="0"/>
          <w:numId w:val="37"/>
        </w:numPr>
        <w:rPr>
          <w:rFonts w:ascii="Arial" w:hAnsi="Arial" w:cs="Arial"/>
          <w:sz w:val="24"/>
        </w:rPr>
      </w:pPr>
      <w:r>
        <w:rPr>
          <w:rFonts w:ascii="Arial" w:hAnsi="Arial" w:cs="Arial"/>
          <w:sz w:val="24"/>
        </w:rPr>
        <w:t>O’Banion – Elverta WAPA 230 kV</w:t>
      </w:r>
    </w:p>
    <w:p w:rsidR="00457E64" w:rsidRPr="00457E64" w:rsidRDefault="00457E64" w:rsidP="00457E64">
      <w:pPr>
        <w:numPr>
          <w:ilvl w:val="0"/>
          <w:numId w:val="37"/>
        </w:numPr>
        <w:rPr>
          <w:rFonts w:ascii="Arial" w:hAnsi="Arial" w:cs="Arial"/>
          <w:sz w:val="24"/>
        </w:rPr>
      </w:pPr>
      <w:r>
        <w:rPr>
          <w:rFonts w:ascii="Arial" w:hAnsi="Arial" w:cs="Arial"/>
          <w:sz w:val="24"/>
        </w:rPr>
        <w:t>O’Banion – Natomas 230 kV</w:t>
      </w:r>
    </w:p>
    <w:p w:rsidR="00FC1CA2" w:rsidRDefault="00FC1CA2" w:rsidP="00281A6F">
      <w:pPr>
        <w:numPr>
          <w:ilvl w:val="0"/>
          <w:numId w:val="37"/>
        </w:numPr>
        <w:rPr>
          <w:rFonts w:ascii="Arial" w:hAnsi="Arial" w:cs="Arial"/>
          <w:sz w:val="24"/>
        </w:rPr>
      </w:pPr>
      <w:r>
        <w:rPr>
          <w:rFonts w:ascii="Arial" w:hAnsi="Arial" w:cs="Arial"/>
          <w:sz w:val="24"/>
        </w:rPr>
        <w:t>Olinda – Cottonwood 230 kV</w:t>
      </w:r>
    </w:p>
    <w:p w:rsidR="00FC1CA2" w:rsidRDefault="00FC1CA2" w:rsidP="00281A6F">
      <w:pPr>
        <w:numPr>
          <w:ilvl w:val="0"/>
          <w:numId w:val="37"/>
        </w:numPr>
        <w:rPr>
          <w:rFonts w:ascii="Arial" w:hAnsi="Arial" w:cs="Arial"/>
          <w:sz w:val="24"/>
        </w:rPr>
      </w:pPr>
      <w:r>
        <w:rPr>
          <w:rFonts w:ascii="Arial" w:hAnsi="Arial" w:cs="Arial"/>
          <w:sz w:val="24"/>
        </w:rPr>
        <w:t>Olinda – Keswick 230 kV</w:t>
      </w:r>
    </w:p>
    <w:p w:rsidR="00FC1CA2" w:rsidRDefault="00FC1CA2" w:rsidP="00281A6F">
      <w:pPr>
        <w:numPr>
          <w:ilvl w:val="0"/>
          <w:numId w:val="37"/>
        </w:numPr>
        <w:rPr>
          <w:rFonts w:ascii="Arial" w:hAnsi="Arial" w:cs="Arial"/>
          <w:sz w:val="24"/>
        </w:rPr>
      </w:pPr>
      <w:r>
        <w:rPr>
          <w:rFonts w:ascii="Arial" w:hAnsi="Arial" w:cs="Arial"/>
          <w:sz w:val="24"/>
        </w:rPr>
        <w:t>Olinda – O’Banion 230 kV</w:t>
      </w:r>
    </w:p>
    <w:p w:rsidR="00FC1CA2" w:rsidRDefault="00FC1CA2" w:rsidP="00281A6F">
      <w:pPr>
        <w:numPr>
          <w:ilvl w:val="0"/>
          <w:numId w:val="37"/>
        </w:numPr>
        <w:rPr>
          <w:rFonts w:ascii="Arial" w:hAnsi="Arial" w:cs="Arial"/>
          <w:sz w:val="24"/>
        </w:rPr>
      </w:pPr>
      <w:r>
        <w:rPr>
          <w:rFonts w:ascii="Arial" w:hAnsi="Arial" w:cs="Arial"/>
          <w:sz w:val="24"/>
        </w:rPr>
        <w:t>Rancho Seco – Bellota 230 kV</w:t>
      </w:r>
    </w:p>
    <w:p w:rsidR="00FC1CA2" w:rsidRDefault="00FC1CA2" w:rsidP="00281A6F">
      <w:pPr>
        <w:numPr>
          <w:ilvl w:val="0"/>
          <w:numId w:val="37"/>
        </w:numPr>
        <w:rPr>
          <w:rFonts w:ascii="Arial" w:hAnsi="Arial" w:cs="Arial"/>
          <w:sz w:val="24"/>
        </w:rPr>
      </w:pPr>
      <w:r>
        <w:rPr>
          <w:rFonts w:ascii="Arial" w:hAnsi="Arial" w:cs="Arial"/>
          <w:sz w:val="24"/>
        </w:rPr>
        <w:t>Roseville – Elverta WAPA 230 kV</w:t>
      </w:r>
    </w:p>
    <w:p w:rsidR="00A73420" w:rsidRDefault="00A73420" w:rsidP="00281A6F">
      <w:pPr>
        <w:numPr>
          <w:ilvl w:val="0"/>
          <w:numId w:val="37"/>
        </w:numPr>
        <w:rPr>
          <w:rFonts w:ascii="Arial" w:hAnsi="Arial" w:cs="Arial"/>
          <w:sz w:val="24"/>
        </w:rPr>
      </w:pPr>
      <w:r>
        <w:rPr>
          <w:rFonts w:ascii="Arial" w:hAnsi="Arial" w:cs="Arial"/>
          <w:sz w:val="24"/>
        </w:rPr>
        <w:t>Roseville – Folsom 230 kV</w:t>
      </w:r>
    </w:p>
    <w:p w:rsidR="00A73420" w:rsidRDefault="00A73420" w:rsidP="00281A6F">
      <w:pPr>
        <w:numPr>
          <w:ilvl w:val="0"/>
          <w:numId w:val="37"/>
        </w:numPr>
        <w:rPr>
          <w:rFonts w:ascii="Arial" w:hAnsi="Arial" w:cs="Arial"/>
          <w:sz w:val="24"/>
        </w:rPr>
      </w:pPr>
      <w:r>
        <w:rPr>
          <w:rFonts w:ascii="Arial" w:hAnsi="Arial" w:cs="Arial"/>
          <w:sz w:val="24"/>
        </w:rPr>
        <w:t>Shasta – Flanagan 230 kV</w:t>
      </w:r>
    </w:p>
    <w:p w:rsidR="00A73420" w:rsidRDefault="00A73420" w:rsidP="00281A6F">
      <w:pPr>
        <w:numPr>
          <w:ilvl w:val="0"/>
          <w:numId w:val="37"/>
        </w:numPr>
        <w:rPr>
          <w:rFonts w:ascii="Arial" w:hAnsi="Arial" w:cs="Arial"/>
          <w:sz w:val="24"/>
        </w:rPr>
      </w:pPr>
      <w:r>
        <w:rPr>
          <w:rFonts w:ascii="Arial" w:hAnsi="Arial" w:cs="Arial"/>
          <w:sz w:val="24"/>
        </w:rPr>
        <w:lastRenderedPageBreak/>
        <w:t>Sutter – O’Banion 230 kV</w:t>
      </w:r>
      <w:r w:rsidR="00847F71">
        <w:rPr>
          <w:rFonts w:ascii="Arial" w:hAnsi="Arial" w:cs="Arial"/>
          <w:sz w:val="24"/>
        </w:rPr>
        <w:t xml:space="preserve"> and Sutter Power Plant</w:t>
      </w:r>
    </w:p>
    <w:p w:rsidR="00A73420" w:rsidRDefault="00A73420" w:rsidP="00281A6F">
      <w:pPr>
        <w:numPr>
          <w:ilvl w:val="0"/>
          <w:numId w:val="37"/>
        </w:numPr>
        <w:rPr>
          <w:rFonts w:ascii="Arial" w:hAnsi="Arial" w:cs="Arial"/>
          <w:sz w:val="24"/>
        </w:rPr>
      </w:pPr>
      <w:r>
        <w:rPr>
          <w:rFonts w:ascii="Arial" w:hAnsi="Arial" w:cs="Arial"/>
          <w:sz w:val="24"/>
        </w:rPr>
        <w:t>Trinity – JF Carr 230 kV overlapping with Trinity Units 1 &amp; 2</w:t>
      </w:r>
    </w:p>
    <w:p w:rsidR="00A73420" w:rsidRDefault="00A73420" w:rsidP="00281A6F">
      <w:pPr>
        <w:numPr>
          <w:ilvl w:val="0"/>
          <w:numId w:val="37"/>
        </w:numPr>
        <w:rPr>
          <w:rFonts w:ascii="Arial" w:hAnsi="Arial" w:cs="Arial"/>
          <w:sz w:val="24"/>
        </w:rPr>
      </w:pPr>
      <w:r>
        <w:rPr>
          <w:rFonts w:ascii="Arial" w:hAnsi="Arial" w:cs="Arial"/>
          <w:sz w:val="24"/>
        </w:rPr>
        <w:t>Tracy – Hurley 230 kV</w:t>
      </w:r>
    </w:p>
    <w:p w:rsidR="00A73420" w:rsidRDefault="00A73420" w:rsidP="00281A6F">
      <w:pPr>
        <w:numPr>
          <w:ilvl w:val="0"/>
          <w:numId w:val="37"/>
        </w:numPr>
        <w:rPr>
          <w:rFonts w:ascii="Arial" w:hAnsi="Arial" w:cs="Arial"/>
          <w:sz w:val="24"/>
        </w:rPr>
      </w:pPr>
      <w:r>
        <w:rPr>
          <w:rFonts w:ascii="Arial" w:hAnsi="Arial" w:cs="Arial"/>
          <w:sz w:val="24"/>
        </w:rPr>
        <w:t>Tracy – Lawrence Livermore 230 kV</w:t>
      </w:r>
    </w:p>
    <w:p w:rsidR="00A73420" w:rsidRDefault="00A73420" w:rsidP="00281A6F">
      <w:pPr>
        <w:numPr>
          <w:ilvl w:val="0"/>
          <w:numId w:val="37"/>
        </w:numPr>
        <w:rPr>
          <w:rFonts w:ascii="Arial" w:hAnsi="Arial" w:cs="Arial"/>
          <w:sz w:val="24"/>
        </w:rPr>
      </w:pPr>
      <w:r>
        <w:rPr>
          <w:rFonts w:ascii="Arial" w:hAnsi="Arial" w:cs="Arial"/>
          <w:sz w:val="24"/>
        </w:rPr>
        <w:t>Tracy – Tesla 230 kV</w:t>
      </w:r>
    </w:p>
    <w:p w:rsidR="00A73420" w:rsidRDefault="00A73420" w:rsidP="00281A6F">
      <w:pPr>
        <w:numPr>
          <w:ilvl w:val="0"/>
          <w:numId w:val="37"/>
        </w:numPr>
        <w:rPr>
          <w:rFonts w:ascii="Arial" w:hAnsi="Arial" w:cs="Arial"/>
          <w:sz w:val="24"/>
        </w:rPr>
      </w:pPr>
      <w:r>
        <w:rPr>
          <w:rFonts w:ascii="Arial" w:hAnsi="Arial" w:cs="Arial"/>
          <w:sz w:val="24"/>
        </w:rPr>
        <w:t>Tracy – Wesley 230 kV</w:t>
      </w:r>
    </w:p>
    <w:p w:rsidR="00B3710B" w:rsidRDefault="00B3710B" w:rsidP="00281A6F">
      <w:pPr>
        <w:numPr>
          <w:ilvl w:val="0"/>
          <w:numId w:val="37"/>
        </w:numPr>
        <w:rPr>
          <w:rFonts w:ascii="Arial" w:hAnsi="Arial" w:cs="Arial"/>
          <w:sz w:val="24"/>
        </w:rPr>
      </w:pPr>
      <w:r>
        <w:rPr>
          <w:rFonts w:ascii="Arial" w:hAnsi="Arial" w:cs="Arial"/>
          <w:sz w:val="24"/>
        </w:rPr>
        <w:t>Olinda  500/230 kV Transformer Bank</w:t>
      </w:r>
    </w:p>
    <w:p w:rsidR="00B3710B" w:rsidRDefault="00B3710B" w:rsidP="00281A6F">
      <w:pPr>
        <w:numPr>
          <w:ilvl w:val="0"/>
          <w:numId w:val="37"/>
        </w:numPr>
        <w:rPr>
          <w:rFonts w:ascii="Arial" w:hAnsi="Arial" w:cs="Arial"/>
          <w:sz w:val="24"/>
        </w:rPr>
      </w:pPr>
      <w:r>
        <w:rPr>
          <w:rFonts w:ascii="Arial" w:hAnsi="Arial" w:cs="Arial"/>
          <w:sz w:val="24"/>
        </w:rPr>
        <w:t>Roseville 230/60 kV Transformer Bank</w:t>
      </w:r>
    </w:p>
    <w:p w:rsidR="00B3710B" w:rsidRDefault="00B3710B" w:rsidP="00281A6F">
      <w:pPr>
        <w:numPr>
          <w:ilvl w:val="0"/>
          <w:numId w:val="37"/>
        </w:numPr>
        <w:rPr>
          <w:rFonts w:ascii="Arial" w:hAnsi="Arial" w:cs="Arial"/>
          <w:sz w:val="24"/>
        </w:rPr>
      </w:pPr>
      <w:r>
        <w:rPr>
          <w:rFonts w:ascii="Arial" w:hAnsi="Arial" w:cs="Arial"/>
          <w:sz w:val="24"/>
        </w:rPr>
        <w:t>Tracy 500/230 kV Transformer Bank</w:t>
      </w:r>
    </w:p>
    <w:p w:rsidR="001173FC" w:rsidRDefault="001173FC" w:rsidP="00FC553B">
      <w:pPr>
        <w:rPr>
          <w:rFonts w:ascii="Arial" w:hAnsi="Arial" w:cs="Arial"/>
          <w:sz w:val="24"/>
        </w:rPr>
      </w:pPr>
    </w:p>
    <w:p w:rsidR="00F030FC" w:rsidRDefault="00F030FC" w:rsidP="00F030FC">
      <w:pPr>
        <w:rPr>
          <w:rFonts w:ascii="Arial" w:hAnsi="Arial" w:cs="Arial"/>
          <w:b/>
          <w:sz w:val="24"/>
        </w:rPr>
      </w:pPr>
      <w:r>
        <w:rPr>
          <w:rFonts w:ascii="Arial" w:hAnsi="Arial" w:cs="Arial"/>
          <w:b/>
          <w:sz w:val="24"/>
        </w:rPr>
        <w:t>Event(s) resulting in the loss of two or more (multiple) elements – NERC Level C</w:t>
      </w:r>
    </w:p>
    <w:p w:rsidR="00F030FC" w:rsidRDefault="004F3BE0" w:rsidP="00281A6F">
      <w:pPr>
        <w:numPr>
          <w:ilvl w:val="0"/>
          <w:numId w:val="35"/>
        </w:numPr>
        <w:rPr>
          <w:rFonts w:ascii="Arial" w:hAnsi="Arial" w:cs="Arial"/>
          <w:sz w:val="24"/>
        </w:rPr>
      </w:pPr>
      <w:r w:rsidRPr="004F3BE0">
        <w:rPr>
          <w:rFonts w:ascii="Arial" w:hAnsi="Arial" w:cs="Arial"/>
          <w:sz w:val="24"/>
        </w:rPr>
        <w:t>Cottonwood</w:t>
      </w:r>
      <w:r>
        <w:rPr>
          <w:rFonts w:ascii="Arial" w:hAnsi="Arial" w:cs="Arial"/>
          <w:sz w:val="24"/>
        </w:rPr>
        <w:t xml:space="preserve"> 230 kV bus section</w:t>
      </w:r>
    </w:p>
    <w:p w:rsidR="004F3BE0" w:rsidRDefault="004F3BE0" w:rsidP="00281A6F">
      <w:pPr>
        <w:numPr>
          <w:ilvl w:val="0"/>
          <w:numId w:val="35"/>
        </w:numPr>
        <w:rPr>
          <w:rFonts w:ascii="Arial" w:hAnsi="Arial" w:cs="Arial"/>
          <w:sz w:val="24"/>
        </w:rPr>
      </w:pPr>
      <w:r>
        <w:rPr>
          <w:rFonts w:ascii="Arial" w:hAnsi="Arial" w:cs="Arial"/>
          <w:sz w:val="24"/>
        </w:rPr>
        <w:t>Elverta 230 kV bus section</w:t>
      </w:r>
    </w:p>
    <w:p w:rsidR="004F3BE0" w:rsidRDefault="004F3BE0" w:rsidP="00281A6F">
      <w:pPr>
        <w:numPr>
          <w:ilvl w:val="0"/>
          <w:numId w:val="35"/>
        </w:numPr>
        <w:rPr>
          <w:rFonts w:ascii="Arial" w:hAnsi="Arial" w:cs="Arial"/>
          <w:sz w:val="24"/>
        </w:rPr>
      </w:pPr>
      <w:r>
        <w:rPr>
          <w:rFonts w:ascii="Arial" w:hAnsi="Arial" w:cs="Arial"/>
          <w:sz w:val="24"/>
        </w:rPr>
        <w:t>Keswick 230 kV bus section</w:t>
      </w:r>
    </w:p>
    <w:p w:rsidR="004F3BE0" w:rsidRDefault="004F3BE0" w:rsidP="00281A6F">
      <w:pPr>
        <w:numPr>
          <w:ilvl w:val="0"/>
          <w:numId w:val="35"/>
        </w:numPr>
        <w:rPr>
          <w:rFonts w:ascii="Arial" w:hAnsi="Arial" w:cs="Arial"/>
          <w:sz w:val="24"/>
        </w:rPr>
      </w:pPr>
      <w:r>
        <w:rPr>
          <w:rFonts w:ascii="Arial" w:hAnsi="Arial" w:cs="Arial"/>
          <w:sz w:val="24"/>
        </w:rPr>
        <w:t>Tracy 230 kV bus section</w:t>
      </w:r>
    </w:p>
    <w:p w:rsidR="003833F6" w:rsidRDefault="00F77E9F" w:rsidP="00281A6F">
      <w:pPr>
        <w:numPr>
          <w:ilvl w:val="0"/>
          <w:numId w:val="35"/>
        </w:numPr>
        <w:rPr>
          <w:rFonts w:ascii="Arial" w:hAnsi="Arial" w:cs="Arial"/>
          <w:sz w:val="24"/>
        </w:rPr>
      </w:pPr>
      <w:r>
        <w:rPr>
          <w:rFonts w:ascii="Arial" w:hAnsi="Arial" w:cs="Arial"/>
          <w:sz w:val="24"/>
        </w:rPr>
        <w:t>Cottonwood – Shasta #1 &amp; #2 230 kV</w:t>
      </w:r>
    </w:p>
    <w:p w:rsidR="00F77E9F" w:rsidRDefault="00F77E9F" w:rsidP="00281A6F">
      <w:pPr>
        <w:numPr>
          <w:ilvl w:val="0"/>
          <w:numId w:val="35"/>
        </w:numPr>
        <w:rPr>
          <w:rFonts w:ascii="Arial" w:hAnsi="Arial" w:cs="Arial"/>
          <w:sz w:val="24"/>
        </w:rPr>
      </w:pPr>
      <w:r>
        <w:rPr>
          <w:rFonts w:ascii="Arial" w:hAnsi="Arial" w:cs="Arial"/>
          <w:sz w:val="24"/>
        </w:rPr>
        <w:t>Elverta - Hurley #1 &amp; #2 230 kV</w:t>
      </w:r>
    </w:p>
    <w:p w:rsidR="00F77E9F" w:rsidRDefault="00F77E9F" w:rsidP="00281A6F">
      <w:pPr>
        <w:numPr>
          <w:ilvl w:val="0"/>
          <w:numId w:val="35"/>
        </w:numPr>
        <w:rPr>
          <w:rFonts w:ascii="Arial" w:hAnsi="Arial" w:cs="Arial"/>
          <w:sz w:val="24"/>
        </w:rPr>
      </w:pPr>
      <w:r>
        <w:rPr>
          <w:rFonts w:ascii="Arial" w:hAnsi="Arial" w:cs="Arial"/>
          <w:sz w:val="24"/>
        </w:rPr>
        <w:t>O’Banion – Elverta #1 &amp; #2 230 kV</w:t>
      </w:r>
    </w:p>
    <w:p w:rsidR="00677E13" w:rsidRPr="00677E13" w:rsidRDefault="00677E13" w:rsidP="00677E13">
      <w:pPr>
        <w:numPr>
          <w:ilvl w:val="0"/>
          <w:numId w:val="35"/>
        </w:numPr>
        <w:rPr>
          <w:rFonts w:ascii="Arial" w:hAnsi="Arial" w:cs="Arial"/>
          <w:sz w:val="24"/>
        </w:rPr>
      </w:pPr>
      <w:r>
        <w:rPr>
          <w:rFonts w:ascii="Arial" w:hAnsi="Arial" w:cs="Arial"/>
          <w:sz w:val="24"/>
        </w:rPr>
        <w:t>O’Banion – Elverta and O’Banion – Keswick 230 kV</w:t>
      </w:r>
    </w:p>
    <w:p w:rsidR="00FC7BCA" w:rsidRPr="00FC7BCA" w:rsidRDefault="00FC7BCA" w:rsidP="00FC7BCA">
      <w:pPr>
        <w:numPr>
          <w:ilvl w:val="0"/>
          <w:numId w:val="35"/>
        </w:numPr>
        <w:rPr>
          <w:rFonts w:ascii="Arial" w:hAnsi="Arial" w:cs="Arial"/>
          <w:sz w:val="24"/>
        </w:rPr>
      </w:pPr>
      <w:r>
        <w:rPr>
          <w:rFonts w:ascii="Arial" w:hAnsi="Arial" w:cs="Arial"/>
          <w:sz w:val="24"/>
        </w:rPr>
        <w:t>O’Banion – Elverta and O’Banion – Natomas 230 kV</w:t>
      </w:r>
    </w:p>
    <w:p w:rsidR="00F77E9F" w:rsidRDefault="00F77E9F" w:rsidP="00281A6F">
      <w:pPr>
        <w:numPr>
          <w:ilvl w:val="0"/>
          <w:numId w:val="35"/>
        </w:numPr>
        <w:rPr>
          <w:rFonts w:ascii="Arial" w:hAnsi="Arial" w:cs="Arial"/>
          <w:sz w:val="24"/>
        </w:rPr>
      </w:pPr>
      <w:r>
        <w:rPr>
          <w:rFonts w:ascii="Arial" w:hAnsi="Arial" w:cs="Arial"/>
          <w:sz w:val="24"/>
        </w:rPr>
        <w:t>Olinda – Cottonwood #1 &amp; #2 230 kV</w:t>
      </w:r>
    </w:p>
    <w:p w:rsidR="0042486F" w:rsidRDefault="0042486F" w:rsidP="00281A6F">
      <w:pPr>
        <w:numPr>
          <w:ilvl w:val="0"/>
          <w:numId w:val="35"/>
        </w:numPr>
        <w:rPr>
          <w:rFonts w:ascii="Arial" w:hAnsi="Arial" w:cs="Arial"/>
          <w:sz w:val="24"/>
        </w:rPr>
      </w:pPr>
      <w:r>
        <w:rPr>
          <w:rFonts w:ascii="Arial" w:hAnsi="Arial" w:cs="Arial"/>
          <w:sz w:val="24"/>
        </w:rPr>
        <w:t>Olinda-Cottonwood 230 kV &amp; Captain Jack-Olinda 500 kV</w:t>
      </w:r>
    </w:p>
    <w:p w:rsidR="00755089" w:rsidRDefault="00755089" w:rsidP="00281A6F">
      <w:pPr>
        <w:numPr>
          <w:ilvl w:val="0"/>
          <w:numId w:val="35"/>
        </w:numPr>
        <w:rPr>
          <w:rFonts w:ascii="Arial" w:hAnsi="Arial" w:cs="Arial"/>
          <w:sz w:val="24"/>
        </w:rPr>
      </w:pPr>
      <w:r>
        <w:rPr>
          <w:rFonts w:ascii="Arial" w:hAnsi="Arial" w:cs="Arial"/>
          <w:sz w:val="24"/>
        </w:rPr>
        <w:t>Olinda-OBanion 230 kV &amp; Olinda-Tracy 500 kV</w:t>
      </w:r>
    </w:p>
    <w:p w:rsidR="00F77E9F" w:rsidRDefault="00F77E9F" w:rsidP="00281A6F">
      <w:pPr>
        <w:numPr>
          <w:ilvl w:val="0"/>
          <w:numId w:val="35"/>
        </w:numPr>
        <w:rPr>
          <w:rFonts w:ascii="Arial" w:hAnsi="Arial" w:cs="Arial"/>
          <w:sz w:val="24"/>
        </w:rPr>
      </w:pPr>
      <w:r>
        <w:rPr>
          <w:rFonts w:ascii="Arial" w:hAnsi="Arial" w:cs="Arial"/>
          <w:sz w:val="24"/>
        </w:rPr>
        <w:t>Rancho Seco – Bellota #1 &amp; #2 230 kV</w:t>
      </w:r>
    </w:p>
    <w:p w:rsidR="00F77E9F" w:rsidRDefault="00F77E9F" w:rsidP="00281A6F">
      <w:pPr>
        <w:numPr>
          <w:ilvl w:val="0"/>
          <w:numId w:val="35"/>
        </w:numPr>
        <w:rPr>
          <w:rFonts w:ascii="Arial" w:hAnsi="Arial" w:cs="Arial"/>
          <w:sz w:val="24"/>
        </w:rPr>
      </w:pPr>
      <w:r>
        <w:rPr>
          <w:rFonts w:ascii="Arial" w:hAnsi="Arial" w:cs="Arial"/>
          <w:sz w:val="24"/>
        </w:rPr>
        <w:t>Roseville – Elverta &amp; Fiddyment – Elverta 230 kV</w:t>
      </w:r>
    </w:p>
    <w:p w:rsidR="00F77E9F" w:rsidRDefault="00F77E9F" w:rsidP="00281A6F">
      <w:pPr>
        <w:numPr>
          <w:ilvl w:val="0"/>
          <w:numId w:val="35"/>
        </w:numPr>
        <w:rPr>
          <w:rFonts w:ascii="Arial" w:hAnsi="Arial" w:cs="Arial"/>
          <w:sz w:val="24"/>
        </w:rPr>
      </w:pPr>
      <w:r>
        <w:rPr>
          <w:rFonts w:ascii="Arial" w:hAnsi="Arial" w:cs="Arial"/>
          <w:sz w:val="24"/>
        </w:rPr>
        <w:t>Roseville – Elverta &amp; Fiddyment – Roseville 230 kV</w:t>
      </w:r>
    </w:p>
    <w:p w:rsidR="00677E13" w:rsidRPr="00677E13" w:rsidRDefault="00677E13" w:rsidP="00677E13">
      <w:pPr>
        <w:numPr>
          <w:ilvl w:val="0"/>
          <w:numId w:val="35"/>
        </w:numPr>
        <w:rPr>
          <w:rFonts w:ascii="Arial" w:hAnsi="Arial" w:cs="Arial"/>
          <w:sz w:val="24"/>
        </w:rPr>
      </w:pPr>
      <w:r>
        <w:rPr>
          <w:rFonts w:ascii="Arial" w:hAnsi="Arial" w:cs="Arial"/>
          <w:sz w:val="24"/>
        </w:rPr>
        <w:t>Sutter-O’Banion – Keswick- O’Banion  230 kV</w:t>
      </w:r>
    </w:p>
    <w:p w:rsidR="00F77E9F" w:rsidRDefault="00F77E9F" w:rsidP="00281A6F">
      <w:pPr>
        <w:numPr>
          <w:ilvl w:val="0"/>
          <w:numId w:val="35"/>
        </w:numPr>
        <w:rPr>
          <w:rFonts w:ascii="Arial" w:hAnsi="Arial" w:cs="Arial"/>
          <w:sz w:val="24"/>
        </w:rPr>
      </w:pPr>
      <w:r>
        <w:rPr>
          <w:rFonts w:ascii="Arial" w:hAnsi="Arial" w:cs="Arial"/>
          <w:sz w:val="24"/>
        </w:rPr>
        <w:t>Tracy – Hurley #1 &amp; #2</w:t>
      </w:r>
    </w:p>
    <w:p w:rsidR="00AF4867" w:rsidRDefault="00AF4867" w:rsidP="00281A6F">
      <w:pPr>
        <w:numPr>
          <w:ilvl w:val="0"/>
          <w:numId w:val="35"/>
        </w:numPr>
        <w:rPr>
          <w:rFonts w:ascii="Arial" w:hAnsi="Arial" w:cs="Arial"/>
          <w:sz w:val="24"/>
        </w:rPr>
      </w:pPr>
      <w:r>
        <w:rPr>
          <w:rFonts w:ascii="Arial" w:hAnsi="Arial" w:cs="Arial"/>
          <w:sz w:val="24"/>
        </w:rPr>
        <w:t>Tracy-Hurley 230 kV &amp; Olinda-Tracy 500 kV</w:t>
      </w:r>
    </w:p>
    <w:p w:rsidR="00F77E9F" w:rsidRDefault="00F77E9F" w:rsidP="00281A6F">
      <w:pPr>
        <w:numPr>
          <w:ilvl w:val="0"/>
          <w:numId w:val="35"/>
        </w:numPr>
        <w:rPr>
          <w:rFonts w:ascii="Arial" w:hAnsi="Arial" w:cs="Arial"/>
          <w:sz w:val="24"/>
        </w:rPr>
      </w:pPr>
      <w:r>
        <w:rPr>
          <w:rFonts w:ascii="Arial" w:hAnsi="Arial" w:cs="Arial"/>
          <w:sz w:val="24"/>
        </w:rPr>
        <w:t>Tracy – Tesla #1 &amp; #2 230 kV</w:t>
      </w:r>
    </w:p>
    <w:p w:rsidR="001173FC" w:rsidRDefault="001173FC" w:rsidP="00281A6F">
      <w:pPr>
        <w:numPr>
          <w:ilvl w:val="0"/>
          <w:numId w:val="35"/>
        </w:numPr>
        <w:rPr>
          <w:rFonts w:ascii="Arial" w:hAnsi="Arial" w:cs="Arial"/>
          <w:sz w:val="24"/>
        </w:rPr>
      </w:pPr>
      <w:r>
        <w:rPr>
          <w:rFonts w:ascii="Arial" w:hAnsi="Arial" w:cs="Arial"/>
          <w:sz w:val="24"/>
        </w:rPr>
        <w:t>Keswick – JF Carr #1 &amp; #2 230 kV</w:t>
      </w:r>
    </w:p>
    <w:p w:rsidR="002C3E4C" w:rsidRDefault="002C3E4C" w:rsidP="00281A6F">
      <w:pPr>
        <w:numPr>
          <w:ilvl w:val="0"/>
          <w:numId w:val="35"/>
        </w:numPr>
        <w:rPr>
          <w:rFonts w:ascii="Arial" w:hAnsi="Arial" w:cs="Arial"/>
          <w:sz w:val="24"/>
        </w:rPr>
      </w:pPr>
      <w:r>
        <w:rPr>
          <w:rFonts w:ascii="Arial" w:hAnsi="Arial" w:cs="Arial"/>
          <w:sz w:val="24"/>
        </w:rPr>
        <w:t>Over-lapping Tracy 500/230 kV transformer &amp; Olinda 500/230 kV transformer</w:t>
      </w:r>
    </w:p>
    <w:p w:rsidR="00F030FC" w:rsidRDefault="00F030FC" w:rsidP="00F030FC">
      <w:pPr>
        <w:rPr>
          <w:rFonts w:ascii="Arial" w:hAnsi="Arial" w:cs="Arial"/>
          <w:b/>
          <w:sz w:val="24"/>
        </w:rPr>
      </w:pPr>
    </w:p>
    <w:p w:rsidR="00F030FC" w:rsidRDefault="00F030FC" w:rsidP="00F030FC">
      <w:pPr>
        <w:rPr>
          <w:rFonts w:ascii="Arial" w:hAnsi="Arial" w:cs="Arial"/>
          <w:b/>
          <w:sz w:val="24"/>
        </w:rPr>
      </w:pPr>
      <w:r>
        <w:rPr>
          <w:rFonts w:ascii="Arial" w:hAnsi="Arial" w:cs="Arial"/>
          <w:b/>
          <w:sz w:val="24"/>
        </w:rPr>
        <w:t>Extreme event resulting in two or more (multiple) elements removed of Cascading out of service – NERC Level D</w:t>
      </w:r>
    </w:p>
    <w:p w:rsidR="00F030FC" w:rsidRPr="00F030FC" w:rsidRDefault="00F030FC" w:rsidP="00281A6F">
      <w:pPr>
        <w:numPr>
          <w:ilvl w:val="0"/>
          <w:numId w:val="36"/>
        </w:numPr>
        <w:rPr>
          <w:rFonts w:ascii="Arial" w:hAnsi="Arial" w:cs="Arial"/>
          <w:sz w:val="24"/>
        </w:rPr>
      </w:pPr>
      <w:r w:rsidRPr="00F030FC">
        <w:rPr>
          <w:rFonts w:ascii="Arial" w:hAnsi="Arial" w:cs="Arial"/>
          <w:sz w:val="24"/>
        </w:rPr>
        <w:t>Sutter Power Plant Units 1, 2, and 3 entire power plant outage</w:t>
      </w:r>
    </w:p>
    <w:p w:rsidR="00F030FC" w:rsidRDefault="00D36051" w:rsidP="00281A6F">
      <w:pPr>
        <w:numPr>
          <w:ilvl w:val="0"/>
          <w:numId w:val="36"/>
        </w:numPr>
        <w:rPr>
          <w:rFonts w:ascii="Arial" w:hAnsi="Arial" w:cs="Arial"/>
          <w:sz w:val="24"/>
        </w:rPr>
      </w:pPr>
      <w:r w:rsidRPr="00D36051">
        <w:rPr>
          <w:rFonts w:ascii="Arial" w:hAnsi="Arial" w:cs="Arial"/>
          <w:sz w:val="24"/>
        </w:rPr>
        <w:t xml:space="preserve">Shasta </w:t>
      </w:r>
      <w:r>
        <w:rPr>
          <w:rFonts w:ascii="Arial" w:hAnsi="Arial" w:cs="Arial"/>
          <w:sz w:val="24"/>
        </w:rPr>
        <w:t>–</w:t>
      </w:r>
      <w:r w:rsidRPr="00D36051">
        <w:rPr>
          <w:rFonts w:ascii="Arial" w:hAnsi="Arial" w:cs="Arial"/>
          <w:sz w:val="24"/>
        </w:rPr>
        <w:t xml:space="preserve"> Cottonwood</w:t>
      </w:r>
      <w:r>
        <w:rPr>
          <w:rFonts w:ascii="Arial" w:hAnsi="Arial" w:cs="Arial"/>
          <w:sz w:val="24"/>
        </w:rPr>
        <w:t xml:space="preserve"> #1 &amp; #2 and Shasta – Flanagan and Flanagan – Keswick 230 kV</w:t>
      </w:r>
    </w:p>
    <w:p w:rsidR="00D36051" w:rsidRDefault="00D36051" w:rsidP="00281A6F">
      <w:pPr>
        <w:numPr>
          <w:ilvl w:val="0"/>
          <w:numId w:val="36"/>
        </w:numPr>
        <w:rPr>
          <w:rFonts w:ascii="Arial" w:hAnsi="Arial" w:cs="Arial"/>
          <w:sz w:val="24"/>
        </w:rPr>
      </w:pPr>
      <w:r>
        <w:rPr>
          <w:rFonts w:ascii="Arial" w:hAnsi="Arial" w:cs="Arial"/>
          <w:sz w:val="24"/>
        </w:rPr>
        <w:t>Keswick – Airport and Flanagan – Keswick and Keswick – Olinda and Keswick – O’Banion</w:t>
      </w:r>
    </w:p>
    <w:p w:rsidR="00D36051" w:rsidRDefault="004236D5" w:rsidP="00281A6F">
      <w:pPr>
        <w:numPr>
          <w:ilvl w:val="0"/>
          <w:numId w:val="36"/>
        </w:numPr>
        <w:rPr>
          <w:rFonts w:ascii="Arial" w:hAnsi="Arial" w:cs="Arial"/>
          <w:sz w:val="24"/>
        </w:rPr>
      </w:pPr>
      <w:r>
        <w:rPr>
          <w:rFonts w:ascii="Arial" w:hAnsi="Arial" w:cs="Arial"/>
          <w:sz w:val="24"/>
        </w:rPr>
        <w:t>Keswick – Olinda and Keswick – O’Banion and Shasta – Cottonwood #1 &amp; #2</w:t>
      </w:r>
    </w:p>
    <w:p w:rsidR="00281A6F" w:rsidRDefault="00281A6F" w:rsidP="00281A6F">
      <w:pPr>
        <w:numPr>
          <w:ilvl w:val="0"/>
          <w:numId w:val="36"/>
        </w:numPr>
        <w:rPr>
          <w:rFonts w:ascii="Arial" w:hAnsi="Arial" w:cs="Arial"/>
          <w:sz w:val="24"/>
        </w:rPr>
      </w:pPr>
      <w:r>
        <w:rPr>
          <w:rFonts w:ascii="Arial" w:hAnsi="Arial" w:cs="Arial"/>
          <w:sz w:val="24"/>
        </w:rPr>
        <w:t>Cottonwood – Olinda #1 &amp; #2 and Shasta – Cottonwood #1 &amp; #2 230 kV and Captain Jack – Olinda 500 kV</w:t>
      </w:r>
    </w:p>
    <w:p w:rsidR="00B039B4" w:rsidRDefault="00B039B4" w:rsidP="00281A6F">
      <w:pPr>
        <w:numPr>
          <w:ilvl w:val="0"/>
          <w:numId w:val="36"/>
        </w:numPr>
        <w:rPr>
          <w:rFonts w:ascii="Arial" w:hAnsi="Arial" w:cs="Arial"/>
          <w:sz w:val="24"/>
        </w:rPr>
      </w:pPr>
      <w:r>
        <w:rPr>
          <w:rFonts w:ascii="Arial" w:hAnsi="Arial" w:cs="Arial"/>
          <w:sz w:val="24"/>
        </w:rPr>
        <w:t>Cottonwood – Olinda #1 &amp; #2 and Keswick – O’Banion 230 kV and Captain Jack – Olinda 500 kV</w:t>
      </w:r>
    </w:p>
    <w:p w:rsidR="00B039B4" w:rsidRDefault="00B039B4" w:rsidP="00281A6F">
      <w:pPr>
        <w:numPr>
          <w:ilvl w:val="0"/>
          <w:numId w:val="36"/>
        </w:numPr>
        <w:rPr>
          <w:rFonts w:ascii="Arial" w:hAnsi="Arial" w:cs="Arial"/>
          <w:sz w:val="24"/>
        </w:rPr>
      </w:pPr>
      <w:r>
        <w:rPr>
          <w:rFonts w:ascii="Arial" w:hAnsi="Arial" w:cs="Arial"/>
          <w:sz w:val="24"/>
        </w:rPr>
        <w:t>Cottonwood – Olinda #1 &amp; #2 and Keswick – O’</w:t>
      </w:r>
      <w:r w:rsidR="0087555D">
        <w:rPr>
          <w:rFonts w:ascii="Arial" w:hAnsi="Arial" w:cs="Arial"/>
          <w:sz w:val="24"/>
        </w:rPr>
        <w:t>Banion 230 kV and O</w:t>
      </w:r>
      <w:r>
        <w:rPr>
          <w:rFonts w:ascii="Arial" w:hAnsi="Arial" w:cs="Arial"/>
          <w:sz w:val="24"/>
        </w:rPr>
        <w:t>linda – Tracy 500 kV</w:t>
      </w:r>
    </w:p>
    <w:p w:rsidR="00B039B4" w:rsidRDefault="00B039B4" w:rsidP="00281A6F">
      <w:pPr>
        <w:numPr>
          <w:ilvl w:val="0"/>
          <w:numId w:val="36"/>
        </w:numPr>
        <w:rPr>
          <w:rFonts w:ascii="Arial" w:hAnsi="Arial" w:cs="Arial"/>
          <w:sz w:val="24"/>
        </w:rPr>
      </w:pPr>
      <w:r>
        <w:rPr>
          <w:rFonts w:ascii="Arial" w:hAnsi="Arial" w:cs="Arial"/>
          <w:sz w:val="24"/>
        </w:rPr>
        <w:t>O’Banion – Elverta #1 &amp; #2 and Cottonwood – Roseville 230 kV</w:t>
      </w:r>
    </w:p>
    <w:p w:rsidR="00B039B4" w:rsidRDefault="00B039B4" w:rsidP="00281A6F">
      <w:pPr>
        <w:numPr>
          <w:ilvl w:val="0"/>
          <w:numId w:val="36"/>
        </w:numPr>
        <w:rPr>
          <w:rFonts w:ascii="Arial" w:hAnsi="Arial" w:cs="Arial"/>
          <w:sz w:val="24"/>
        </w:rPr>
      </w:pPr>
      <w:r>
        <w:rPr>
          <w:rFonts w:ascii="Arial" w:hAnsi="Arial" w:cs="Arial"/>
          <w:sz w:val="24"/>
        </w:rPr>
        <w:t>Cottonwood – Roseville and Roseville – Elverta and Fiddyment – Elverta 230 kV</w:t>
      </w:r>
    </w:p>
    <w:p w:rsidR="00AB647B" w:rsidRDefault="00AB647B" w:rsidP="00281A6F">
      <w:pPr>
        <w:numPr>
          <w:ilvl w:val="0"/>
          <w:numId w:val="36"/>
        </w:numPr>
        <w:rPr>
          <w:rFonts w:ascii="Arial" w:hAnsi="Arial" w:cs="Arial"/>
          <w:sz w:val="24"/>
        </w:rPr>
      </w:pPr>
      <w:r>
        <w:rPr>
          <w:rFonts w:ascii="Arial" w:hAnsi="Arial" w:cs="Arial"/>
          <w:sz w:val="24"/>
        </w:rPr>
        <w:t>O’Banion – Elverta #1 &amp; #2 and Roseville – Elverta and Fiddyment – Elverta 230 kV</w:t>
      </w:r>
    </w:p>
    <w:p w:rsidR="00921190" w:rsidRDefault="0081453A" w:rsidP="00281A6F">
      <w:pPr>
        <w:numPr>
          <w:ilvl w:val="0"/>
          <w:numId w:val="36"/>
        </w:numPr>
        <w:rPr>
          <w:rFonts w:ascii="Arial" w:hAnsi="Arial" w:cs="Arial"/>
          <w:sz w:val="24"/>
        </w:rPr>
        <w:sectPr w:rsidR="00921190" w:rsidSect="00F1517C">
          <w:pgSz w:w="12240" w:h="15840"/>
          <w:pgMar w:top="432" w:right="432" w:bottom="432" w:left="432" w:header="720" w:footer="720" w:gutter="0"/>
          <w:cols w:space="720"/>
          <w:docGrid w:linePitch="272"/>
        </w:sectPr>
      </w:pPr>
      <w:r>
        <w:rPr>
          <w:rFonts w:ascii="Arial" w:hAnsi="Arial" w:cs="Arial"/>
          <w:sz w:val="24"/>
        </w:rPr>
        <w:t>Tracy – Hurley #1 &amp; #2 230 kV and Olinda – Tracy 500 kV</w:t>
      </w:r>
    </w:p>
    <w:p w:rsidR="00EE3390" w:rsidRPr="002305B4" w:rsidRDefault="002305B4" w:rsidP="00773ABC">
      <w:pPr>
        <w:pStyle w:val="Heading2"/>
        <w:jc w:val="both"/>
        <w:rPr>
          <w:rFonts w:ascii="Arial" w:hAnsi="Arial" w:cs="Arial"/>
          <w:sz w:val="28"/>
          <w:szCs w:val="28"/>
        </w:rPr>
      </w:pPr>
      <w:bookmarkStart w:id="50" w:name="_Toc244589884"/>
      <w:r>
        <w:rPr>
          <w:rFonts w:ascii="Arial" w:hAnsi="Arial" w:cs="Arial"/>
          <w:sz w:val="28"/>
          <w:szCs w:val="28"/>
        </w:rPr>
        <w:lastRenderedPageBreak/>
        <w:t>Attachments 3, 4, 5, and 6 are separate documents</w:t>
      </w:r>
      <w:r w:rsidR="00D83A7D">
        <w:rPr>
          <w:rFonts w:ascii="Arial" w:hAnsi="Arial" w:cs="Arial"/>
          <w:sz w:val="28"/>
          <w:szCs w:val="28"/>
        </w:rPr>
        <w:t xml:space="preserve"> containing power flow, post-transient and dynamic stability plots.  The plots included represent the overall study results.  Plots for contingencies not included in the attachments are available upon request.</w:t>
      </w:r>
      <w:bookmarkEnd w:id="50"/>
    </w:p>
    <w:sectPr w:rsidR="00EE3390" w:rsidRPr="002305B4" w:rsidSect="002305B4">
      <w:pgSz w:w="12240" w:h="15840"/>
      <w:pgMar w:top="432" w:right="432" w:bottom="432" w:left="432"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8A8" w:rsidRDefault="006C38A8">
      <w:r>
        <w:separator/>
      </w:r>
    </w:p>
  </w:endnote>
  <w:endnote w:type="continuationSeparator" w:id="0">
    <w:p w:rsidR="006C38A8" w:rsidRDefault="006C38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EDB" w:rsidRDefault="009D2EDB">
    <w:pPr>
      <w:pStyle w:val="Footer"/>
      <w:framePr w:w="511" w:wrap="auto" w:vAnchor="text" w:hAnchor="margin" w:xAlign="center" w:yAlign="top"/>
      <w:rPr>
        <w:rStyle w:val="PageNumber"/>
        <w:rFonts w:ascii="Arial" w:hAnsi="Arial" w:cs="Arial"/>
      </w:rPr>
    </w:pPr>
    <w:r>
      <w:rPr>
        <w:rStyle w:val="PageNumber"/>
        <w:rFonts w:ascii="Arial" w:hAnsi="Arial" w:cs="Arial"/>
      </w:rPr>
      <w:t>A-</w:t>
    </w:r>
    <w:r w:rsidR="00F66BCC">
      <w:rPr>
        <w:rStyle w:val="PageNumber"/>
        <w:rFonts w:ascii="Arial" w:hAnsi="Arial" w:cs="Arial"/>
      </w:rPr>
      <w:fldChar w:fldCharType="begin"/>
    </w:r>
    <w:r>
      <w:rPr>
        <w:rStyle w:val="PageNumber"/>
        <w:rFonts w:ascii="Arial" w:hAnsi="Arial" w:cs="Arial"/>
      </w:rPr>
      <w:instrText xml:space="preserve">PAGE  </w:instrText>
    </w:r>
    <w:r w:rsidR="00F66BCC">
      <w:rPr>
        <w:rStyle w:val="PageNumber"/>
        <w:rFonts w:ascii="Arial" w:hAnsi="Arial" w:cs="Arial"/>
      </w:rPr>
      <w:fldChar w:fldCharType="separate"/>
    </w:r>
    <w:r w:rsidR="001A024E">
      <w:rPr>
        <w:rStyle w:val="PageNumber"/>
        <w:rFonts w:ascii="Arial" w:hAnsi="Arial" w:cs="Arial"/>
        <w:noProof/>
      </w:rPr>
      <w:t>1</w:t>
    </w:r>
    <w:r w:rsidR="00F66BCC">
      <w:rPr>
        <w:rStyle w:val="PageNumber"/>
        <w:rFonts w:ascii="Arial" w:hAnsi="Arial" w:cs="Arial"/>
      </w:rPr>
      <w:fldChar w:fldCharType="end"/>
    </w:r>
  </w:p>
  <w:p w:rsidR="009D2EDB" w:rsidRDefault="009D2EDB">
    <w:pPr>
      <w:pStyle w:val="Footer"/>
      <w:widowControl/>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EDB" w:rsidRDefault="00F66BCC">
    <w:pPr>
      <w:pStyle w:val="Footer"/>
      <w:jc w:val="center"/>
    </w:pPr>
    <w:fldSimple w:instr=" PAGE   \* MERGEFORMAT ">
      <w:r w:rsidR="001A024E">
        <w:rPr>
          <w:noProof/>
        </w:rPr>
        <w:t>4</w:t>
      </w:r>
    </w:fldSimple>
  </w:p>
  <w:p w:rsidR="009D2EDB" w:rsidRDefault="009D2E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EDB" w:rsidRDefault="00F66BCC">
    <w:pPr>
      <w:pStyle w:val="Footer"/>
      <w:framePr w:wrap="around" w:vAnchor="text" w:hAnchor="margin" w:xAlign="center" w:y="1"/>
      <w:rPr>
        <w:rStyle w:val="PageNumber"/>
      </w:rPr>
    </w:pPr>
    <w:r>
      <w:rPr>
        <w:rStyle w:val="PageNumber"/>
      </w:rPr>
      <w:fldChar w:fldCharType="begin"/>
    </w:r>
    <w:r w:rsidR="009D2EDB">
      <w:rPr>
        <w:rStyle w:val="PageNumber"/>
      </w:rPr>
      <w:instrText xml:space="preserve">PAGE  </w:instrText>
    </w:r>
    <w:r>
      <w:rPr>
        <w:rStyle w:val="PageNumber"/>
      </w:rPr>
      <w:fldChar w:fldCharType="end"/>
    </w:r>
  </w:p>
  <w:p w:rsidR="009D2EDB" w:rsidRDefault="009D2ED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EDB" w:rsidRDefault="00F66BCC">
    <w:pPr>
      <w:pStyle w:val="Footer"/>
      <w:framePr w:wrap="around" w:vAnchor="text" w:hAnchor="margin" w:xAlign="center" w:y="1"/>
      <w:rPr>
        <w:rStyle w:val="PageNumber"/>
        <w:rFonts w:ascii="Arial" w:hAnsi="Arial" w:cs="Arial"/>
      </w:rPr>
    </w:pPr>
    <w:r>
      <w:rPr>
        <w:rStyle w:val="PageNumber"/>
        <w:rFonts w:ascii="Arial" w:hAnsi="Arial" w:cs="Arial"/>
      </w:rPr>
      <w:fldChar w:fldCharType="begin"/>
    </w:r>
    <w:r w:rsidR="009D2EDB">
      <w:rPr>
        <w:rStyle w:val="PageNumber"/>
        <w:rFonts w:ascii="Arial" w:hAnsi="Arial" w:cs="Arial"/>
      </w:rPr>
      <w:instrText xml:space="preserve">PAGE  </w:instrText>
    </w:r>
    <w:r>
      <w:rPr>
        <w:rStyle w:val="PageNumber"/>
        <w:rFonts w:ascii="Arial" w:hAnsi="Arial" w:cs="Arial"/>
      </w:rPr>
      <w:fldChar w:fldCharType="separate"/>
    </w:r>
    <w:r w:rsidR="001A024E">
      <w:rPr>
        <w:rStyle w:val="PageNumber"/>
        <w:rFonts w:ascii="Arial" w:hAnsi="Arial" w:cs="Arial"/>
        <w:noProof/>
      </w:rPr>
      <w:t>3</w:t>
    </w:r>
    <w:r>
      <w:rPr>
        <w:rStyle w:val="PageNumber"/>
        <w:rFonts w:ascii="Arial" w:hAnsi="Arial" w:cs="Arial"/>
      </w:rPr>
      <w:fldChar w:fldCharType="end"/>
    </w:r>
  </w:p>
  <w:p w:rsidR="009D2EDB" w:rsidRDefault="009D2EDB">
    <w:pPr>
      <w:pStyle w:val="Footer"/>
      <w:widowControl/>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EDB" w:rsidRDefault="00F66BCC">
    <w:pPr>
      <w:pStyle w:val="Footer"/>
      <w:framePr w:w="511" w:wrap="auto" w:vAnchor="text" w:hAnchor="margin" w:xAlign="center" w:yAlign="top"/>
      <w:rPr>
        <w:rStyle w:val="PageNumber"/>
        <w:rFonts w:ascii="Arial" w:hAnsi="Arial" w:cs="Arial"/>
      </w:rPr>
    </w:pPr>
    <w:r>
      <w:rPr>
        <w:rStyle w:val="PageNumber"/>
        <w:rFonts w:ascii="Arial" w:hAnsi="Arial" w:cs="Arial"/>
      </w:rPr>
      <w:fldChar w:fldCharType="begin"/>
    </w:r>
    <w:r w:rsidR="009D2EDB">
      <w:rPr>
        <w:rStyle w:val="PageNumber"/>
        <w:rFonts w:ascii="Arial" w:hAnsi="Arial" w:cs="Arial"/>
      </w:rPr>
      <w:instrText xml:space="preserve">PAGE  </w:instrText>
    </w:r>
    <w:r>
      <w:rPr>
        <w:rStyle w:val="PageNumber"/>
        <w:rFonts w:ascii="Arial" w:hAnsi="Arial" w:cs="Arial"/>
      </w:rPr>
      <w:fldChar w:fldCharType="separate"/>
    </w:r>
    <w:r w:rsidR="001A024E">
      <w:rPr>
        <w:rStyle w:val="PageNumber"/>
        <w:rFonts w:ascii="Arial" w:hAnsi="Arial" w:cs="Arial"/>
        <w:noProof/>
      </w:rPr>
      <w:t>24</w:t>
    </w:r>
    <w:r>
      <w:rPr>
        <w:rStyle w:val="PageNumber"/>
        <w:rFonts w:ascii="Arial" w:hAnsi="Arial" w:cs="Arial"/>
      </w:rPr>
      <w:fldChar w:fldCharType="end"/>
    </w:r>
  </w:p>
  <w:p w:rsidR="009D2EDB" w:rsidRDefault="009D2EDB">
    <w:pPr>
      <w:pStyle w:val="Footer"/>
      <w:widowControl/>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8A8" w:rsidRDefault="006C38A8">
      <w:r>
        <w:separator/>
      </w:r>
    </w:p>
  </w:footnote>
  <w:footnote w:type="continuationSeparator" w:id="0">
    <w:p w:rsidR="006C38A8" w:rsidRDefault="006C38A8">
      <w:r>
        <w:continuationSeparator/>
      </w:r>
    </w:p>
  </w:footnote>
  <w:footnote w:id="1">
    <w:p w:rsidR="009D2EDB" w:rsidRDefault="009D2EDB">
      <w:pPr>
        <w:pStyle w:val="FootnoteText"/>
      </w:pPr>
      <w:r>
        <w:rPr>
          <w:rStyle w:val="FootnoteReference"/>
        </w:rPr>
        <w:footnoteRef/>
      </w:r>
      <w:r>
        <w:t xml:space="preserve"> Study results seen in this 2008 Assessment are reflective of the improvement in reliabilityfrom implementing WASN transmission projects such as the Sacramento Voltage Support and Folsom Loop Projects.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EDB" w:rsidRDefault="00F66BCC" w:rsidP="00F544AD">
    <w:pPr>
      <w:pStyle w:val="Header"/>
      <w:rPr>
        <w:rFonts w:ascii="Arial" w:hAnsi="Arial" w:cs="Arial"/>
      </w:rPr>
    </w:pPr>
    <w:r>
      <w:rPr>
        <w:rFonts w:ascii="Arial" w:hAnsi="Arial" w:cs="Arial"/>
        <w:noProof/>
      </w:rPr>
      <w:pict>
        <v:line id="_x0000_s2062" style="position:absolute;z-index:2" from="-1.5pt,14.25pt" to="469.55pt,14.3pt" o:allowincell="f" strokeweight="2pt"/>
      </w:pict>
    </w:r>
    <w:r>
      <w:rPr>
        <w:rFonts w:ascii="Arial" w:hAnsi="Arial" w:cs="Arial"/>
        <w:noProof/>
      </w:rPr>
      <w:pict>
        <v:line id="_x0000_s2063" style="position:absolute;z-index:3" from="-1.5pt,14.25pt" to="469.55pt,14.3pt" o:allowincell="f" strokeweight="2pt"/>
      </w:pict>
    </w:r>
    <w:r w:rsidR="009D2EDB">
      <w:rPr>
        <w:rFonts w:ascii="Arial" w:hAnsi="Arial" w:cs="Arial"/>
      </w:rPr>
      <w:t xml:space="preserve">2009 WAPA - SNR Transmission Grid Assessment Report </w:t>
    </w:r>
  </w:p>
  <w:p w:rsidR="009D2EDB" w:rsidRDefault="009D2EDB">
    <w:pPr>
      <w:pStyle w:val="Header"/>
      <w:rPr>
        <w:rFonts w:ascii="Arial" w:hAnsi="Arial" w:cs="Arial"/>
      </w:rPr>
    </w:pPr>
    <w:r>
      <w:rPr>
        <w:rFonts w:ascii="Arial" w:hAnsi="Arial" w:cs="Arial"/>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EDB" w:rsidRDefault="00F66BCC">
    <w:pPr>
      <w:pStyle w:val="Header"/>
      <w:rPr>
        <w:rFonts w:ascii="Arial" w:hAnsi="Arial" w:cs="Arial"/>
      </w:rPr>
    </w:pPr>
    <w:r>
      <w:rPr>
        <w:rFonts w:ascii="Arial" w:hAnsi="Arial" w:cs="Arial"/>
        <w:noProof/>
      </w:rPr>
      <w:pict>
        <v:line id="_x0000_s2061" style="position:absolute;z-index:1" from="-1.5pt,14.25pt" to="469.55pt,14.3pt" o:allowincell="f" strokeweight="2pt"/>
      </w:pict>
    </w:r>
    <w:r w:rsidR="009D2EDB">
      <w:rPr>
        <w:rFonts w:ascii="Arial" w:hAnsi="Arial" w:cs="Arial"/>
      </w:rPr>
      <w:t xml:space="preserve">2009 WAPA - SNR Transmission Grid Assessment Report </w:t>
    </w:r>
  </w:p>
  <w:p w:rsidR="009D2EDB" w:rsidRDefault="009D2E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mso8"/>
      </v:shape>
    </w:pict>
  </w:numPicBullet>
  <w:abstractNum w:abstractNumId="0">
    <w:nsid w:val="FFFFFFFE"/>
    <w:multiLevelType w:val="singleLevel"/>
    <w:tmpl w:val="3EA49CE6"/>
    <w:lvl w:ilvl="0">
      <w:numFmt w:val="bullet"/>
      <w:lvlText w:val="*"/>
      <w:lvlJc w:val="left"/>
    </w:lvl>
  </w:abstractNum>
  <w:abstractNum w:abstractNumId="1">
    <w:nsid w:val="03283DBA"/>
    <w:multiLevelType w:val="multilevel"/>
    <w:tmpl w:val="9294A08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072E13EF"/>
    <w:multiLevelType w:val="hybridMultilevel"/>
    <w:tmpl w:val="BBB486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862378B"/>
    <w:multiLevelType w:val="hybridMultilevel"/>
    <w:tmpl w:val="FB5A3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8E14282"/>
    <w:multiLevelType w:val="hybridMultilevel"/>
    <w:tmpl w:val="8666741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B5C0A36"/>
    <w:multiLevelType w:val="hybridMultilevel"/>
    <w:tmpl w:val="DE0880B0"/>
    <w:lvl w:ilvl="0" w:tplc="8EA6E372">
      <w:start w:val="1"/>
      <w:numFmt w:val="bullet"/>
      <w:lvlText w:val="•"/>
      <w:lvlJc w:val="left"/>
      <w:pPr>
        <w:tabs>
          <w:tab w:val="num" w:pos="1080"/>
        </w:tabs>
        <w:ind w:left="1080" w:hanging="360"/>
      </w:pPr>
      <w:rPr>
        <w:rFonts w:ascii="Tahoma" w:hAnsi="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BF67D36"/>
    <w:multiLevelType w:val="hybridMultilevel"/>
    <w:tmpl w:val="835CF57C"/>
    <w:lvl w:ilvl="0" w:tplc="FD2C395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0DA77EF8"/>
    <w:multiLevelType w:val="hybridMultilevel"/>
    <w:tmpl w:val="CADE45F4"/>
    <w:lvl w:ilvl="0" w:tplc="501EDE90">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F87D09"/>
    <w:multiLevelType w:val="hybridMultilevel"/>
    <w:tmpl w:val="50DA211E"/>
    <w:lvl w:ilvl="0" w:tplc="FCB413A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E4136F"/>
    <w:multiLevelType w:val="multilevel"/>
    <w:tmpl w:val="F94C90E4"/>
    <w:lvl w:ilvl="0">
      <w:start w:val="1"/>
      <w:numFmt w:val="decimal"/>
      <w:lvlText w:val="%1."/>
      <w:lvlJc w:val="left"/>
      <w:pPr>
        <w:tabs>
          <w:tab w:val="num" w:pos="1080"/>
        </w:tabs>
        <w:ind w:left="1080"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41B74B3"/>
    <w:multiLevelType w:val="hybridMultilevel"/>
    <w:tmpl w:val="9EFE24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E50144"/>
    <w:multiLevelType w:val="hybridMultilevel"/>
    <w:tmpl w:val="9294A08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ECF16F1"/>
    <w:multiLevelType w:val="hybridMultilevel"/>
    <w:tmpl w:val="A9FE1070"/>
    <w:lvl w:ilvl="0" w:tplc="04090001">
      <w:start w:val="1"/>
      <w:numFmt w:val="bullet"/>
      <w:lvlText w:val=""/>
      <w:lvlJc w:val="left"/>
      <w:pPr>
        <w:tabs>
          <w:tab w:val="num" w:pos="1890"/>
        </w:tabs>
        <w:ind w:left="1890" w:hanging="360"/>
      </w:pPr>
      <w:rPr>
        <w:rFonts w:ascii="Symbol" w:hAnsi="Symbol" w:hint="default"/>
      </w:rPr>
    </w:lvl>
    <w:lvl w:ilvl="1" w:tplc="04090003" w:tentative="1">
      <w:start w:val="1"/>
      <w:numFmt w:val="bullet"/>
      <w:lvlText w:val="o"/>
      <w:lvlJc w:val="left"/>
      <w:pPr>
        <w:tabs>
          <w:tab w:val="num" w:pos="2610"/>
        </w:tabs>
        <w:ind w:left="2610" w:hanging="360"/>
      </w:pPr>
      <w:rPr>
        <w:rFonts w:ascii="Courier New" w:hAnsi="Courier New" w:cs="Symbol"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Symbol"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Symbol"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13">
    <w:nsid w:val="23B10074"/>
    <w:multiLevelType w:val="hybridMultilevel"/>
    <w:tmpl w:val="6254952C"/>
    <w:lvl w:ilvl="0" w:tplc="D902E262">
      <w:start w:val="1"/>
      <w:numFmt w:val="bullet"/>
      <w:lvlText w:val=""/>
      <w:lvlJc w:val="left"/>
      <w:pPr>
        <w:tabs>
          <w:tab w:val="num" w:pos="1080"/>
        </w:tabs>
        <w:ind w:left="1080" w:hanging="360"/>
      </w:pPr>
      <w:rPr>
        <w:rFonts w:ascii="Symbol" w:hAnsi="Symbol" w:hint="default"/>
      </w:rPr>
    </w:lvl>
    <w:lvl w:ilvl="1" w:tplc="8E3E5A1C" w:tentative="1">
      <w:start w:val="1"/>
      <w:numFmt w:val="lowerLetter"/>
      <w:lvlText w:val="%2."/>
      <w:lvlJc w:val="left"/>
      <w:pPr>
        <w:tabs>
          <w:tab w:val="num" w:pos="1800"/>
        </w:tabs>
        <w:ind w:left="1800" w:hanging="360"/>
      </w:pPr>
    </w:lvl>
    <w:lvl w:ilvl="2" w:tplc="58729558" w:tentative="1">
      <w:start w:val="1"/>
      <w:numFmt w:val="lowerRoman"/>
      <w:lvlText w:val="%3."/>
      <w:lvlJc w:val="right"/>
      <w:pPr>
        <w:tabs>
          <w:tab w:val="num" w:pos="2520"/>
        </w:tabs>
        <w:ind w:left="2520" w:hanging="180"/>
      </w:pPr>
    </w:lvl>
    <w:lvl w:ilvl="3" w:tplc="CE205954" w:tentative="1">
      <w:start w:val="1"/>
      <w:numFmt w:val="decimal"/>
      <w:lvlText w:val="%4."/>
      <w:lvlJc w:val="left"/>
      <w:pPr>
        <w:tabs>
          <w:tab w:val="num" w:pos="3240"/>
        </w:tabs>
        <w:ind w:left="3240" w:hanging="360"/>
      </w:pPr>
    </w:lvl>
    <w:lvl w:ilvl="4" w:tplc="7974BB50" w:tentative="1">
      <w:start w:val="1"/>
      <w:numFmt w:val="lowerLetter"/>
      <w:lvlText w:val="%5."/>
      <w:lvlJc w:val="left"/>
      <w:pPr>
        <w:tabs>
          <w:tab w:val="num" w:pos="3960"/>
        </w:tabs>
        <w:ind w:left="3960" w:hanging="360"/>
      </w:pPr>
    </w:lvl>
    <w:lvl w:ilvl="5" w:tplc="88A833AE" w:tentative="1">
      <w:start w:val="1"/>
      <w:numFmt w:val="lowerRoman"/>
      <w:lvlText w:val="%6."/>
      <w:lvlJc w:val="right"/>
      <w:pPr>
        <w:tabs>
          <w:tab w:val="num" w:pos="4680"/>
        </w:tabs>
        <w:ind w:left="4680" w:hanging="180"/>
      </w:pPr>
    </w:lvl>
    <w:lvl w:ilvl="6" w:tplc="0DF27C6E" w:tentative="1">
      <w:start w:val="1"/>
      <w:numFmt w:val="decimal"/>
      <w:lvlText w:val="%7."/>
      <w:lvlJc w:val="left"/>
      <w:pPr>
        <w:tabs>
          <w:tab w:val="num" w:pos="5400"/>
        </w:tabs>
        <w:ind w:left="5400" w:hanging="360"/>
      </w:pPr>
    </w:lvl>
    <w:lvl w:ilvl="7" w:tplc="1AD4C158" w:tentative="1">
      <w:start w:val="1"/>
      <w:numFmt w:val="lowerLetter"/>
      <w:lvlText w:val="%8."/>
      <w:lvlJc w:val="left"/>
      <w:pPr>
        <w:tabs>
          <w:tab w:val="num" w:pos="6120"/>
        </w:tabs>
        <w:ind w:left="6120" w:hanging="360"/>
      </w:pPr>
    </w:lvl>
    <w:lvl w:ilvl="8" w:tplc="FFB43A56" w:tentative="1">
      <w:start w:val="1"/>
      <w:numFmt w:val="lowerRoman"/>
      <w:lvlText w:val="%9."/>
      <w:lvlJc w:val="right"/>
      <w:pPr>
        <w:tabs>
          <w:tab w:val="num" w:pos="6840"/>
        </w:tabs>
        <w:ind w:left="6840" w:hanging="180"/>
      </w:pPr>
    </w:lvl>
  </w:abstractNum>
  <w:abstractNum w:abstractNumId="14">
    <w:nsid w:val="272F7FD2"/>
    <w:multiLevelType w:val="hybridMultilevel"/>
    <w:tmpl w:val="5A6AF372"/>
    <w:lvl w:ilvl="0" w:tplc="678CF02C">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7523D4E"/>
    <w:multiLevelType w:val="hybridMultilevel"/>
    <w:tmpl w:val="A086BCE4"/>
    <w:lvl w:ilvl="0" w:tplc="7AB86BB8">
      <w:start w:val="5"/>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EB62AC1"/>
    <w:multiLevelType w:val="hybridMultilevel"/>
    <w:tmpl w:val="D2F0E23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38BD6F37"/>
    <w:multiLevelType w:val="hybridMultilevel"/>
    <w:tmpl w:val="D80E3C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A3E1076"/>
    <w:multiLevelType w:val="hybridMultilevel"/>
    <w:tmpl w:val="48DE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E75BF3"/>
    <w:multiLevelType w:val="hybridMultilevel"/>
    <w:tmpl w:val="9C4C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5A0ABC"/>
    <w:multiLevelType w:val="multilevel"/>
    <w:tmpl w:val="5A6AF372"/>
    <w:lvl w:ilvl="0">
      <w:start w:val="5"/>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493D5D24"/>
    <w:multiLevelType w:val="hybridMultilevel"/>
    <w:tmpl w:val="F8BCE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1D01F5"/>
    <w:multiLevelType w:val="hybridMultilevel"/>
    <w:tmpl w:val="8DF2D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B902420"/>
    <w:multiLevelType w:val="multilevel"/>
    <w:tmpl w:val="6FAA5F9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4EFF5222"/>
    <w:multiLevelType w:val="hybridMultilevel"/>
    <w:tmpl w:val="5930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5B639B"/>
    <w:multiLevelType w:val="multilevel"/>
    <w:tmpl w:val="45507C6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55670DDD"/>
    <w:multiLevelType w:val="hybridMultilevel"/>
    <w:tmpl w:val="0E9012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5EF01F9"/>
    <w:multiLevelType w:val="hybridMultilevel"/>
    <w:tmpl w:val="9AA433E4"/>
    <w:lvl w:ilvl="0" w:tplc="A626A564">
      <w:start w:val="1"/>
      <w:numFmt w:val="bullet"/>
      <w:lvlText w:val=""/>
      <w:lvlJc w:val="left"/>
      <w:pPr>
        <w:tabs>
          <w:tab w:val="num" w:pos="720"/>
        </w:tabs>
        <w:ind w:left="720" w:hanging="360"/>
      </w:pPr>
      <w:rPr>
        <w:rFonts w:ascii="Symbol" w:hAnsi="Symbol" w:hint="default"/>
      </w:rPr>
    </w:lvl>
    <w:lvl w:ilvl="1" w:tplc="A1A0EC30" w:tentative="1">
      <w:start w:val="1"/>
      <w:numFmt w:val="bullet"/>
      <w:lvlText w:val="o"/>
      <w:lvlJc w:val="left"/>
      <w:pPr>
        <w:tabs>
          <w:tab w:val="num" w:pos="1440"/>
        </w:tabs>
        <w:ind w:left="1440" w:hanging="360"/>
      </w:pPr>
      <w:rPr>
        <w:rFonts w:ascii="Courier New" w:hAnsi="Courier New" w:hint="default"/>
      </w:rPr>
    </w:lvl>
    <w:lvl w:ilvl="2" w:tplc="AF168298" w:tentative="1">
      <w:start w:val="1"/>
      <w:numFmt w:val="bullet"/>
      <w:lvlText w:val=""/>
      <w:lvlJc w:val="left"/>
      <w:pPr>
        <w:tabs>
          <w:tab w:val="num" w:pos="2160"/>
        </w:tabs>
        <w:ind w:left="2160" w:hanging="360"/>
      </w:pPr>
      <w:rPr>
        <w:rFonts w:ascii="Wingdings" w:hAnsi="Wingdings" w:hint="default"/>
      </w:rPr>
    </w:lvl>
    <w:lvl w:ilvl="3" w:tplc="7466FE52" w:tentative="1">
      <w:start w:val="1"/>
      <w:numFmt w:val="bullet"/>
      <w:lvlText w:val=""/>
      <w:lvlJc w:val="left"/>
      <w:pPr>
        <w:tabs>
          <w:tab w:val="num" w:pos="2880"/>
        </w:tabs>
        <w:ind w:left="2880" w:hanging="360"/>
      </w:pPr>
      <w:rPr>
        <w:rFonts w:ascii="Symbol" w:hAnsi="Symbol" w:hint="default"/>
      </w:rPr>
    </w:lvl>
    <w:lvl w:ilvl="4" w:tplc="543E52F8" w:tentative="1">
      <w:start w:val="1"/>
      <w:numFmt w:val="bullet"/>
      <w:lvlText w:val="o"/>
      <w:lvlJc w:val="left"/>
      <w:pPr>
        <w:tabs>
          <w:tab w:val="num" w:pos="3600"/>
        </w:tabs>
        <w:ind w:left="3600" w:hanging="360"/>
      </w:pPr>
      <w:rPr>
        <w:rFonts w:ascii="Courier New" w:hAnsi="Courier New" w:hint="default"/>
      </w:rPr>
    </w:lvl>
    <w:lvl w:ilvl="5" w:tplc="462EBEAE" w:tentative="1">
      <w:start w:val="1"/>
      <w:numFmt w:val="bullet"/>
      <w:lvlText w:val=""/>
      <w:lvlJc w:val="left"/>
      <w:pPr>
        <w:tabs>
          <w:tab w:val="num" w:pos="4320"/>
        </w:tabs>
        <w:ind w:left="4320" w:hanging="360"/>
      </w:pPr>
      <w:rPr>
        <w:rFonts w:ascii="Wingdings" w:hAnsi="Wingdings" w:hint="default"/>
      </w:rPr>
    </w:lvl>
    <w:lvl w:ilvl="6" w:tplc="C33672CE" w:tentative="1">
      <w:start w:val="1"/>
      <w:numFmt w:val="bullet"/>
      <w:lvlText w:val=""/>
      <w:lvlJc w:val="left"/>
      <w:pPr>
        <w:tabs>
          <w:tab w:val="num" w:pos="5040"/>
        </w:tabs>
        <w:ind w:left="5040" w:hanging="360"/>
      </w:pPr>
      <w:rPr>
        <w:rFonts w:ascii="Symbol" w:hAnsi="Symbol" w:hint="default"/>
      </w:rPr>
    </w:lvl>
    <w:lvl w:ilvl="7" w:tplc="D29C2662" w:tentative="1">
      <w:start w:val="1"/>
      <w:numFmt w:val="bullet"/>
      <w:lvlText w:val="o"/>
      <w:lvlJc w:val="left"/>
      <w:pPr>
        <w:tabs>
          <w:tab w:val="num" w:pos="5760"/>
        </w:tabs>
        <w:ind w:left="5760" w:hanging="360"/>
      </w:pPr>
      <w:rPr>
        <w:rFonts w:ascii="Courier New" w:hAnsi="Courier New" w:hint="default"/>
      </w:rPr>
    </w:lvl>
    <w:lvl w:ilvl="8" w:tplc="EE283EAA" w:tentative="1">
      <w:start w:val="1"/>
      <w:numFmt w:val="bullet"/>
      <w:lvlText w:val=""/>
      <w:lvlJc w:val="left"/>
      <w:pPr>
        <w:tabs>
          <w:tab w:val="num" w:pos="6480"/>
        </w:tabs>
        <w:ind w:left="6480" w:hanging="360"/>
      </w:pPr>
      <w:rPr>
        <w:rFonts w:ascii="Wingdings" w:hAnsi="Wingdings" w:hint="default"/>
      </w:rPr>
    </w:lvl>
  </w:abstractNum>
  <w:abstractNum w:abstractNumId="28">
    <w:nsid w:val="66CC6A6C"/>
    <w:multiLevelType w:val="hybridMultilevel"/>
    <w:tmpl w:val="96C6C2D4"/>
    <w:lvl w:ilvl="0" w:tplc="63CE386A">
      <w:start w:val="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B432F95"/>
    <w:multiLevelType w:val="hybridMultilevel"/>
    <w:tmpl w:val="319EF4C6"/>
    <w:lvl w:ilvl="0" w:tplc="8EA6E372">
      <w:start w:val="1"/>
      <w:numFmt w:val="bullet"/>
      <w:lvlText w:val="•"/>
      <w:lvlJc w:val="left"/>
      <w:pPr>
        <w:tabs>
          <w:tab w:val="num" w:pos="1080"/>
        </w:tabs>
        <w:ind w:left="1080" w:hanging="360"/>
      </w:pPr>
      <w:rPr>
        <w:rFonts w:ascii="Tahoma" w:hAnsi="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61B3C13"/>
    <w:multiLevelType w:val="hybridMultilevel"/>
    <w:tmpl w:val="2B20ADD6"/>
    <w:lvl w:ilvl="0" w:tplc="6F548D16">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6D238C4"/>
    <w:multiLevelType w:val="hybridMultilevel"/>
    <w:tmpl w:val="F94C90E4"/>
    <w:lvl w:ilvl="0" w:tplc="B87AADB4">
      <w:start w:val="1"/>
      <w:numFmt w:val="decimal"/>
      <w:lvlText w:val="%1."/>
      <w:lvlJc w:val="left"/>
      <w:pPr>
        <w:tabs>
          <w:tab w:val="num" w:pos="1080"/>
        </w:tabs>
        <w:ind w:left="1080" w:hanging="360"/>
      </w:pPr>
    </w:lvl>
    <w:lvl w:ilvl="1" w:tplc="4A24BBCE" w:tentative="1">
      <w:start w:val="1"/>
      <w:numFmt w:val="bullet"/>
      <w:lvlText w:val="o"/>
      <w:lvlJc w:val="left"/>
      <w:pPr>
        <w:tabs>
          <w:tab w:val="num" w:pos="1440"/>
        </w:tabs>
        <w:ind w:left="1440" w:hanging="360"/>
      </w:pPr>
      <w:rPr>
        <w:rFonts w:ascii="Courier New" w:hAnsi="Courier New" w:hint="default"/>
      </w:rPr>
    </w:lvl>
    <w:lvl w:ilvl="2" w:tplc="40929DBE" w:tentative="1">
      <w:start w:val="1"/>
      <w:numFmt w:val="bullet"/>
      <w:lvlText w:val=""/>
      <w:lvlJc w:val="left"/>
      <w:pPr>
        <w:tabs>
          <w:tab w:val="num" w:pos="2160"/>
        </w:tabs>
        <w:ind w:left="2160" w:hanging="360"/>
      </w:pPr>
      <w:rPr>
        <w:rFonts w:ascii="Wingdings" w:hAnsi="Wingdings" w:hint="default"/>
      </w:rPr>
    </w:lvl>
    <w:lvl w:ilvl="3" w:tplc="275C40D6" w:tentative="1">
      <w:start w:val="1"/>
      <w:numFmt w:val="bullet"/>
      <w:lvlText w:val=""/>
      <w:lvlJc w:val="left"/>
      <w:pPr>
        <w:tabs>
          <w:tab w:val="num" w:pos="2880"/>
        </w:tabs>
        <w:ind w:left="2880" w:hanging="360"/>
      </w:pPr>
      <w:rPr>
        <w:rFonts w:ascii="Symbol" w:hAnsi="Symbol" w:hint="default"/>
      </w:rPr>
    </w:lvl>
    <w:lvl w:ilvl="4" w:tplc="D5ACB74A" w:tentative="1">
      <w:start w:val="1"/>
      <w:numFmt w:val="bullet"/>
      <w:lvlText w:val="o"/>
      <w:lvlJc w:val="left"/>
      <w:pPr>
        <w:tabs>
          <w:tab w:val="num" w:pos="3600"/>
        </w:tabs>
        <w:ind w:left="3600" w:hanging="360"/>
      </w:pPr>
      <w:rPr>
        <w:rFonts w:ascii="Courier New" w:hAnsi="Courier New" w:hint="default"/>
      </w:rPr>
    </w:lvl>
    <w:lvl w:ilvl="5" w:tplc="4314B01A" w:tentative="1">
      <w:start w:val="1"/>
      <w:numFmt w:val="bullet"/>
      <w:lvlText w:val=""/>
      <w:lvlJc w:val="left"/>
      <w:pPr>
        <w:tabs>
          <w:tab w:val="num" w:pos="4320"/>
        </w:tabs>
        <w:ind w:left="4320" w:hanging="360"/>
      </w:pPr>
      <w:rPr>
        <w:rFonts w:ascii="Wingdings" w:hAnsi="Wingdings" w:hint="default"/>
      </w:rPr>
    </w:lvl>
    <w:lvl w:ilvl="6" w:tplc="5A501FBA" w:tentative="1">
      <w:start w:val="1"/>
      <w:numFmt w:val="bullet"/>
      <w:lvlText w:val=""/>
      <w:lvlJc w:val="left"/>
      <w:pPr>
        <w:tabs>
          <w:tab w:val="num" w:pos="5040"/>
        </w:tabs>
        <w:ind w:left="5040" w:hanging="360"/>
      </w:pPr>
      <w:rPr>
        <w:rFonts w:ascii="Symbol" w:hAnsi="Symbol" w:hint="default"/>
      </w:rPr>
    </w:lvl>
    <w:lvl w:ilvl="7" w:tplc="83AE29EA" w:tentative="1">
      <w:start w:val="1"/>
      <w:numFmt w:val="bullet"/>
      <w:lvlText w:val="o"/>
      <w:lvlJc w:val="left"/>
      <w:pPr>
        <w:tabs>
          <w:tab w:val="num" w:pos="5760"/>
        </w:tabs>
        <w:ind w:left="5760" w:hanging="360"/>
      </w:pPr>
      <w:rPr>
        <w:rFonts w:ascii="Courier New" w:hAnsi="Courier New" w:hint="default"/>
      </w:rPr>
    </w:lvl>
    <w:lvl w:ilvl="8" w:tplc="6D8AB02C" w:tentative="1">
      <w:start w:val="1"/>
      <w:numFmt w:val="bullet"/>
      <w:lvlText w:val=""/>
      <w:lvlJc w:val="left"/>
      <w:pPr>
        <w:tabs>
          <w:tab w:val="num" w:pos="6480"/>
        </w:tabs>
        <w:ind w:left="6480" w:hanging="360"/>
      </w:pPr>
      <w:rPr>
        <w:rFonts w:ascii="Wingdings" w:hAnsi="Wingdings" w:hint="default"/>
      </w:rPr>
    </w:lvl>
  </w:abstractNum>
  <w:abstractNum w:abstractNumId="32">
    <w:nsid w:val="783D7F2E"/>
    <w:multiLevelType w:val="hybridMultilevel"/>
    <w:tmpl w:val="C0483A74"/>
    <w:lvl w:ilvl="0" w:tplc="2F8A46F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9C306B5"/>
    <w:multiLevelType w:val="hybridMultilevel"/>
    <w:tmpl w:val="1A4E6DF4"/>
    <w:lvl w:ilvl="0" w:tplc="A308E358">
      <w:start w:val="1"/>
      <w:numFmt w:val="bullet"/>
      <w:lvlText w:val=""/>
      <w:lvlJc w:val="left"/>
      <w:pPr>
        <w:tabs>
          <w:tab w:val="num" w:pos="720"/>
        </w:tabs>
        <w:ind w:left="720" w:hanging="360"/>
      </w:pPr>
      <w:rPr>
        <w:rFonts w:ascii="Symbol" w:hAnsi="Symbol" w:hint="default"/>
      </w:rPr>
    </w:lvl>
    <w:lvl w:ilvl="1" w:tplc="3850CAF6" w:tentative="1">
      <w:start w:val="1"/>
      <w:numFmt w:val="bullet"/>
      <w:lvlText w:val="o"/>
      <w:lvlJc w:val="left"/>
      <w:pPr>
        <w:tabs>
          <w:tab w:val="num" w:pos="1440"/>
        </w:tabs>
        <w:ind w:left="1440" w:hanging="360"/>
      </w:pPr>
      <w:rPr>
        <w:rFonts w:ascii="Courier New" w:hAnsi="Courier New" w:hint="default"/>
      </w:rPr>
    </w:lvl>
    <w:lvl w:ilvl="2" w:tplc="C460487C" w:tentative="1">
      <w:start w:val="1"/>
      <w:numFmt w:val="bullet"/>
      <w:lvlText w:val=""/>
      <w:lvlJc w:val="left"/>
      <w:pPr>
        <w:tabs>
          <w:tab w:val="num" w:pos="2160"/>
        </w:tabs>
        <w:ind w:left="2160" w:hanging="360"/>
      </w:pPr>
      <w:rPr>
        <w:rFonts w:ascii="Wingdings" w:hAnsi="Wingdings" w:hint="default"/>
      </w:rPr>
    </w:lvl>
    <w:lvl w:ilvl="3" w:tplc="4BE4BB48" w:tentative="1">
      <w:start w:val="1"/>
      <w:numFmt w:val="bullet"/>
      <w:lvlText w:val=""/>
      <w:lvlJc w:val="left"/>
      <w:pPr>
        <w:tabs>
          <w:tab w:val="num" w:pos="2880"/>
        </w:tabs>
        <w:ind w:left="2880" w:hanging="360"/>
      </w:pPr>
      <w:rPr>
        <w:rFonts w:ascii="Symbol" w:hAnsi="Symbol" w:hint="default"/>
      </w:rPr>
    </w:lvl>
    <w:lvl w:ilvl="4" w:tplc="3F2CF2B6" w:tentative="1">
      <w:start w:val="1"/>
      <w:numFmt w:val="bullet"/>
      <w:lvlText w:val="o"/>
      <w:lvlJc w:val="left"/>
      <w:pPr>
        <w:tabs>
          <w:tab w:val="num" w:pos="3600"/>
        </w:tabs>
        <w:ind w:left="3600" w:hanging="360"/>
      </w:pPr>
      <w:rPr>
        <w:rFonts w:ascii="Courier New" w:hAnsi="Courier New" w:hint="default"/>
      </w:rPr>
    </w:lvl>
    <w:lvl w:ilvl="5" w:tplc="CA5CD48C" w:tentative="1">
      <w:start w:val="1"/>
      <w:numFmt w:val="bullet"/>
      <w:lvlText w:val=""/>
      <w:lvlJc w:val="left"/>
      <w:pPr>
        <w:tabs>
          <w:tab w:val="num" w:pos="4320"/>
        </w:tabs>
        <w:ind w:left="4320" w:hanging="360"/>
      </w:pPr>
      <w:rPr>
        <w:rFonts w:ascii="Wingdings" w:hAnsi="Wingdings" w:hint="default"/>
      </w:rPr>
    </w:lvl>
    <w:lvl w:ilvl="6" w:tplc="9BFA6C6A" w:tentative="1">
      <w:start w:val="1"/>
      <w:numFmt w:val="bullet"/>
      <w:lvlText w:val=""/>
      <w:lvlJc w:val="left"/>
      <w:pPr>
        <w:tabs>
          <w:tab w:val="num" w:pos="5040"/>
        </w:tabs>
        <w:ind w:left="5040" w:hanging="360"/>
      </w:pPr>
      <w:rPr>
        <w:rFonts w:ascii="Symbol" w:hAnsi="Symbol" w:hint="default"/>
      </w:rPr>
    </w:lvl>
    <w:lvl w:ilvl="7" w:tplc="8CD69640" w:tentative="1">
      <w:start w:val="1"/>
      <w:numFmt w:val="bullet"/>
      <w:lvlText w:val="o"/>
      <w:lvlJc w:val="left"/>
      <w:pPr>
        <w:tabs>
          <w:tab w:val="num" w:pos="5760"/>
        </w:tabs>
        <w:ind w:left="5760" w:hanging="360"/>
      </w:pPr>
      <w:rPr>
        <w:rFonts w:ascii="Courier New" w:hAnsi="Courier New" w:hint="default"/>
      </w:rPr>
    </w:lvl>
    <w:lvl w:ilvl="8" w:tplc="B8BC94AC" w:tentative="1">
      <w:start w:val="1"/>
      <w:numFmt w:val="bullet"/>
      <w:lvlText w:val=""/>
      <w:lvlJc w:val="left"/>
      <w:pPr>
        <w:tabs>
          <w:tab w:val="num" w:pos="6480"/>
        </w:tabs>
        <w:ind w:left="6480" w:hanging="360"/>
      </w:pPr>
      <w:rPr>
        <w:rFonts w:ascii="Wingdings" w:hAnsi="Wingdings" w:hint="default"/>
      </w:rPr>
    </w:lvl>
  </w:abstractNum>
  <w:abstractNum w:abstractNumId="34">
    <w:nsid w:val="7C676211"/>
    <w:multiLevelType w:val="multilevel"/>
    <w:tmpl w:val="6FAA5F9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nsid w:val="7D9503E8"/>
    <w:multiLevelType w:val="hybridMultilevel"/>
    <w:tmpl w:val="2B20ADD6"/>
    <w:lvl w:ilvl="0" w:tplc="6F548D16">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E957D85"/>
    <w:multiLevelType w:val="hybridMultilevel"/>
    <w:tmpl w:val="45507C6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3"/>
  </w:num>
  <w:num w:numId="2">
    <w:abstractNumId w:val="34"/>
  </w:num>
  <w:num w:numId="3">
    <w:abstractNumId w:val="13"/>
  </w:num>
  <w:num w:numId="4">
    <w:abstractNumId w:val="31"/>
  </w:num>
  <w:num w:numId="5">
    <w:abstractNumId w:val="33"/>
  </w:num>
  <w:num w:numId="6">
    <w:abstractNumId w:val="27"/>
  </w:num>
  <w:num w:numId="7">
    <w:abstractNumId w:val="4"/>
  </w:num>
  <w:num w:numId="8">
    <w:abstractNumId w:val="11"/>
  </w:num>
  <w:num w:numId="9">
    <w:abstractNumId w:val="36"/>
  </w:num>
  <w:num w:numId="10">
    <w:abstractNumId w:val="6"/>
  </w:num>
  <w:num w:numId="11">
    <w:abstractNumId w:val="32"/>
  </w:num>
  <w:num w:numId="12">
    <w:abstractNumId w:val="0"/>
    <w:lvlOverride w:ilvl="0">
      <w:lvl w:ilvl="0">
        <w:start w:val="1"/>
        <w:numFmt w:val="bullet"/>
        <w:lvlText w:val="·"/>
        <w:legacy w:legacy="1" w:legacySpace="0" w:legacyIndent="360"/>
        <w:lvlJc w:val="left"/>
        <w:pPr>
          <w:ind w:left="360" w:hanging="360"/>
        </w:pPr>
        <w:rPr>
          <w:rFonts w:ascii="Tms Rmn" w:hAnsi="Tms Rmn" w:hint="default"/>
        </w:rPr>
      </w:lvl>
    </w:lvlOverride>
  </w:num>
  <w:num w:numId="13">
    <w:abstractNumId w:val="12"/>
  </w:num>
  <w:num w:numId="14">
    <w:abstractNumId w:val="10"/>
  </w:num>
  <w:num w:numId="15">
    <w:abstractNumId w:val="28"/>
  </w:num>
  <w:num w:numId="16">
    <w:abstractNumId w:val="14"/>
  </w:num>
  <w:num w:numId="17">
    <w:abstractNumId w:val="16"/>
  </w:num>
  <w:num w:numId="18">
    <w:abstractNumId w:val="9"/>
  </w:num>
  <w:num w:numId="19">
    <w:abstractNumId w:val="21"/>
  </w:num>
  <w:num w:numId="20">
    <w:abstractNumId w:val="1"/>
  </w:num>
  <w:num w:numId="21">
    <w:abstractNumId w:val="22"/>
  </w:num>
  <w:num w:numId="22">
    <w:abstractNumId w:val="25"/>
  </w:num>
  <w:num w:numId="23">
    <w:abstractNumId w:val="3"/>
  </w:num>
  <w:num w:numId="24">
    <w:abstractNumId w:val="20"/>
  </w:num>
  <w:num w:numId="25">
    <w:abstractNumId w:val="7"/>
  </w:num>
  <w:num w:numId="26">
    <w:abstractNumId w:val="2"/>
  </w:num>
  <w:num w:numId="27">
    <w:abstractNumId w:val="29"/>
  </w:num>
  <w:num w:numId="28">
    <w:abstractNumId w:val="5"/>
  </w:num>
  <w:num w:numId="29">
    <w:abstractNumId w:val="15"/>
  </w:num>
  <w:num w:numId="30">
    <w:abstractNumId w:val="30"/>
  </w:num>
  <w:num w:numId="31">
    <w:abstractNumId w:val="17"/>
  </w:num>
  <w:num w:numId="32">
    <w:abstractNumId w:val="26"/>
  </w:num>
  <w:num w:numId="33">
    <w:abstractNumId w:val="35"/>
  </w:num>
  <w:num w:numId="34">
    <w:abstractNumId w:val="8"/>
  </w:num>
  <w:num w:numId="35">
    <w:abstractNumId w:val="18"/>
  </w:num>
  <w:num w:numId="36">
    <w:abstractNumId w:val="24"/>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31746">
      <o:colormru v:ext="edit" colors="#ffc"/>
    </o:shapedefaults>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0BCC"/>
    <w:rsid w:val="00004D34"/>
    <w:rsid w:val="00012881"/>
    <w:rsid w:val="00013CD1"/>
    <w:rsid w:val="000157D4"/>
    <w:rsid w:val="00015897"/>
    <w:rsid w:val="00016603"/>
    <w:rsid w:val="00016D5D"/>
    <w:rsid w:val="000255A1"/>
    <w:rsid w:val="00027220"/>
    <w:rsid w:val="00032596"/>
    <w:rsid w:val="00036F4C"/>
    <w:rsid w:val="00043E18"/>
    <w:rsid w:val="000448BA"/>
    <w:rsid w:val="00045038"/>
    <w:rsid w:val="00050776"/>
    <w:rsid w:val="00051286"/>
    <w:rsid w:val="00054A3B"/>
    <w:rsid w:val="0005716F"/>
    <w:rsid w:val="00057676"/>
    <w:rsid w:val="00060BCC"/>
    <w:rsid w:val="0006234A"/>
    <w:rsid w:val="00064C94"/>
    <w:rsid w:val="00067E11"/>
    <w:rsid w:val="0007093D"/>
    <w:rsid w:val="000762BF"/>
    <w:rsid w:val="000804D2"/>
    <w:rsid w:val="00081849"/>
    <w:rsid w:val="00083446"/>
    <w:rsid w:val="0008536E"/>
    <w:rsid w:val="00085372"/>
    <w:rsid w:val="00086B08"/>
    <w:rsid w:val="000923FD"/>
    <w:rsid w:val="00092EBD"/>
    <w:rsid w:val="00092ED9"/>
    <w:rsid w:val="00094F97"/>
    <w:rsid w:val="000972F0"/>
    <w:rsid w:val="000A012F"/>
    <w:rsid w:val="000A772C"/>
    <w:rsid w:val="000B1005"/>
    <w:rsid w:val="000B224D"/>
    <w:rsid w:val="000B4225"/>
    <w:rsid w:val="000C1077"/>
    <w:rsid w:val="000C10D5"/>
    <w:rsid w:val="000C15B6"/>
    <w:rsid w:val="000C2DE9"/>
    <w:rsid w:val="000C3831"/>
    <w:rsid w:val="000C6995"/>
    <w:rsid w:val="000E084F"/>
    <w:rsid w:val="000E355F"/>
    <w:rsid w:val="000E599B"/>
    <w:rsid w:val="000E77FE"/>
    <w:rsid w:val="000F0983"/>
    <w:rsid w:val="000F2A13"/>
    <w:rsid w:val="001008B4"/>
    <w:rsid w:val="00111F24"/>
    <w:rsid w:val="00115A16"/>
    <w:rsid w:val="001173FC"/>
    <w:rsid w:val="00127160"/>
    <w:rsid w:val="00127BFA"/>
    <w:rsid w:val="0013150B"/>
    <w:rsid w:val="00131FF1"/>
    <w:rsid w:val="00133113"/>
    <w:rsid w:val="001331A4"/>
    <w:rsid w:val="001362BC"/>
    <w:rsid w:val="00136524"/>
    <w:rsid w:val="0013680C"/>
    <w:rsid w:val="00142B6F"/>
    <w:rsid w:val="001435DA"/>
    <w:rsid w:val="0015071F"/>
    <w:rsid w:val="001538E8"/>
    <w:rsid w:val="00153C8E"/>
    <w:rsid w:val="00154B8F"/>
    <w:rsid w:val="0015690A"/>
    <w:rsid w:val="00165028"/>
    <w:rsid w:val="00172351"/>
    <w:rsid w:val="00172D85"/>
    <w:rsid w:val="001840B4"/>
    <w:rsid w:val="001861F2"/>
    <w:rsid w:val="001939CC"/>
    <w:rsid w:val="0019567D"/>
    <w:rsid w:val="001972BC"/>
    <w:rsid w:val="00197ED9"/>
    <w:rsid w:val="001A024E"/>
    <w:rsid w:val="001A3DB4"/>
    <w:rsid w:val="001A3E3C"/>
    <w:rsid w:val="001A64E4"/>
    <w:rsid w:val="001A69B3"/>
    <w:rsid w:val="001B02ED"/>
    <w:rsid w:val="001B09A6"/>
    <w:rsid w:val="001B0E04"/>
    <w:rsid w:val="001B2114"/>
    <w:rsid w:val="001B3A05"/>
    <w:rsid w:val="001B54DB"/>
    <w:rsid w:val="001B61FB"/>
    <w:rsid w:val="001B7359"/>
    <w:rsid w:val="001B73C7"/>
    <w:rsid w:val="001B796C"/>
    <w:rsid w:val="001C0F9A"/>
    <w:rsid w:val="001C17A5"/>
    <w:rsid w:val="001C2B0B"/>
    <w:rsid w:val="001C5B5C"/>
    <w:rsid w:val="001C631E"/>
    <w:rsid w:val="001C707C"/>
    <w:rsid w:val="001D32F6"/>
    <w:rsid w:val="001E1F1C"/>
    <w:rsid w:val="001E3B4A"/>
    <w:rsid w:val="001E42A3"/>
    <w:rsid w:val="001E43B4"/>
    <w:rsid w:val="001E680B"/>
    <w:rsid w:val="001E7385"/>
    <w:rsid w:val="00202CA3"/>
    <w:rsid w:val="0020543E"/>
    <w:rsid w:val="002074D4"/>
    <w:rsid w:val="00207D7E"/>
    <w:rsid w:val="00211ABD"/>
    <w:rsid w:val="00213101"/>
    <w:rsid w:val="00216DE3"/>
    <w:rsid w:val="002176D1"/>
    <w:rsid w:val="0022671F"/>
    <w:rsid w:val="002305B4"/>
    <w:rsid w:val="00241DC1"/>
    <w:rsid w:val="002469A5"/>
    <w:rsid w:val="00250C7B"/>
    <w:rsid w:val="00260FCF"/>
    <w:rsid w:val="00261A45"/>
    <w:rsid w:val="00263BC0"/>
    <w:rsid w:val="00263F80"/>
    <w:rsid w:val="0026656B"/>
    <w:rsid w:val="00266A92"/>
    <w:rsid w:val="00281A6F"/>
    <w:rsid w:val="00285A76"/>
    <w:rsid w:val="00285FFB"/>
    <w:rsid w:val="00290640"/>
    <w:rsid w:val="00292764"/>
    <w:rsid w:val="00292E49"/>
    <w:rsid w:val="002941B4"/>
    <w:rsid w:val="00294D86"/>
    <w:rsid w:val="002A11E0"/>
    <w:rsid w:val="002A286A"/>
    <w:rsid w:val="002A4228"/>
    <w:rsid w:val="002A47D7"/>
    <w:rsid w:val="002A49F3"/>
    <w:rsid w:val="002A617B"/>
    <w:rsid w:val="002B113B"/>
    <w:rsid w:val="002B2A34"/>
    <w:rsid w:val="002B50A3"/>
    <w:rsid w:val="002C3D16"/>
    <w:rsid w:val="002C3E4C"/>
    <w:rsid w:val="002C5927"/>
    <w:rsid w:val="002C5D1F"/>
    <w:rsid w:val="002E2B26"/>
    <w:rsid w:val="002E532F"/>
    <w:rsid w:val="002F2410"/>
    <w:rsid w:val="002F2661"/>
    <w:rsid w:val="002F31FE"/>
    <w:rsid w:val="002F4C48"/>
    <w:rsid w:val="002F7A0F"/>
    <w:rsid w:val="003028F0"/>
    <w:rsid w:val="00314837"/>
    <w:rsid w:val="0031664E"/>
    <w:rsid w:val="00322C68"/>
    <w:rsid w:val="00330BA7"/>
    <w:rsid w:val="00331F8D"/>
    <w:rsid w:val="00341F2D"/>
    <w:rsid w:val="00344CB2"/>
    <w:rsid w:val="003508ED"/>
    <w:rsid w:val="00352C0B"/>
    <w:rsid w:val="0036139C"/>
    <w:rsid w:val="00367124"/>
    <w:rsid w:val="00367B7A"/>
    <w:rsid w:val="00370278"/>
    <w:rsid w:val="00370C02"/>
    <w:rsid w:val="00371C0E"/>
    <w:rsid w:val="003730D3"/>
    <w:rsid w:val="003767AF"/>
    <w:rsid w:val="0038098A"/>
    <w:rsid w:val="003833F6"/>
    <w:rsid w:val="0038392F"/>
    <w:rsid w:val="003A0D4B"/>
    <w:rsid w:val="003A3601"/>
    <w:rsid w:val="003A4676"/>
    <w:rsid w:val="003A4CB7"/>
    <w:rsid w:val="003A660D"/>
    <w:rsid w:val="003B0B3F"/>
    <w:rsid w:val="003B49D3"/>
    <w:rsid w:val="003B4EE0"/>
    <w:rsid w:val="003B638C"/>
    <w:rsid w:val="003B7946"/>
    <w:rsid w:val="003C4FC3"/>
    <w:rsid w:val="003C5D0B"/>
    <w:rsid w:val="003D10AB"/>
    <w:rsid w:val="003D167D"/>
    <w:rsid w:val="003D7468"/>
    <w:rsid w:val="003D7477"/>
    <w:rsid w:val="003E26A9"/>
    <w:rsid w:val="003E547E"/>
    <w:rsid w:val="003E56AA"/>
    <w:rsid w:val="003E688F"/>
    <w:rsid w:val="003E75DC"/>
    <w:rsid w:val="003F1790"/>
    <w:rsid w:val="003F50A1"/>
    <w:rsid w:val="003F60E5"/>
    <w:rsid w:val="0040368F"/>
    <w:rsid w:val="00403E3C"/>
    <w:rsid w:val="00403FD9"/>
    <w:rsid w:val="00404496"/>
    <w:rsid w:val="00406012"/>
    <w:rsid w:val="00406FDE"/>
    <w:rsid w:val="004073E3"/>
    <w:rsid w:val="00410F60"/>
    <w:rsid w:val="00414952"/>
    <w:rsid w:val="00414D2A"/>
    <w:rsid w:val="004171E8"/>
    <w:rsid w:val="00417BEB"/>
    <w:rsid w:val="004236D5"/>
    <w:rsid w:val="0042486F"/>
    <w:rsid w:val="00427BDE"/>
    <w:rsid w:val="00430D94"/>
    <w:rsid w:val="004437BF"/>
    <w:rsid w:val="0045184A"/>
    <w:rsid w:val="00457CCC"/>
    <w:rsid w:val="00457E64"/>
    <w:rsid w:val="00461909"/>
    <w:rsid w:val="00462DC0"/>
    <w:rsid w:val="00465AD6"/>
    <w:rsid w:val="00465FE1"/>
    <w:rsid w:val="00473824"/>
    <w:rsid w:val="0047619A"/>
    <w:rsid w:val="004872AB"/>
    <w:rsid w:val="00490D95"/>
    <w:rsid w:val="00491A72"/>
    <w:rsid w:val="00492098"/>
    <w:rsid w:val="00492549"/>
    <w:rsid w:val="0049437B"/>
    <w:rsid w:val="004A4DEA"/>
    <w:rsid w:val="004A55DD"/>
    <w:rsid w:val="004A7109"/>
    <w:rsid w:val="004B2B7E"/>
    <w:rsid w:val="004B458C"/>
    <w:rsid w:val="004B47F2"/>
    <w:rsid w:val="004B4DBA"/>
    <w:rsid w:val="004B61CD"/>
    <w:rsid w:val="004B6CCB"/>
    <w:rsid w:val="004C070C"/>
    <w:rsid w:val="004C4F9D"/>
    <w:rsid w:val="004F2966"/>
    <w:rsid w:val="004F3BE0"/>
    <w:rsid w:val="004F4828"/>
    <w:rsid w:val="004F4EAF"/>
    <w:rsid w:val="004F6839"/>
    <w:rsid w:val="00502187"/>
    <w:rsid w:val="005060CA"/>
    <w:rsid w:val="00507F76"/>
    <w:rsid w:val="00511E14"/>
    <w:rsid w:val="00511F86"/>
    <w:rsid w:val="00523ABB"/>
    <w:rsid w:val="00525A15"/>
    <w:rsid w:val="00525EEE"/>
    <w:rsid w:val="0052655C"/>
    <w:rsid w:val="00530E5B"/>
    <w:rsid w:val="00537AFD"/>
    <w:rsid w:val="0054165D"/>
    <w:rsid w:val="00541DE5"/>
    <w:rsid w:val="0054538E"/>
    <w:rsid w:val="00546B72"/>
    <w:rsid w:val="00547D27"/>
    <w:rsid w:val="00551654"/>
    <w:rsid w:val="00553813"/>
    <w:rsid w:val="00553928"/>
    <w:rsid w:val="0056085A"/>
    <w:rsid w:val="00561679"/>
    <w:rsid w:val="00562B17"/>
    <w:rsid w:val="00564673"/>
    <w:rsid w:val="00564F5F"/>
    <w:rsid w:val="005663A6"/>
    <w:rsid w:val="00566AF4"/>
    <w:rsid w:val="00572BD4"/>
    <w:rsid w:val="00577105"/>
    <w:rsid w:val="005777E4"/>
    <w:rsid w:val="00582E53"/>
    <w:rsid w:val="00585587"/>
    <w:rsid w:val="005869C2"/>
    <w:rsid w:val="0059074D"/>
    <w:rsid w:val="00592D5C"/>
    <w:rsid w:val="005A0087"/>
    <w:rsid w:val="005A0896"/>
    <w:rsid w:val="005A4338"/>
    <w:rsid w:val="005A4655"/>
    <w:rsid w:val="005B07E2"/>
    <w:rsid w:val="005B2107"/>
    <w:rsid w:val="005B5860"/>
    <w:rsid w:val="005C30D1"/>
    <w:rsid w:val="005C5C40"/>
    <w:rsid w:val="005C6C5E"/>
    <w:rsid w:val="005D1ECE"/>
    <w:rsid w:val="005D4EE6"/>
    <w:rsid w:val="005E3642"/>
    <w:rsid w:val="005E3BD6"/>
    <w:rsid w:val="005E441D"/>
    <w:rsid w:val="005E6A21"/>
    <w:rsid w:val="005F03BA"/>
    <w:rsid w:val="005F2AAB"/>
    <w:rsid w:val="005F3A95"/>
    <w:rsid w:val="005F3B1C"/>
    <w:rsid w:val="005F3CFD"/>
    <w:rsid w:val="005F4277"/>
    <w:rsid w:val="006044FA"/>
    <w:rsid w:val="00606586"/>
    <w:rsid w:val="006072AC"/>
    <w:rsid w:val="00610DE5"/>
    <w:rsid w:val="00611A5E"/>
    <w:rsid w:val="00612D07"/>
    <w:rsid w:val="006172E2"/>
    <w:rsid w:val="0062018C"/>
    <w:rsid w:val="006342EF"/>
    <w:rsid w:val="006350D3"/>
    <w:rsid w:val="006423F1"/>
    <w:rsid w:val="00644872"/>
    <w:rsid w:val="00645073"/>
    <w:rsid w:val="00646D45"/>
    <w:rsid w:val="00650D67"/>
    <w:rsid w:val="006536BF"/>
    <w:rsid w:val="0065464C"/>
    <w:rsid w:val="0065505C"/>
    <w:rsid w:val="006562EA"/>
    <w:rsid w:val="00657A48"/>
    <w:rsid w:val="00657BA6"/>
    <w:rsid w:val="00661858"/>
    <w:rsid w:val="00666800"/>
    <w:rsid w:val="00666D0D"/>
    <w:rsid w:val="00666FAB"/>
    <w:rsid w:val="00670CA7"/>
    <w:rsid w:val="00672F38"/>
    <w:rsid w:val="0067388B"/>
    <w:rsid w:val="00675589"/>
    <w:rsid w:val="00677E13"/>
    <w:rsid w:val="0068769C"/>
    <w:rsid w:val="006913EF"/>
    <w:rsid w:val="00693398"/>
    <w:rsid w:val="00694684"/>
    <w:rsid w:val="00694FF2"/>
    <w:rsid w:val="00696A99"/>
    <w:rsid w:val="006A7CC2"/>
    <w:rsid w:val="006B0712"/>
    <w:rsid w:val="006B2BCD"/>
    <w:rsid w:val="006B3145"/>
    <w:rsid w:val="006B766D"/>
    <w:rsid w:val="006C3137"/>
    <w:rsid w:val="006C38A8"/>
    <w:rsid w:val="006D008B"/>
    <w:rsid w:val="006D0F96"/>
    <w:rsid w:val="006D2687"/>
    <w:rsid w:val="006D3A5E"/>
    <w:rsid w:val="006D5E38"/>
    <w:rsid w:val="006D689E"/>
    <w:rsid w:val="006E3389"/>
    <w:rsid w:val="006E7F8F"/>
    <w:rsid w:val="006F6F20"/>
    <w:rsid w:val="0070254D"/>
    <w:rsid w:val="00703B30"/>
    <w:rsid w:val="00704B35"/>
    <w:rsid w:val="0070561B"/>
    <w:rsid w:val="00707148"/>
    <w:rsid w:val="00710C4C"/>
    <w:rsid w:val="00717121"/>
    <w:rsid w:val="0071735B"/>
    <w:rsid w:val="00726B90"/>
    <w:rsid w:val="007311B7"/>
    <w:rsid w:val="0073226C"/>
    <w:rsid w:val="00733546"/>
    <w:rsid w:val="00733B33"/>
    <w:rsid w:val="00735055"/>
    <w:rsid w:val="007369A8"/>
    <w:rsid w:val="007371B5"/>
    <w:rsid w:val="0074301E"/>
    <w:rsid w:val="007438D2"/>
    <w:rsid w:val="00744AD6"/>
    <w:rsid w:val="00744B7C"/>
    <w:rsid w:val="00747BA0"/>
    <w:rsid w:val="007538BC"/>
    <w:rsid w:val="00755089"/>
    <w:rsid w:val="00755825"/>
    <w:rsid w:val="00761255"/>
    <w:rsid w:val="00763757"/>
    <w:rsid w:val="00763BFF"/>
    <w:rsid w:val="00765E27"/>
    <w:rsid w:val="00766837"/>
    <w:rsid w:val="0077056D"/>
    <w:rsid w:val="00773ABC"/>
    <w:rsid w:val="00780FAD"/>
    <w:rsid w:val="00783668"/>
    <w:rsid w:val="0078625F"/>
    <w:rsid w:val="00786550"/>
    <w:rsid w:val="00790425"/>
    <w:rsid w:val="007958C6"/>
    <w:rsid w:val="007961AE"/>
    <w:rsid w:val="007A020E"/>
    <w:rsid w:val="007A084A"/>
    <w:rsid w:val="007A0EAB"/>
    <w:rsid w:val="007A6B86"/>
    <w:rsid w:val="007A6EFC"/>
    <w:rsid w:val="007A7DA7"/>
    <w:rsid w:val="007B11EE"/>
    <w:rsid w:val="007B5113"/>
    <w:rsid w:val="007C24C0"/>
    <w:rsid w:val="007C3C5D"/>
    <w:rsid w:val="007D7FF0"/>
    <w:rsid w:val="007E7556"/>
    <w:rsid w:val="007F2B8D"/>
    <w:rsid w:val="007F5440"/>
    <w:rsid w:val="007F5A74"/>
    <w:rsid w:val="007F5F85"/>
    <w:rsid w:val="00800D82"/>
    <w:rsid w:val="00804031"/>
    <w:rsid w:val="0080551F"/>
    <w:rsid w:val="008058A9"/>
    <w:rsid w:val="00805B10"/>
    <w:rsid w:val="0081453A"/>
    <w:rsid w:val="00815B26"/>
    <w:rsid w:val="00820D8C"/>
    <w:rsid w:val="00824EE1"/>
    <w:rsid w:val="00833EB0"/>
    <w:rsid w:val="00835683"/>
    <w:rsid w:val="00837B42"/>
    <w:rsid w:val="00843EF5"/>
    <w:rsid w:val="00847F71"/>
    <w:rsid w:val="008514BB"/>
    <w:rsid w:val="00855B5F"/>
    <w:rsid w:val="008571E4"/>
    <w:rsid w:val="008576DB"/>
    <w:rsid w:val="00865E31"/>
    <w:rsid w:val="00866BEC"/>
    <w:rsid w:val="00871654"/>
    <w:rsid w:val="00872766"/>
    <w:rsid w:val="0087555D"/>
    <w:rsid w:val="008876C9"/>
    <w:rsid w:val="008876F0"/>
    <w:rsid w:val="0089020A"/>
    <w:rsid w:val="008909DA"/>
    <w:rsid w:val="00892170"/>
    <w:rsid w:val="00894FFD"/>
    <w:rsid w:val="00896925"/>
    <w:rsid w:val="008A04EF"/>
    <w:rsid w:val="008A2C14"/>
    <w:rsid w:val="008B44BA"/>
    <w:rsid w:val="008B51F9"/>
    <w:rsid w:val="008B61D7"/>
    <w:rsid w:val="008C2436"/>
    <w:rsid w:val="008C49A6"/>
    <w:rsid w:val="008D02CD"/>
    <w:rsid w:val="008D2482"/>
    <w:rsid w:val="008D3CBC"/>
    <w:rsid w:val="008D4899"/>
    <w:rsid w:val="008D74C8"/>
    <w:rsid w:val="008D7C89"/>
    <w:rsid w:val="008E0557"/>
    <w:rsid w:val="008E0C46"/>
    <w:rsid w:val="008E1A49"/>
    <w:rsid w:val="008E3413"/>
    <w:rsid w:val="008F20C5"/>
    <w:rsid w:val="008F2216"/>
    <w:rsid w:val="009003B1"/>
    <w:rsid w:val="00900960"/>
    <w:rsid w:val="00903013"/>
    <w:rsid w:val="00906FD9"/>
    <w:rsid w:val="00915D21"/>
    <w:rsid w:val="00916857"/>
    <w:rsid w:val="00920177"/>
    <w:rsid w:val="00921190"/>
    <w:rsid w:val="00925B0D"/>
    <w:rsid w:val="00933BD0"/>
    <w:rsid w:val="00934688"/>
    <w:rsid w:val="0093551A"/>
    <w:rsid w:val="009363C6"/>
    <w:rsid w:val="00936C2E"/>
    <w:rsid w:val="0094003F"/>
    <w:rsid w:val="00940F17"/>
    <w:rsid w:val="00941C7D"/>
    <w:rsid w:val="009423BD"/>
    <w:rsid w:val="009468F2"/>
    <w:rsid w:val="00950DB6"/>
    <w:rsid w:val="00955F8C"/>
    <w:rsid w:val="00956D5E"/>
    <w:rsid w:val="00967D29"/>
    <w:rsid w:val="009743A3"/>
    <w:rsid w:val="00975499"/>
    <w:rsid w:val="00981DF4"/>
    <w:rsid w:val="00983083"/>
    <w:rsid w:val="00983717"/>
    <w:rsid w:val="00985030"/>
    <w:rsid w:val="009900E2"/>
    <w:rsid w:val="00990842"/>
    <w:rsid w:val="00992DF0"/>
    <w:rsid w:val="00993A71"/>
    <w:rsid w:val="009A295B"/>
    <w:rsid w:val="009A3B30"/>
    <w:rsid w:val="009A4865"/>
    <w:rsid w:val="009A5E44"/>
    <w:rsid w:val="009B07EA"/>
    <w:rsid w:val="009C19C7"/>
    <w:rsid w:val="009C34CB"/>
    <w:rsid w:val="009C3CB2"/>
    <w:rsid w:val="009D2EDB"/>
    <w:rsid w:val="009D3BCB"/>
    <w:rsid w:val="009D585C"/>
    <w:rsid w:val="009E493A"/>
    <w:rsid w:val="009E60AE"/>
    <w:rsid w:val="009E64CA"/>
    <w:rsid w:val="009E7BAD"/>
    <w:rsid w:val="009F5C58"/>
    <w:rsid w:val="009F61D6"/>
    <w:rsid w:val="00A00210"/>
    <w:rsid w:val="00A019D3"/>
    <w:rsid w:val="00A0546D"/>
    <w:rsid w:val="00A06690"/>
    <w:rsid w:val="00A2185A"/>
    <w:rsid w:val="00A2434F"/>
    <w:rsid w:val="00A256B7"/>
    <w:rsid w:val="00A33490"/>
    <w:rsid w:val="00A42D15"/>
    <w:rsid w:val="00A454DB"/>
    <w:rsid w:val="00A45EF8"/>
    <w:rsid w:val="00A47CDC"/>
    <w:rsid w:val="00A522E9"/>
    <w:rsid w:val="00A60727"/>
    <w:rsid w:val="00A612D9"/>
    <w:rsid w:val="00A70345"/>
    <w:rsid w:val="00A72E2C"/>
    <w:rsid w:val="00A73124"/>
    <w:rsid w:val="00A73420"/>
    <w:rsid w:val="00A74778"/>
    <w:rsid w:val="00A75CD6"/>
    <w:rsid w:val="00A761F3"/>
    <w:rsid w:val="00A85C6D"/>
    <w:rsid w:val="00A91E6D"/>
    <w:rsid w:val="00A94673"/>
    <w:rsid w:val="00AA16ED"/>
    <w:rsid w:val="00AA3C59"/>
    <w:rsid w:val="00AA4C0C"/>
    <w:rsid w:val="00AA4F15"/>
    <w:rsid w:val="00AA61B5"/>
    <w:rsid w:val="00AB0018"/>
    <w:rsid w:val="00AB1A81"/>
    <w:rsid w:val="00AB647B"/>
    <w:rsid w:val="00AB7866"/>
    <w:rsid w:val="00AC2DD6"/>
    <w:rsid w:val="00AC74C3"/>
    <w:rsid w:val="00AD1AD9"/>
    <w:rsid w:val="00AD4853"/>
    <w:rsid w:val="00AD7065"/>
    <w:rsid w:val="00AF1C15"/>
    <w:rsid w:val="00AF205F"/>
    <w:rsid w:val="00AF4867"/>
    <w:rsid w:val="00AF4A5A"/>
    <w:rsid w:val="00B02453"/>
    <w:rsid w:val="00B037B0"/>
    <w:rsid w:val="00B039B4"/>
    <w:rsid w:val="00B06E6B"/>
    <w:rsid w:val="00B074D2"/>
    <w:rsid w:val="00B138FD"/>
    <w:rsid w:val="00B14323"/>
    <w:rsid w:val="00B162EC"/>
    <w:rsid w:val="00B23F8B"/>
    <w:rsid w:val="00B25824"/>
    <w:rsid w:val="00B275BE"/>
    <w:rsid w:val="00B35154"/>
    <w:rsid w:val="00B3673F"/>
    <w:rsid w:val="00B3710B"/>
    <w:rsid w:val="00B41C2D"/>
    <w:rsid w:val="00B51BC6"/>
    <w:rsid w:val="00B5235D"/>
    <w:rsid w:val="00B55791"/>
    <w:rsid w:val="00B55DF1"/>
    <w:rsid w:val="00B561CD"/>
    <w:rsid w:val="00B56DF8"/>
    <w:rsid w:val="00B62DED"/>
    <w:rsid w:val="00B65CAE"/>
    <w:rsid w:val="00B723C6"/>
    <w:rsid w:val="00B72FDC"/>
    <w:rsid w:val="00B732AE"/>
    <w:rsid w:val="00B73B5E"/>
    <w:rsid w:val="00B74F9B"/>
    <w:rsid w:val="00B93C3C"/>
    <w:rsid w:val="00B941C3"/>
    <w:rsid w:val="00B955CB"/>
    <w:rsid w:val="00B960F4"/>
    <w:rsid w:val="00B96365"/>
    <w:rsid w:val="00BA2619"/>
    <w:rsid w:val="00BA5B60"/>
    <w:rsid w:val="00BA69AA"/>
    <w:rsid w:val="00BC1841"/>
    <w:rsid w:val="00BC423C"/>
    <w:rsid w:val="00BC4AF8"/>
    <w:rsid w:val="00BC6A75"/>
    <w:rsid w:val="00BC7201"/>
    <w:rsid w:val="00BD1739"/>
    <w:rsid w:val="00BD4D2D"/>
    <w:rsid w:val="00BE33CE"/>
    <w:rsid w:val="00BE55C5"/>
    <w:rsid w:val="00BE5D1B"/>
    <w:rsid w:val="00BE5E1E"/>
    <w:rsid w:val="00BE649C"/>
    <w:rsid w:val="00BE778C"/>
    <w:rsid w:val="00BF16E5"/>
    <w:rsid w:val="00BF2EAE"/>
    <w:rsid w:val="00BF4ADF"/>
    <w:rsid w:val="00BF6700"/>
    <w:rsid w:val="00C06732"/>
    <w:rsid w:val="00C103C3"/>
    <w:rsid w:val="00C10CF5"/>
    <w:rsid w:val="00C10E25"/>
    <w:rsid w:val="00C12A5E"/>
    <w:rsid w:val="00C14889"/>
    <w:rsid w:val="00C17095"/>
    <w:rsid w:val="00C20E8A"/>
    <w:rsid w:val="00C21B9E"/>
    <w:rsid w:val="00C22F01"/>
    <w:rsid w:val="00C23286"/>
    <w:rsid w:val="00C23DE7"/>
    <w:rsid w:val="00C2504B"/>
    <w:rsid w:val="00C27034"/>
    <w:rsid w:val="00C37D18"/>
    <w:rsid w:val="00C403E4"/>
    <w:rsid w:val="00C4163E"/>
    <w:rsid w:val="00C4205B"/>
    <w:rsid w:val="00C422F4"/>
    <w:rsid w:val="00C47D17"/>
    <w:rsid w:val="00C5286C"/>
    <w:rsid w:val="00C62083"/>
    <w:rsid w:val="00C67B72"/>
    <w:rsid w:val="00C72C3D"/>
    <w:rsid w:val="00C74EB0"/>
    <w:rsid w:val="00C8105A"/>
    <w:rsid w:val="00C83222"/>
    <w:rsid w:val="00C90AA4"/>
    <w:rsid w:val="00C947F8"/>
    <w:rsid w:val="00C95DC7"/>
    <w:rsid w:val="00CA37F5"/>
    <w:rsid w:val="00CA4456"/>
    <w:rsid w:val="00CA5374"/>
    <w:rsid w:val="00CA7210"/>
    <w:rsid w:val="00CB2137"/>
    <w:rsid w:val="00CB2987"/>
    <w:rsid w:val="00CB2AC5"/>
    <w:rsid w:val="00CB49BC"/>
    <w:rsid w:val="00CB736A"/>
    <w:rsid w:val="00CD0D6E"/>
    <w:rsid w:val="00CD1F81"/>
    <w:rsid w:val="00CE0684"/>
    <w:rsid w:val="00CE12B0"/>
    <w:rsid w:val="00CE1DA0"/>
    <w:rsid w:val="00CE3258"/>
    <w:rsid w:val="00CE47BC"/>
    <w:rsid w:val="00CE4F23"/>
    <w:rsid w:val="00CE5154"/>
    <w:rsid w:val="00CE5214"/>
    <w:rsid w:val="00CE56D8"/>
    <w:rsid w:val="00CF1387"/>
    <w:rsid w:val="00CF2ED2"/>
    <w:rsid w:val="00CF4016"/>
    <w:rsid w:val="00CF4BD4"/>
    <w:rsid w:val="00D02590"/>
    <w:rsid w:val="00D07699"/>
    <w:rsid w:val="00D07E9F"/>
    <w:rsid w:val="00D1535C"/>
    <w:rsid w:val="00D2000F"/>
    <w:rsid w:val="00D2196F"/>
    <w:rsid w:val="00D24387"/>
    <w:rsid w:val="00D26B02"/>
    <w:rsid w:val="00D26DEF"/>
    <w:rsid w:val="00D36051"/>
    <w:rsid w:val="00D4102C"/>
    <w:rsid w:val="00D412F5"/>
    <w:rsid w:val="00D44840"/>
    <w:rsid w:val="00D461BF"/>
    <w:rsid w:val="00D4621E"/>
    <w:rsid w:val="00D46C7B"/>
    <w:rsid w:val="00D55067"/>
    <w:rsid w:val="00D64AB8"/>
    <w:rsid w:val="00D66912"/>
    <w:rsid w:val="00D67F0B"/>
    <w:rsid w:val="00D70056"/>
    <w:rsid w:val="00D76079"/>
    <w:rsid w:val="00D83A7D"/>
    <w:rsid w:val="00D83ED9"/>
    <w:rsid w:val="00D923D1"/>
    <w:rsid w:val="00D9539D"/>
    <w:rsid w:val="00D97BFA"/>
    <w:rsid w:val="00DA0223"/>
    <w:rsid w:val="00DA2215"/>
    <w:rsid w:val="00DA5BDA"/>
    <w:rsid w:val="00DB115C"/>
    <w:rsid w:val="00DB21A3"/>
    <w:rsid w:val="00DB284A"/>
    <w:rsid w:val="00DB2EDF"/>
    <w:rsid w:val="00DB3579"/>
    <w:rsid w:val="00DB3F7C"/>
    <w:rsid w:val="00DC1F07"/>
    <w:rsid w:val="00DC4041"/>
    <w:rsid w:val="00DD13CF"/>
    <w:rsid w:val="00DD2B5C"/>
    <w:rsid w:val="00DD765A"/>
    <w:rsid w:val="00DD7760"/>
    <w:rsid w:val="00DE03DE"/>
    <w:rsid w:val="00DE0901"/>
    <w:rsid w:val="00DE1DAB"/>
    <w:rsid w:val="00DE2865"/>
    <w:rsid w:val="00DE620A"/>
    <w:rsid w:val="00DE6F70"/>
    <w:rsid w:val="00DE7FE7"/>
    <w:rsid w:val="00DF3DB6"/>
    <w:rsid w:val="00DF403F"/>
    <w:rsid w:val="00DF5128"/>
    <w:rsid w:val="00E01BBA"/>
    <w:rsid w:val="00E01DF5"/>
    <w:rsid w:val="00E045D1"/>
    <w:rsid w:val="00E06C12"/>
    <w:rsid w:val="00E07D39"/>
    <w:rsid w:val="00E21724"/>
    <w:rsid w:val="00E254B5"/>
    <w:rsid w:val="00E25D2C"/>
    <w:rsid w:val="00E3027E"/>
    <w:rsid w:val="00E319C5"/>
    <w:rsid w:val="00E33036"/>
    <w:rsid w:val="00E33503"/>
    <w:rsid w:val="00E33BE5"/>
    <w:rsid w:val="00E3420E"/>
    <w:rsid w:val="00E47FA2"/>
    <w:rsid w:val="00E55D3D"/>
    <w:rsid w:val="00E61D3E"/>
    <w:rsid w:val="00E62CAE"/>
    <w:rsid w:val="00E67F2A"/>
    <w:rsid w:val="00E70E7B"/>
    <w:rsid w:val="00E7224B"/>
    <w:rsid w:val="00E72967"/>
    <w:rsid w:val="00E74306"/>
    <w:rsid w:val="00E74912"/>
    <w:rsid w:val="00E8101C"/>
    <w:rsid w:val="00E83CA9"/>
    <w:rsid w:val="00E94AA7"/>
    <w:rsid w:val="00E958DB"/>
    <w:rsid w:val="00E95DB1"/>
    <w:rsid w:val="00E97DCF"/>
    <w:rsid w:val="00EA092C"/>
    <w:rsid w:val="00EA1AC4"/>
    <w:rsid w:val="00EA3F74"/>
    <w:rsid w:val="00EA641A"/>
    <w:rsid w:val="00EA6F52"/>
    <w:rsid w:val="00EB0137"/>
    <w:rsid w:val="00EB0741"/>
    <w:rsid w:val="00EB3705"/>
    <w:rsid w:val="00EB6E3A"/>
    <w:rsid w:val="00EB7A7C"/>
    <w:rsid w:val="00EC6A59"/>
    <w:rsid w:val="00EC7BC8"/>
    <w:rsid w:val="00ED11C7"/>
    <w:rsid w:val="00ED22D3"/>
    <w:rsid w:val="00ED77E7"/>
    <w:rsid w:val="00EE3390"/>
    <w:rsid w:val="00EE44B9"/>
    <w:rsid w:val="00EF0434"/>
    <w:rsid w:val="00EF24F2"/>
    <w:rsid w:val="00EF25DA"/>
    <w:rsid w:val="00F030FC"/>
    <w:rsid w:val="00F060B8"/>
    <w:rsid w:val="00F06152"/>
    <w:rsid w:val="00F07C60"/>
    <w:rsid w:val="00F1257A"/>
    <w:rsid w:val="00F1517C"/>
    <w:rsid w:val="00F157D8"/>
    <w:rsid w:val="00F258C4"/>
    <w:rsid w:val="00F2616F"/>
    <w:rsid w:val="00F36117"/>
    <w:rsid w:val="00F3673F"/>
    <w:rsid w:val="00F43A77"/>
    <w:rsid w:val="00F46C94"/>
    <w:rsid w:val="00F47235"/>
    <w:rsid w:val="00F51A01"/>
    <w:rsid w:val="00F544AD"/>
    <w:rsid w:val="00F55777"/>
    <w:rsid w:val="00F578F1"/>
    <w:rsid w:val="00F62FEC"/>
    <w:rsid w:val="00F63644"/>
    <w:rsid w:val="00F6532F"/>
    <w:rsid w:val="00F661CA"/>
    <w:rsid w:val="00F66BCC"/>
    <w:rsid w:val="00F721EA"/>
    <w:rsid w:val="00F77E9F"/>
    <w:rsid w:val="00F81761"/>
    <w:rsid w:val="00F82AA0"/>
    <w:rsid w:val="00F84873"/>
    <w:rsid w:val="00F86A81"/>
    <w:rsid w:val="00F871F9"/>
    <w:rsid w:val="00F90F69"/>
    <w:rsid w:val="00F9239F"/>
    <w:rsid w:val="00F93E90"/>
    <w:rsid w:val="00F94B1E"/>
    <w:rsid w:val="00F950B7"/>
    <w:rsid w:val="00F96DD3"/>
    <w:rsid w:val="00F97377"/>
    <w:rsid w:val="00F97C66"/>
    <w:rsid w:val="00FA39D8"/>
    <w:rsid w:val="00FA6368"/>
    <w:rsid w:val="00FA773D"/>
    <w:rsid w:val="00FB05D5"/>
    <w:rsid w:val="00FB08EA"/>
    <w:rsid w:val="00FB3B5C"/>
    <w:rsid w:val="00FC1CA2"/>
    <w:rsid w:val="00FC37CD"/>
    <w:rsid w:val="00FC3E1C"/>
    <w:rsid w:val="00FC402B"/>
    <w:rsid w:val="00FC4611"/>
    <w:rsid w:val="00FC553B"/>
    <w:rsid w:val="00FC7BCA"/>
    <w:rsid w:val="00FD194E"/>
    <w:rsid w:val="00FD77F7"/>
    <w:rsid w:val="00FE3FE6"/>
    <w:rsid w:val="00FF5132"/>
    <w:rsid w:val="00FF5D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colormru v:ext="edit" colors="#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7BC"/>
    <w:pPr>
      <w:widowControl w:val="0"/>
      <w:overflowPunct w:val="0"/>
      <w:autoSpaceDE w:val="0"/>
      <w:autoSpaceDN w:val="0"/>
      <w:adjustRightInd w:val="0"/>
      <w:textAlignment w:val="baseline"/>
    </w:pPr>
  </w:style>
  <w:style w:type="paragraph" w:styleId="Heading1">
    <w:name w:val="heading 1"/>
    <w:basedOn w:val="Normal"/>
    <w:next w:val="Normal"/>
    <w:qFormat/>
    <w:rsid w:val="00CE47BC"/>
    <w:pPr>
      <w:keepNext/>
      <w:spacing w:before="240" w:after="60" w:line="360" w:lineRule="auto"/>
      <w:outlineLvl w:val="0"/>
    </w:pPr>
    <w:rPr>
      <w:b/>
      <w:kern w:val="28"/>
      <w:sz w:val="28"/>
    </w:rPr>
  </w:style>
  <w:style w:type="paragraph" w:styleId="Heading2">
    <w:name w:val="heading 2"/>
    <w:basedOn w:val="Normal"/>
    <w:next w:val="Normal"/>
    <w:qFormat/>
    <w:rsid w:val="00CE47BC"/>
    <w:pPr>
      <w:keepNext/>
      <w:spacing w:before="240" w:after="60"/>
      <w:outlineLvl w:val="1"/>
    </w:pPr>
    <w:rPr>
      <w:b/>
      <w:sz w:val="24"/>
    </w:rPr>
  </w:style>
  <w:style w:type="paragraph" w:styleId="Heading3">
    <w:name w:val="heading 3"/>
    <w:basedOn w:val="Normal"/>
    <w:next w:val="Normal"/>
    <w:qFormat/>
    <w:rsid w:val="00CE47BC"/>
    <w:pPr>
      <w:keepNext/>
      <w:spacing w:before="240" w:after="60"/>
      <w:outlineLvl w:val="2"/>
    </w:pPr>
    <w:rPr>
      <w:rFonts w:ascii="Arial" w:hAnsi="Arial"/>
      <w:sz w:val="24"/>
    </w:rPr>
  </w:style>
  <w:style w:type="paragraph" w:styleId="Heading4">
    <w:name w:val="heading 4"/>
    <w:basedOn w:val="Normal"/>
    <w:next w:val="Normal"/>
    <w:qFormat/>
    <w:rsid w:val="00CE47BC"/>
    <w:pPr>
      <w:keepNext/>
      <w:widowControl/>
      <w:ind w:left="720"/>
      <w:jc w:val="both"/>
      <w:outlineLvl w:val="3"/>
    </w:pPr>
    <w:rPr>
      <w:b/>
      <w:sz w:val="24"/>
    </w:rPr>
  </w:style>
  <w:style w:type="paragraph" w:styleId="Heading5">
    <w:name w:val="heading 5"/>
    <w:basedOn w:val="Normal"/>
    <w:next w:val="Normal"/>
    <w:qFormat/>
    <w:rsid w:val="00CE47BC"/>
    <w:pPr>
      <w:keepNext/>
      <w:jc w:val="right"/>
      <w:outlineLvl w:val="4"/>
    </w:pPr>
    <w:rPr>
      <w:b/>
      <w:sz w:val="18"/>
    </w:rPr>
  </w:style>
  <w:style w:type="paragraph" w:styleId="Heading6">
    <w:name w:val="heading 6"/>
    <w:basedOn w:val="Normal"/>
    <w:next w:val="Normal"/>
    <w:qFormat/>
    <w:rsid w:val="00CE47BC"/>
    <w:pPr>
      <w:keepNext/>
      <w:ind w:left="270" w:hanging="270"/>
      <w:outlineLvl w:val="5"/>
    </w:pPr>
    <w:rPr>
      <w:rFonts w:ascii="Times-Bold" w:hAnsi="Times-Bold"/>
      <w:b/>
      <w:color w:val="000000"/>
      <w:sz w:val="22"/>
    </w:rPr>
  </w:style>
  <w:style w:type="paragraph" w:styleId="Heading7">
    <w:name w:val="heading 7"/>
    <w:basedOn w:val="Normal"/>
    <w:next w:val="Normal"/>
    <w:qFormat/>
    <w:rsid w:val="00CE47BC"/>
    <w:pPr>
      <w:keepNext/>
      <w:ind w:left="270" w:hanging="270"/>
      <w:jc w:val="center"/>
      <w:outlineLvl w:val="6"/>
    </w:pPr>
    <w:rPr>
      <w:rFonts w:ascii="Times-Roman" w:hAnsi="Times-Roman"/>
      <w:color w:val="000000"/>
      <w:sz w:val="32"/>
    </w:rPr>
  </w:style>
  <w:style w:type="paragraph" w:styleId="Heading8">
    <w:name w:val="heading 8"/>
    <w:basedOn w:val="Normal"/>
    <w:next w:val="Normal"/>
    <w:qFormat/>
    <w:rsid w:val="00CE47BC"/>
    <w:pPr>
      <w:keepNext/>
      <w:widowControl/>
      <w:jc w:val="center"/>
      <w:outlineLvl w:val="7"/>
    </w:pPr>
    <w:rPr>
      <w:b/>
      <w:sz w:val="18"/>
    </w:rPr>
  </w:style>
  <w:style w:type="paragraph" w:styleId="Heading9">
    <w:name w:val="heading 9"/>
    <w:basedOn w:val="Normal"/>
    <w:next w:val="Normal"/>
    <w:qFormat/>
    <w:rsid w:val="00CE47BC"/>
    <w:pPr>
      <w:keepNext/>
      <w:widowControl/>
      <w:jc w:val="center"/>
      <w:outlineLvl w:val="8"/>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E47BC"/>
    <w:pPr>
      <w:tabs>
        <w:tab w:val="center" w:pos="4320"/>
        <w:tab w:val="right" w:pos="8640"/>
      </w:tabs>
    </w:pPr>
  </w:style>
  <w:style w:type="paragraph" w:styleId="Footer">
    <w:name w:val="footer"/>
    <w:basedOn w:val="Normal"/>
    <w:link w:val="FooterChar"/>
    <w:uiPriority w:val="99"/>
    <w:rsid w:val="00CE47BC"/>
    <w:pPr>
      <w:tabs>
        <w:tab w:val="center" w:pos="4320"/>
        <w:tab w:val="right" w:pos="8640"/>
      </w:tabs>
    </w:pPr>
  </w:style>
  <w:style w:type="character" w:styleId="PageNumber">
    <w:name w:val="page number"/>
    <w:basedOn w:val="DefaultParagraphFont"/>
    <w:semiHidden/>
    <w:rsid w:val="00CE47BC"/>
    <w:rPr>
      <w:sz w:val="20"/>
    </w:rPr>
  </w:style>
  <w:style w:type="paragraph" w:styleId="TOC1">
    <w:name w:val="toc 1"/>
    <w:basedOn w:val="Normal"/>
    <w:next w:val="Normal"/>
    <w:uiPriority w:val="39"/>
    <w:rsid w:val="00CE47BC"/>
    <w:pPr>
      <w:tabs>
        <w:tab w:val="right" w:leader="dot" w:pos="9360"/>
      </w:tabs>
      <w:spacing w:before="120" w:after="120"/>
    </w:pPr>
    <w:rPr>
      <w:b/>
      <w:caps/>
    </w:rPr>
  </w:style>
  <w:style w:type="paragraph" w:styleId="TOC2">
    <w:name w:val="toc 2"/>
    <w:basedOn w:val="Normal"/>
    <w:next w:val="Normal"/>
    <w:uiPriority w:val="39"/>
    <w:rsid w:val="00CE47BC"/>
    <w:pPr>
      <w:tabs>
        <w:tab w:val="right" w:leader="dot" w:pos="9360"/>
      </w:tabs>
      <w:ind w:left="200"/>
    </w:pPr>
    <w:rPr>
      <w:smallCaps/>
    </w:rPr>
  </w:style>
  <w:style w:type="paragraph" w:styleId="TOC3">
    <w:name w:val="toc 3"/>
    <w:basedOn w:val="Normal"/>
    <w:next w:val="Normal"/>
    <w:semiHidden/>
    <w:rsid w:val="00CE47BC"/>
    <w:pPr>
      <w:tabs>
        <w:tab w:val="right" w:leader="dot" w:pos="9360"/>
      </w:tabs>
      <w:ind w:left="400"/>
    </w:pPr>
    <w:rPr>
      <w:i/>
    </w:rPr>
  </w:style>
  <w:style w:type="paragraph" w:styleId="TOC4">
    <w:name w:val="toc 4"/>
    <w:basedOn w:val="Normal"/>
    <w:next w:val="Normal"/>
    <w:semiHidden/>
    <w:rsid w:val="00CE47BC"/>
    <w:pPr>
      <w:tabs>
        <w:tab w:val="right" w:leader="dot" w:pos="9360"/>
      </w:tabs>
      <w:ind w:left="600"/>
    </w:pPr>
    <w:rPr>
      <w:sz w:val="18"/>
    </w:rPr>
  </w:style>
  <w:style w:type="paragraph" w:styleId="TOC5">
    <w:name w:val="toc 5"/>
    <w:basedOn w:val="Normal"/>
    <w:next w:val="Normal"/>
    <w:semiHidden/>
    <w:rsid w:val="00CE47BC"/>
    <w:pPr>
      <w:tabs>
        <w:tab w:val="right" w:leader="dot" w:pos="9360"/>
      </w:tabs>
      <w:ind w:left="800"/>
    </w:pPr>
    <w:rPr>
      <w:sz w:val="18"/>
    </w:rPr>
  </w:style>
  <w:style w:type="paragraph" w:styleId="TOC6">
    <w:name w:val="toc 6"/>
    <w:basedOn w:val="Normal"/>
    <w:next w:val="Normal"/>
    <w:semiHidden/>
    <w:rsid w:val="00CE47BC"/>
    <w:pPr>
      <w:tabs>
        <w:tab w:val="right" w:leader="dot" w:pos="9360"/>
      </w:tabs>
      <w:ind w:left="1000"/>
    </w:pPr>
    <w:rPr>
      <w:sz w:val="18"/>
    </w:rPr>
  </w:style>
  <w:style w:type="paragraph" w:styleId="TOC7">
    <w:name w:val="toc 7"/>
    <w:basedOn w:val="Normal"/>
    <w:next w:val="Normal"/>
    <w:semiHidden/>
    <w:rsid w:val="00CE47BC"/>
    <w:pPr>
      <w:tabs>
        <w:tab w:val="right" w:leader="dot" w:pos="9360"/>
      </w:tabs>
      <w:ind w:left="1200"/>
    </w:pPr>
    <w:rPr>
      <w:sz w:val="18"/>
    </w:rPr>
  </w:style>
  <w:style w:type="paragraph" w:styleId="TOC8">
    <w:name w:val="toc 8"/>
    <w:basedOn w:val="Normal"/>
    <w:next w:val="Normal"/>
    <w:semiHidden/>
    <w:rsid w:val="00CE47BC"/>
    <w:pPr>
      <w:tabs>
        <w:tab w:val="right" w:leader="dot" w:pos="9360"/>
      </w:tabs>
      <w:ind w:left="1400"/>
    </w:pPr>
    <w:rPr>
      <w:sz w:val="18"/>
    </w:rPr>
  </w:style>
  <w:style w:type="paragraph" w:styleId="TOC9">
    <w:name w:val="toc 9"/>
    <w:basedOn w:val="Normal"/>
    <w:next w:val="Normal"/>
    <w:semiHidden/>
    <w:rsid w:val="00CE47BC"/>
    <w:pPr>
      <w:tabs>
        <w:tab w:val="right" w:leader="dot" w:pos="9360"/>
      </w:tabs>
      <w:ind w:left="1600"/>
    </w:pPr>
    <w:rPr>
      <w:sz w:val="18"/>
    </w:rPr>
  </w:style>
  <w:style w:type="paragraph" w:styleId="FootnoteText">
    <w:name w:val="footnote text"/>
    <w:basedOn w:val="Normal"/>
    <w:semiHidden/>
    <w:rsid w:val="00CE47BC"/>
  </w:style>
  <w:style w:type="character" w:styleId="FootnoteReference">
    <w:name w:val="footnote reference"/>
    <w:basedOn w:val="DefaultParagraphFont"/>
    <w:semiHidden/>
    <w:rsid w:val="00CE47BC"/>
    <w:rPr>
      <w:sz w:val="20"/>
      <w:vertAlign w:val="superscript"/>
    </w:rPr>
  </w:style>
  <w:style w:type="paragraph" w:styleId="EndnoteText">
    <w:name w:val="endnote text"/>
    <w:basedOn w:val="Normal"/>
    <w:semiHidden/>
    <w:rsid w:val="00CE47BC"/>
  </w:style>
  <w:style w:type="character" w:styleId="EndnoteReference">
    <w:name w:val="endnote reference"/>
    <w:basedOn w:val="DefaultParagraphFont"/>
    <w:semiHidden/>
    <w:rsid w:val="00CE47BC"/>
    <w:rPr>
      <w:sz w:val="20"/>
      <w:vertAlign w:val="superscript"/>
    </w:rPr>
  </w:style>
  <w:style w:type="paragraph" w:styleId="Salutation">
    <w:name w:val="Salutation"/>
    <w:basedOn w:val="Normal"/>
    <w:semiHidden/>
    <w:rsid w:val="00CE47BC"/>
  </w:style>
  <w:style w:type="paragraph" w:styleId="ListBullet">
    <w:name w:val="List Bullet"/>
    <w:basedOn w:val="Normal"/>
    <w:semiHidden/>
    <w:rsid w:val="00CE47BC"/>
    <w:pPr>
      <w:ind w:left="360" w:hanging="360"/>
    </w:pPr>
  </w:style>
  <w:style w:type="paragraph" w:styleId="BodyText">
    <w:name w:val="Body Text"/>
    <w:aliases w:val="bt,BT,vv"/>
    <w:basedOn w:val="Normal"/>
    <w:semiHidden/>
    <w:rsid w:val="00CE47BC"/>
    <w:pPr>
      <w:spacing w:after="120"/>
    </w:pPr>
  </w:style>
  <w:style w:type="paragraph" w:styleId="BodyText2">
    <w:name w:val="Body Text 2"/>
    <w:basedOn w:val="Normal"/>
    <w:semiHidden/>
    <w:rsid w:val="00CE47BC"/>
    <w:pPr>
      <w:ind w:left="1440"/>
      <w:jc w:val="both"/>
    </w:pPr>
    <w:rPr>
      <w:sz w:val="24"/>
    </w:rPr>
  </w:style>
  <w:style w:type="paragraph" w:styleId="DocumentMap">
    <w:name w:val="Document Map"/>
    <w:basedOn w:val="Normal"/>
    <w:semiHidden/>
    <w:rsid w:val="00CE47BC"/>
    <w:pPr>
      <w:shd w:val="clear" w:color="auto" w:fill="000080"/>
    </w:pPr>
    <w:rPr>
      <w:rFonts w:ascii="Tahoma" w:hAnsi="Tahoma"/>
    </w:rPr>
  </w:style>
  <w:style w:type="paragraph" w:styleId="Caption">
    <w:name w:val="caption"/>
    <w:basedOn w:val="Normal"/>
    <w:next w:val="Normal"/>
    <w:qFormat/>
    <w:rsid w:val="00CE47BC"/>
    <w:pPr>
      <w:spacing w:before="120" w:after="120"/>
    </w:pPr>
    <w:rPr>
      <w:b/>
    </w:rPr>
  </w:style>
  <w:style w:type="paragraph" w:styleId="BodyText3">
    <w:name w:val="Body Text 3"/>
    <w:basedOn w:val="Normal"/>
    <w:semiHidden/>
    <w:rsid w:val="00CE47BC"/>
    <w:pPr>
      <w:widowControl/>
    </w:pPr>
    <w:rPr>
      <w:sz w:val="24"/>
    </w:rPr>
  </w:style>
  <w:style w:type="paragraph" w:styleId="BodyTextIndent2">
    <w:name w:val="Body Text Indent 2"/>
    <w:basedOn w:val="Normal"/>
    <w:semiHidden/>
    <w:rsid w:val="00CE47BC"/>
    <w:pPr>
      <w:ind w:left="1440"/>
    </w:pPr>
    <w:rPr>
      <w:sz w:val="24"/>
    </w:rPr>
  </w:style>
  <w:style w:type="character" w:styleId="Hyperlink">
    <w:name w:val="Hyperlink"/>
    <w:basedOn w:val="DefaultParagraphFont"/>
    <w:semiHidden/>
    <w:rsid w:val="00CE47BC"/>
    <w:rPr>
      <w:color w:val="0000FF"/>
      <w:u w:val="single"/>
    </w:rPr>
  </w:style>
  <w:style w:type="paragraph" w:styleId="ListBullet2">
    <w:name w:val="List Bullet 2"/>
    <w:basedOn w:val="ListBullet"/>
    <w:autoRedefine/>
    <w:semiHidden/>
    <w:rsid w:val="00CE47BC"/>
    <w:pPr>
      <w:widowControl/>
      <w:overflowPunct/>
      <w:autoSpaceDE/>
      <w:autoSpaceDN/>
      <w:adjustRightInd/>
      <w:spacing w:after="240" w:line="240" w:lineRule="atLeast"/>
      <w:ind w:left="1800"/>
      <w:textAlignment w:val="auto"/>
    </w:pPr>
    <w:rPr>
      <w:rFonts w:ascii="Arial" w:hAnsi="Arial"/>
      <w:spacing w:val="-5"/>
      <w:sz w:val="22"/>
    </w:rPr>
  </w:style>
  <w:style w:type="paragraph" w:styleId="BodyTextIndent">
    <w:name w:val="Body Text Indent"/>
    <w:basedOn w:val="Normal"/>
    <w:semiHidden/>
    <w:rsid w:val="00CE47BC"/>
    <w:pPr>
      <w:widowControl/>
      <w:ind w:left="1440"/>
    </w:pPr>
  </w:style>
  <w:style w:type="paragraph" w:styleId="BodyTextIndent3">
    <w:name w:val="Body Text Indent 3"/>
    <w:basedOn w:val="Normal"/>
    <w:semiHidden/>
    <w:rsid w:val="00CE47BC"/>
    <w:pPr>
      <w:widowControl/>
      <w:ind w:left="1440"/>
      <w:jc w:val="both"/>
    </w:pPr>
    <w:rPr>
      <w:sz w:val="24"/>
    </w:rPr>
  </w:style>
  <w:style w:type="character" w:styleId="FollowedHyperlink">
    <w:name w:val="FollowedHyperlink"/>
    <w:basedOn w:val="DefaultParagraphFont"/>
    <w:semiHidden/>
    <w:rsid w:val="00CE47BC"/>
    <w:rPr>
      <w:color w:val="800080"/>
      <w:u w:val="single"/>
    </w:rPr>
  </w:style>
  <w:style w:type="paragraph" w:customStyle="1" w:styleId="tahoma">
    <w:name w:val="tahoma"/>
    <w:basedOn w:val="Normal"/>
    <w:rsid w:val="00CE47BC"/>
    <w:pPr>
      <w:widowControl/>
      <w:overflowPunct/>
      <w:autoSpaceDE/>
      <w:autoSpaceDN/>
      <w:adjustRightInd/>
      <w:textAlignment w:val="auto"/>
    </w:pPr>
    <w:rPr>
      <w:sz w:val="24"/>
      <w:szCs w:val="24"/>
    </w:rPr>
  </w:style>
  <w:style w:type="paragraph" w:customStyle="1" w:styleId="section1">
    <w:name w:val="section1"/>
    <w:rsid w:val="00CE47BC"/>
    <w:pPr>
      <w:widowControl w:val="0"/>
      <w:overflowPunct w:val="0"/>
      <w:autoSpaceDE w:val="0"/>
      <w:autoSpaceDN w:val="0"/>
      <w:adjustRightInd w:val="0"/>
      <w:spacing w:after="120"/>
      <w:textAlignment w:val="baseline"/>
    </w:pPr>
    <w:rPr>
      <w:b/>
      <w:sz w:val="24"/>
      <w:u w:val="single"/>
    </w:rPr>
  </w:style>
  <w:style w:type="paragraph" w:styleId="BalloonText">
    <w:name w:val="Balloon Text"/>
    <w:basedOn w:val="Normal"/>
    <w:semiHidden/>
    <w:rsid w:val="00CE47BC"/>
    <w:rPr>
      <w:rFonts w:ascii="Tahoma" w:hAnsi="Tahoma" w:cs="Tahoma"/>
      <w:sz w:val="16"/>
      <w:szCs w:val="16"/>
    </w:rPr>
  </w:style>
  <w:style w:type="paragraph" w:customStyle="1" w:styleId="xl24">
    <w:name w:val="xl24"/>
    <w:basedOn w:val="Normal"/>
    <w:rsid w:val="00CE47B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eastAsia="Arial Unicode MS" w:hAnsi="Arial" w:cs="Arial"/>
      <w:sz w:val="24"/>
      <w:szCs w:val="24"/>
    </w:rPr>
  </w:style>
  <w:style w:type="paragraph" w:customStyle="1" w:styleId="xl25">
    <w:name w:val="xl25"/>
    <w:basedOn w:val="Normal"/>
    <w:rsid w:val="00CE47B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24"/>
      <w:szCs w:val="24"/>
    </w:rPr>
  </w:style>
  <w:style w:type="paragraph" w:customStyle="1" w:styleId="xl26">
    <w:name w:val="xl26"/>
    <w:basedOn w:val="Normal"/>
    <w:rsid w:val="00CE47B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7">
    <w:name w:val="xl27"/>
    <w:basedOn w:val="Normal"/>
    <w:rsid w:val="00CE47B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customStyle="1" w:styleId="xl28">
    <w:name w:val="xl28"/>
    <w:basedOn w:val="Normal"/>
    <w:rsid w:val="00CE47B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customStyle="1" w:styleId="xl29">
    <w:name w:val="xl29"/>
    <w:basedOn w:val="Normal"/>
    <w:rsid w:val="00CE47B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30">
    <w:name w:val="xl30"/>
    <w:basedOn w:val="Normal"/>
    <w:rsid w:val="00CE47B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31">
    <w:name w:val="xl31"/>
    <w:basedOn w:val="Normal"/>
    <w:rsid w:val="00CE47B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24"/>
      <w:szCs w:val="24"/>
    </w:rPr>
  </w:style>
  <w:style w:type="paragraph" w:customStyle="1" w:styleId="xl32">
    <w:name w:val="xl32"/>
    <w:basedOn w:val="Normal"/>
    <w:rsid w:val="00CE47B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33">
    <w:name w:val="xl33"/>
    <w:basedOn w:val="Normal"/>
    <w:rsid w:val="00CE47B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customStyle="1" w:styleId="xl34">
    <w:name w:val="xl34"/>
    <w:basedOn w:val="Normal"/>
    <w:rsid w:val="00CE47B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35">
    <w:name w:val="xl35"/>
    <w:basedOn w:val="Normal"/>
    <w:rsid w:val="00CE47BC"/>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customStyle="1" w:styleId="Default">
    <w:name w:val="Default"/>
    <w:rsid w:val="00CE47BC"/>
    <w:pPr>
      <w:autoSpaceDE w:val="0"/>
      <w:autoSpaceDN w:val="0"/>
      <w:adjustRightInd w:val="0"/>
    </w:pPr>
    <w:rPr>
      <w:color w:val="000000"/>
      <w:sz w:val="24"/>
      <w:szCs w:val="24"/>
    </w:rPr>
  </w:style>
  <w:style w:type="character" w:styleId="CommentReference">
    <w:name w:val="annotation reference"/>
    <w:basedOn w:val="DefaultParagraphFont"/>
    <w:semiHidden/>
    <w:rsid w:val="00CE47BC"/>
    <w:rPr>
      <w:sz w:val="16"/>
      <w:szCs w:val="16"/>
    </w:rPr>
  </w:style>
  <w:style w:type="paragraph" w:styleId="CommentText">
    <w:name w:val="annotation text"/>
    <w:basedOn w:val="Normal"/>
    <w:semiHidden/>
    <w:rsid w:val="00CE47BC"/>
  </w:style>
  <w:style w:type="paragraph" w:styleId="CommentSubject">
    <w:name w:val="annotation subject"/>
    <w:basedOn w:val="CommentText"/>
    <w:next w:val="CommentText"/>
    <w:semiHidden/>
    <w:rsid w:val="00CE47BC"/>
    <w:rPr>
      <w:b/>
      <w:bCs/>
    </w:rPr>
  </w:style>
  <w:style w:type="paragraph" w:styleId="Index5">
    <w:name w:val="index 5"/>
    <w:basedOn w:val="Normal"/>
    <w:next w:val="Normal"/>
    <w:autoRedefine/>
    <w:semiHidden/>
    <w:rsid w:val="00CE47BC"/>
    <w:pPr>
      <w:widowControl/>
      <w:ind w:left="1000" w:hanging="200"/>
    </w:pPr>
  </w:style>
  <w:style w:type="paragraph" w:styleId="PlainText">
    <w:name w:val="Plain Text"/>
    <w:basedOn w:val="Normal"/>
    <w:semiHidden/>
    <w:rsid w:val="00CE47BC"/>
    <w:rPr>
      <w:rFonts w:ascii="Courier New" w:hAnsi="Courier New"/>
    </w:rPr>
  </w:style>
  <w:style w:type="character" w:customStyle="1" w:styleId="FooterChar">
    <w:name w:val="Footer Char"/>
    <w:basedOn w:val="DefaultParagraphFont"/>
    <w:link w:val="Footer"/>
    <w:uiPriority w:val="99"/>
    <w:rsid w:val="00744AD6"/>
  </w:style>
  <w:style w:type="paragraph" w:styleId="NormalWeb">
    <w:name w:val="Normal (Web)"/>
    <w:basedOn w:val="Normal"/>
    <w:uiPriority w:val="99"/>
    <w:semiHidden/>
    <w:unhideWhenUsed/>
    <w:rsid w:val="002F2661"/>
    <w:pPr>
      <w:widowControl/>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39785781">
      <w:bodyDiv w:val="1"/>
      <w:marLeft w:val="0"/>
      <w:marRight w:val="0"/>
      <w:marTop w:val="0"/>
      <w:marBottom w:val="0"/>
      <w:divBdr>
        <w:top w:val="none" w:sz="0" w:space="0" w:color="auto"/>
        <w:left w:val="none" w:sz="0" w:space="0" w:color="auto"/>
        <w:bottom w:val="none" w:sz="0" w:space="0" w:color="auto"/>
        <w:right w:val="none" w:sz="0" w:space="0" w:color="auto"/>
      </w:divBdr>
    </w:div>
    <w:div w:id="194193192">
      <w:bodyDiv w:val="1"/>
      <w:marLeft w:val="0"/>
      <w:marRight w:val="0"/>
      <w:marTop w:val="0"/>
      <w:marBottom w:val="0"/>
      <w:divBdr>
        <w:top w:val="none" w:sz="0" w:space="0" w:color="auto"/>
        <w:left w:val="none" w:sz="0" w:space="0" w:color="auto"/>
        <w:bottom w:val="none" w:sz="0" w:space="0" w:color="auto"/>
        <w:right w:val="none" w:sz="0" w:space="0" w:color="auto"/>
      </w:divBdr>
    </w:div>
    <w:div w:id="206719595">
      <w:bodyDiv w:val="1"/>
      <w:marLeft w:val="0"/>
      <w:marRight w:val="0"/>
      <w:marTop w:val="0"/>
      <w:marBottom w:val="0"/>
      <w:divBdr>
        <w:top w:val="none" w:sz="0" w:space="0" w:color="auto"/>
        <w:left w:val="none" w:sz="0" w:space="0" w:color="auto"/>
        <w:bottom w:val="none" w:sz="0" w:space="0" w:color="auto"/>
        <w:right w:val="none" w:sz="0" w:space="0" w:color="auto"/>
      </w:divBdr>
    </w:div>
    <w:div w:id="225070778">
      <w:bodyDiv w:val="1"/>
      <w:marLeft w:val="0"/>
      <w:marRight w:val="0"/>
      <w:marTop w:val="0"/>
      <w:marBottom w:val="0"/>
      <w:divBdr>
        <w:top w:val="none" w:sz="0" w:space="0" w:color="auto"/>
        <w:left w:val="none" w:sz="0" w:space="0" w:color="auto"/>
        <w:bottom w:val="none" w:sz="0" w:space="0" w:color="auto"/>
        <w:right w:val="none" w:sz="0" w:space="0" w:color="auto"/>
      </w:divBdr>
    </w:div>
    <w:div w:id="473179244">
      <w:bodyDiv w:val="1"/>
      <w:marLeft w:val="0"/>
      <w:marRight w:val="0"/>
      <w:marTop w:val="0"/>
      <w:marBottom w:val="0"/>
      <w:divBdr>
        <w:top w:val="none" w:sz="0" w:space="0" w:color="auto"/>
        <w:left w:val="none" w:sz="0" w:space="0" w:color="auto"/>
        <w:bottom w:val="none" w:sz="0" w:space="0" w:color="auto"/>
        <w:right w:val="none" w:sz="0" w:space="0" w:color="auto"/>
      </w:divBdr>
    </w:div>
    <w:div w:id="498429893">
      <w:bodyDiv w:val="1"/>
      <w:marLeft w:val="0"/>
      <w:marRight w:val="0"/>
      <w:marTop w:val="0"/>
      <w:marBottom w:val="0"/>
      <w:divBdr>
        <w:top w:val="none" w:sz="0" w:space="0" w:color="auto"/>
        <w:left w:val="none" w:sz="0" w:space="0" w:color="auto"/>
        <w:bottom w:val="none" w:sz="0" w:space="0" w:color="auto"/>
        <w:right w:val="none" w:sz="0" w:space="0" w:color="auto"/>
      </w:divBdr>
    </w:div>
    <w:div w:id="682125302">
      <w:bodyDiv w:val="1"/>
      <w:marLeft w:val="0"/>
      <w:marRight w:val="0"/>
      <w:marTop w:val="0"/>
      <w:marBottom w:val="0"/>
      <w:divBdr>
        <w:top w:val="none" w:sz="0" w:space="0" w:color="auto"/>
        <w:left w:val="none" w:sz="0" w:space="0" w:color="auto"/>
        <w:bottom w:val="none" w:sz="0" w:space="0" w:color="auto"/>
        <w:right w:val="none" w:sz="0" w:space="0" w:color="auto"/>
      </w:divBdr>
    </w:div>
    <w:div w:id="898981125">
      <w:bodyDiv w:val="1"/>
      <w:marLeft w:val="0"/>
      <w:marRight w:val="0"/>
      <w:marTop w:val="0"/>
      <w:marBottom w:val="0"/>
      <w:divBdr>
        <w:top w:val="none" w:sz="0" w:space="0" w:color="auto"/>
        <w:left w:val="none" w:sz="0" w:space="0" w:color="auto"/>
        <w:bottom w:val="none" w:sz="0" w:space="0" w:color="auto"/>
        <w:right w:val="none" w:sz="0" w:space="0" w:color="auto"/>
      </w:divBdr>
    </w:div>
    <w:div w:id="915824116">
      <w:bodyDiv w:val="1"/>
      <w:marLeft w:val="0"/>
      <w:marRight w:val="0"/>
      <w:marTop w:val="0"/>
      <w:marBottom w:val="0"/>
      <w:divBdr>
        <w:top w:val="none" w:sz="0" w:space="0" w:color="auto"/>
        <w:left w:val="none" w:sz="0" w:space="0" w:color="auto"/>
        <w:bottom w:val="none" w:sz="0" w:space="0" w:color="auto"/>
        <w:right w:val="none" w:sz="0" w:space="0" w:color="auto"/>
      </w:divBdr>
    </w:div>
    <w:div w:id="1112212184">
      <w:bodyDiv w:val="1"/>
      <w:marLeft w:val="0"/>
      <w:marRight w:val="0"/>
      <w:marTop w:val="0"/>
      <w:marBottom w:val="0"/>
      <w:divBdr>
        <w:top w:val="none" w:sz="0" w:space="0" w:color="auto"/>
        <w:left w:val="none" w:sz="0" w:space="0" w:color="auto"/>
        <w:bottom w:val="none" w:sz="0" w:space="0" w:color="auto"/>
        <w:right w:val="none" w:sz="0" w:space="0" w:color="auto"/>
      </w:divBdr>
    </w:div>
    <w:div w:id="1149636056">
      <w:bodyDiv w:val="1"/>
      <w:marLeft w:val="0"/>
      <w:marRight w:val="0"/>
      <w:marTop w:val="0"/>
      <w:marBottom w:val="0"/>
      <w:divBdr>
        <w:top w:val="none" w:sz="0" w:space="0" w:color="auto"/>
        <w:left w:val="none" w:sz="0" w:space="0" w:color="auto"/>
        <w:bottom w:val="none" w:sz="0" w:space="0" w:color="auto"/>
        <w:right w:val="none" w:sz="0" w:space="0" w:color="auto"/>
      </w:divBdr>
    </w:div>
    <w:div w:id="1215385369">
      <w:bodyDiv w:val="1"/>
      <w:marLeft w:val="0"/>
      <w:marRight w:val="0"/>
      <w:marTop w:val="0"/>
      <w:marBottom w:val="0"/>
      <w:divBdr>
        <w:top w:val="none" w:sz="0" w:space="0" w:color="auto"/>
        <w:left w:val="none" w:sz="0" w:space="0" w:color="auto"/>
        <w:bottom w:val="none" w:sz="0" w:space="0" w:color="auto"/>
        <w:right w:val="none" w:sz="0" w:space="0" w:color="auto"/>
      </w:divBdr>
    </w:div>
    <w:div w:id="1253973703">
      <w:bodyDiv w:val="1"/>
      <w:marLeft w:val="0"/>
      <w:marRight w:val="0"/>
      <w:marTop w:val="0"/>
      <w:marBottom w:val="0"/>
      <w:divBdr>
        <w:top w:val="none" w:sz="0" w:space="0" w:color="auto"/>
        <w:left w:val="none" w:sz="0" w:space="0" w:color="auto"/>
        <w:bottom w:val="none" w:sz="0" w:space="0" w:color="auto"/>
        <w:right w:val="none" w:sz="0" w:space="0" w:color="auto"/>
      </w:divBdr>
    </w:div>
    <w:div w:id="1257010009">
      <w:bodyDiv w:val="1"/>
      <w:marLeft w:val="0"/>
      <w:marRight w:val="0"/>
      <w:marTop w:val="0"/>
      <w:marBottom w:val="0"/>
      <w:divBdr>
        <w:top w:val="none" w:sz="0" w:space="0" w:color="auto"/>
        <w:left w:val="none" w:sz="0" w:space="0" w:color="auto"/>
        <w:bottom w:val="none" w:sz="0" w:space="0" w:color="auto"/>
        <w:right w:val="none" w:sz="0" w:space="0" w:color="auto"/>
      </w:divBdr>
    </w:div>
    <w:div w:id="1311642241">
      <w:bodyDiv w:val="1"/>
      <w:marLeft w:val="0"/>
      <w:marRight w:val="0"/>
      <w:marTop w:val="0"/>
      <w:marBottom w:val="0"/>
      <w:divBdr>
        <w:top w:val="none" w:sz="0" w:space="0" w:color="auto"/>
        <w:left w:val="none" w:sz="0" w:space="0" w:color="auto"/>
        <w:bottom w:val="none" w:sz="0" w:space="0" w:color="auto"/>
        <w:right w:val="none" w:sz="0" w:space="0" w:color="auto"/>
      </w:divBdr>
    </w:div>
    <w:div w:id="1316180654">
      <w:bodyDiv w:val="1"/>
      <w:marLeft w:val="0"/>
      <w:marRight w:val="0"/>
      <w:marTop w:val="0"/>
      <w:marBottom w:val="0"/>
      <w:divBdr>
        <w:top w:val="none" w:sz="0" w:space="0" w:color="auto"/>
        <w:left w:val="none" w:sz="0" w:space="0" w:color="auto"/>
        <w:bottom w:val="none" w:sz="0" w:space="0" w:color="auto"/>
        <w:right w:val="none" w:sz="0" w:space="0" w:color="auto"/>
      </w:divBdr>
    </w:div>
    <w:div w:id="1411734799">
      <w:bodyDiv w:val="1"/>
      <w:marLeft w:val="0"/>
      <w:marRight w:val="0"/>
      <w:marTop w:val="0"/>
      <w:marBottom w:val="0"/>
      <w:divBdr>
        <w:top w:val="none" w:sz="0" w:space="0" w:color="auto"/>
        <w:left w:val="none" w:sz="0" w:space="0" w:color="auto"/>
        <w:bottom w:val="none" w:sz="0" w:space="0" w:color="auto"/>
        <w:right w:val="none" w:sz="0" w:space="0" w:color="auto"/>
      </w:divBdr>
    </w:div>
    <w:div w:id="1516335524">
      <w:bodyDiv w:val="1"/>
      <w:marLeft w:val="0"/>
      <w:marRight w:val="0"/>
      <w:marTop w:val="0"/>
      <w:marBottom w:val="0"/>
      <w:divBdr>
        <w:top w:val="none" w:sz="0" w:space="0" w:color="auto"/>
        <w:left w:val="none" w:sz="0" w:space="0" w:color="auto"/>
        <w:bottom w:val="none" w:sz="0" w:space="0" w:color="auto"/>
        <w:right w:val="none" w:sz="0" w:space="0" w:color="auto"/>
      </w:divBdr>
    </w:div>
    <w:div w:id="1523668644">
      <w:bodyDiv w:val="1"/>
      <w:marLeft w:val="0"/>
      <w:marRight w:val="0"/>
      <w:marTop w:val="0"/>
      <w:marBottom w:val="0"/>
      <w:divBdr>
        <w:top w:val="none" w:sz="0" w:space="0" w:color="auto"/>
        <w:left w:val="none" w:sz="0" w:space="0" w:color="auto"/>
        <w:bottom w:val="none" w:sz="0" w:space="0" w:color="auto"/>
        <w:right w:val="none" w:sz="0" w:space="0" w:color="auto"/>
      </w:divBdr>
    </w:div>
    <w:div w:id="1631403089">
      <w:bodyDiv w:val="1"/>
      <w:marLeft w:val="0"/>
      <w:marRight w:val="0"/>
      <w:marTop w:val="0"/>
      <w:marBottom w:val="0"/>
      <w:divBdr>
        <w:top w:val="none" w:sz="0" w:space="0" w:color="auto"/>
        <w:left w:val="none" w:sz="0" w:space="0" w:color="auto"/>
        <w:bottom w:val="none" w:sz="0" w:space="0" w:color="auto"/>
        <w:right w:val="none" w:sz="0" w:space="0" w:color="auto"/>
      </w:divBdr>
    </w:div>
    <w:div w:id="1795977944">
      <w:bodyDiv w:val="1"/>
      <w:marLeft w:val="0"/>
      <w:marRight w:val="0"/>
      <w:marTop w:val="0"/>
      <w:marBottom w:val="0"/>
      <w:divBdr>
        <w:top w:val="none" w:sz="0" w:space="0" w:color="auto"/>
        <w:left w:val="none" w:sz="0" w:space="0" w:color="auto"/>
        <w:bottom w:val="none" w:sz="0" w:space="0" w:color="auto"/>
        <w:right w:val="none" w:sz="0" w:space="0" w:color="auto"/>
      </w:divBdr>
    </w:div>
    <w:div w:id="1963879147">
      <w:bodyDiv w:val="1"/>
      <w:marLeft w:val="0"/>
      <w:marRight w:val="0"/>
      <w:marTop w:val="0"/>
      <w:marBottom w:val="0"/>
      <w:divBdr>
        <w:top w:val="none" w:sz="0" w:space="0" w:color="auto"/>
        <w:left w:val="none" w:sz="0" w:space="0" w:color="auto"/>
        <w:bottom w:val="none" w:sz="0" w:space="0" w:color="auto"/>
        <w:right w:val="none" w:sz="0" w:space="0" w:color="auto"/>
      </w:divBdr>
    </w:div>
    <w:div w:id="2036150092">
      <w:bodyDiv w:val="1"/>
      <w:marLeft w:val="0"/>
      <w:marRight w:val="0"/>
      <w:marTop w:val="0"/>
      <w:marBottom w:val="0"/>
      <w:divBdr>
        <w:top w:val="none" w:sz="0" w:space="0" w:color="auto"/>
        <w:left w:val="none" w:sz="0" w:space="0" w:color="auto"/>
        <w:bottom w:val="none" w:sz="0" w:space="0" w:color="auto"/>
        <w:right w:val="none" w:sz="0" w:space="0" w:color="auto"/>
      </w:divBdr>
    </w:div>
    <w:div w:id="2044942438">
      <w:bodyDiv w:val="1"/>
      <w:marLeft w:val="0"/>
      <w:marRight w:val="0"/>
      <w:marTop w:val="0"/>
      <w:marBottom w:val="0"/>
      <w:divBdr>
        <w:top w:val="none" w:sz="0" w:space="0" w:color="auto"/>
        <w:left w:val="none" w:sz="0" w:space="0" w:color="auto"/>
        <w:bottom w:val="none" w:sz="0" w:space="0" w:color="auto"/>
        <w:right w:val="none" w:sz="0" w:space="0" w:color="auto"/>
      </w:divBdr>
    </w:div>
    <w:div w:id="2070685246">
      <w:bodyDiv w:val="1"/>
      <w:marLeft w:val="0"/>
      <w:marRight w:val="0"/>
      <w:marTop w:val="0"/>
      <w:marBottom w:val="0"/>
      <w:divBdr>
        <w:top w:val="none" w:sz="0" w:space="0" w:color="auto"/>
        <w:left w:val="none" w:sz="0" w:space="0" w:color="auto"/>
        <w:bottom w:val="none" w:sz="0" w:space="0" w:color="auto"/>
        <w:right w:val="none" w:sz="0" w:space="0" w:color="auto"/>
      </w:divBdr>
    </w:div>
    <w:div w:id="213058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obias@wapa.com" TargetMode="External"/><Relationship Id="rId14"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24</Pages>
  <Words>6775</Words>
  <Characters>38624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WAPA-SNR</vt:lpstr>
    </vt:vector>
  </TitlesOfParts>
  <Manager/>
  <Company> </Company>
  <LinksUpToDate>false</LinksUpToDate>
  <CharactersWithSpaces>45309</CharactersWithSpaces>
  <SharedDoc>false</SharedDoc>
  <HyperlinkBase/>
  <HLinks>
    <vt:vector size="6" baseType="variant">
      <vt:variant>
        <vt:i4>5963897</vt:i4>
      </vt:variant>
      <vt:variant>
        <vt:i4>0</vt:i4>
      </vt:variant>
      <vt:variant>
        <vt:i4>0</vt:i4>
      </vt:variant>
      <vt:variant>
        <vt:i4>5</vt:i4>
      </vt:variant>
      <vt:variant>
        <vt:lpwstr>mailto:Tobias@wapa.com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WAPA-SNR</dc:title>
  <dc:subject/>
  <dc:creator>Larry Tobias</dc:creator>
  <cp:keywords/>
  <dc:description/>
  <cp:lastModifiedBy>Tobias</cp:lastModifiedBy>
  <cp:revision>37</cp:revision>
  <cp:lastPrinted>2009-10-27T20:34:00Z</cp:lastPrinted>
  <dcterms:created xsi:type="dcterms:W3CDTF">2009-10-28T20:18:00Z</dcterms:created>
  <dcterms:modified xsi:type="dcterms:W3CDTF">2009-10-29T21:29:00Z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