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0" w:rsidRPr="004A7235" w:rsidRDefault="00377DCA" w:rsidP="0049118E">
      <w:pPr>
        <w:pStyle w:val="CM3"/>
        <w:spacing w:before="240" w:line="271" w:lineRule="atLeast"/>
        <w:rPr>
          <w:rFonts w:cs="Calibri"/>
          <w:b/>
          <w:bCs/>
          <w:color w:val="000000"/>
          <w:sz w:val="20"/>
          <w:szCs w:val="20"/>
        </w:rPr>
      </w:pPr>
      <w:r w:rsidRPr="004A7235">
        <w:rPr>
          <w:rFonts w:cs="Calibri"/>
          <w:b/>
          <w:bCs/>
          <w:color w:val="000000"/>
          <w:sz w:val="20"/>
          <w:szCs w:val="20"/>
        </w:rPr>
        <w:t xml:space="preserve">January </w:t>
      </w:r>
      <w:r w:rsidR="00C2279D" w:rsidRPr="004A7235">
        <w:rPr>
          <w:rFonts w:cs="Calibri"/>
          <w:b/>
          <w:bCs/>
          <w:color w:val="000000"/>
          <w:sz w:val="20"/>
          <w:szCs w:val="20"/>
        </w:rPr>
        <w:t>9</w:t>
      </w:r>
      <w:r w:rsidRPr="004A7235">
        <w:rPr>
          <w:rFonts w:cs="Calibri"/>
          <w:b/>
          <w:bCs/>
          <w:color w:val="000000"/>
          <w:sz w:val="20"/>
          <w:szCs w:val="20"/>
        </w:rPr>
        <w:t>, 2012</w:t>
      </w:r>
    </w:p>
    <w:p w:rsidR="0049118E" w:rsidRPr="004A7235" w:rsidRDefault="0049118E" w:rsidP="0049118E">
      <w:pPr>
        <w:pStyle w:val="CM3"/>
        <w:spacing w:before="240" w:line="271" w:lineRule="atLeast"/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b/>
          <w:bCs/>
          <w:color w:val="000000"/>
          <w:sz w:val="20"/>
          <w:szCs w:val="20"/>
        </w:rPr>
        <w:t xml:space="preserve">To All Northern Tier Stakeholders: </w:t>
      </w:r>
      <w:r w:rsidRPr="004A7235">
        <w:rPr>
          <w:rFonts w:cs="Calibri"/>
          <w:b/>
          <w:bCs/>
          <w:color w:val="000000"/>
          <w:sz w:val="20"/>
          <w:szCs w:val="20"/>
        </w:rPr>
        <w:tab/>
      </w:r>
    </w:p>
    <w:p w:rsidR="0049118E" w:rsidRPr="004A7235" w:rsidRDefault="0049118E" w:rsidP="004A7235">
      <w:pPr>
        <w:spacing w:line="240" w:lineRule="auto"/>
        <w:rPr>
          <w:sz w:val="20"/>
          <w:szCs w:val="20"/>
        </w:rPr>
      </w:pPr>
    </w:p>
    <w:p w:rsidR="0049118E" w:rsidRPr="003A5D64" w:rsidRDefault="0049118E" w:rsidP="00FE4380">
      <w:pPr>
        <w:pStyle w:val="CM3"/>
        <w:spacing w:after="240" w:line="271" w:lineRule="atLeast"/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 xml:space="preserve">I’d like to encourage all stakeholders to participate in the February </w:t>
      </w:r>
      <w:r w:rsidR="00377DCA" w:rsidRPr="004A7235">
        <w:rPr>
          <w:rFonts w:cs="Calibri"/>
          <w:color w:val="000000"/>
          <w:sz w:val="20"/>
          <w:szCs w:val="20"/>
        </w:rPr>
        <w:t>7</w:t>
      </w:r>
      <w:r w:rsidRPr="004A7235">
        <w:rPr>
          <w:rFonts w:cs="Calibri"/>
          <w:color w:val="000000"/>
          <w:sz w:val="20"/>
          <w:szCs w:val="20"/>
        </w:rPr>
        <w:t xml:space="preserve">, </w:t>
      </w:r>
      <w:r w:rsidR="00377DCA" w:rsidRPr="004A7235">
        <w:rPr>
          <w:rFonts w:cs="Calibri"/>
          <w:color w:val="000000"/>
          <w:sz w:val="20"/>
          <w:szCs w:val="20"/>
        </w:rPr>
        <w:t xml:space="preserve">2013 </w:t>
      </w:r>
      <w:r w:rsidRPr="004A7235">
        <w:rPr>
          <w:rFonts w:cs="Calibri"/>
          <w:color w:val="000000"/>
          <w:sz w:val="20"/>
          <w:szCs w:val="20"/>
        </w:rPr>
        <w:t xml:space="preserve">NTTG public stakeholder meeting to discuss the Northern Tier biennial planning cycle, NTTG’s </w:t>
      </w:r>
      <w:r w:rsidR="00377DCA" w:rsidRPr="004A7235">
        <w:rPr>
          <w:rFonts w:cs="Calibri"/>
          <w:color w:val="000000"/>
          <w:sz w:val="20"/>
          <w:szCs w:val="20"/>
        </w:rPr>
        <w:t xml:space="preserve">2013 </w:t>
      </w:r>
      <w:r w:rsidRPr="004A7235">
        <w:rPr>
          <w:rFonts w:cs="Calibri"/>
          <w:color w:val="000000"/>
          <w:sz w:val="20"/>
          <w:szCs w:val="20"/>
        </w:rPr>
        <w:t xml:space="preserve">Economic </w:t>
      </w:r>
      <w:r w:rsidR="000F383B" w:rsidRPr="004A7235">
        <w:rPr>
          <w:rFonts w:cs="Calibri"/>
          <w:color w:val="000000"/>
          <w:sz w:val="20"/>
          <w:szCs w:val="20"/>
        </w:rPr>
        <w:t xml:space="preserve">Study (also known as Economic </w:t>
      </w:r>
      <w:r w:rsidR="003241A1" w:rsidRPr="004A7235">
        <w:rPr>
          <w:rFonts w:cs="Calibri"/>
          <w:color w:val="000000"/>
          <w:sz w:val="20"/>
          <w:szCs w:val="20"/>
        </w:rPr>
        <w:t xml:space="preserve">Congestion </w:t>
      </w:r>
      <w:r w:rsidRPr="004A7235">
        <w:rPr>
          <w:rFonts w:cs="Calibri"/>
          <w:color w:val="000000"/>
          <w:sz w:val="20"/>
          <w:szCs w:val="20"/>
        </w:rPr>
        <w:t>Study</w:t>
      </w:r>
      <w:r w:rsidR="000F383B" w:rsidRPr="004A7235">
        <w:rPr>
          <w:rFonts w:cs="Calibri"/>
          <w:color w:val="000000"/>
          <w:sz w:val="20"/>
          <w:szCs w:val="20"/>
        </w:rPr>
        <w:t>)</w:t>
      </w:r>
      <w:r w:rsidRPr="004A7235">
        <w:rPr>
          <w:rFonts w:cs="Calibri"/>
          <w:color w:val="000000"/>
          <w:sz w:val="20"/>
          <w:szCs w:val="20"/>
        </w:rPr>
        <w:t xml:space="preserve"> </w:t>
      </w:r>
      <w:r w:rsidR="003241A1" w:rsidRPr="004A7235">
        <w:rPr>
          <w:rFonts w:cs="Calibri"/>
          <w:color w:val="000000"/>
          <w:sz w:val="20"/>
          <w:szCs w:val="20"/>
        </w:rPr>
        <w:t>p</w:t>
      </w:r>
      <w:r w:rsidRPr="004A7235">
        <w:rPr>
          <w:rFonts w:cs="Calibri"/>
          <w:color w:val="000000"/>
          <w:sz w:val="20"/>
          <w:szCs w:val="20"/>
        </w:rPr>
        <w:t xml:space="preserve">rocess and opportunities for stakeholder input. Please be reminded that Northern Tier’s </w:t>
      </w:r>
      <w:r w:rsidR="003241A1" w:rsidRPr="004A7235">
        <w:rPr>
          <w:rFonts w:cs="Calibri"/>
          <w:color w:val="000000"/>
          <w:sz w:val="20"/>
          <w:szCs w:val="20"/>
        </w:rPr>
        <w:t>Economic S</w:t>
      </w:r>
      <w:r w:rsidRPr="004A7235">
        <w:rPr>
          <w:rFonts w:cs="Calibri"/>
          <w:color w:val="000000"/>
          <w:sz w:val="20"/>
          <w:szCs w:val="20"/>
        </w:rPr>
        <w:t xml:space="preserve">tudy request window for </w:t>
      </w:r>
      <w:r w:rsidR="00377DCA" w:rsidRPr="004A7235">
        <w:rPr>
          <w:rFonts w:cs="Calibri"/>
          <w:color w:val="000000"/>
          <w:sz w:val="20"/>
          <w:szCs w:val="20"/>
        </w:rPr>
        <w:t xml:space="preserve">2013 </w:t>
      </w:r>
      <w:r w:rsidRPr="004A7235">
        <w:rPr>
          <w:rFonts w:cs="Calibri"/>
          <w:color w:val="000000"/>
          <w:sz w:val="20"/>
          <w:szCs w:val="20"/>
        </w:rPr>
        <w:t xml:space="preserve">studies opened on January 1, </w:t>
      </w:r>
      <w:r w:rsidR="00377DCA" w:rsidRPr="004A7235">
        <w:rPr>
          <w:rFonts w:cs="Calibri"/>
          <w:color w:val="000000"/>
          <w:sz w:val="20"/>
          <w:szCs w:val="20"/>
        </w:rPr>
        <w:t xml:space="preserve">2013 </w:t>
      </w:r>
      <w:r w:rsidRPr="004A7235">
        <w:rPr>
          <w:rFonts w:cs="Calibri"/>
          <w:color w:val="000000"/>
          <w:sz w:val="20"/>
          <w:szCs w:val="20"/>
        </w:rPr>
        <w:t xml:space="preserve">and will remain open until midnight March 31, </w:t>
      </w:r>
      <w:r w:rsidR="00377DCA" w:rsidRPr="004A7235">
        <w:rPr>
          <w:rFonts w:cs="Calibri"/>
          <w:color w:val="000000"/>
          <w:sz w:val="20"/>
          <w:szCs w:val="20"/>
        </w:rPr>
        <w:t>2013</w:t>
      </w:r>
      <w:r w:rsidRPr="004A7235">
        <w:rPr>
          <w:rFonts w:cs="Calibri"/>
          <w:color w:val="000000"/>
          <w:sz w:val="20"/>
          <w:szCs w:val="20"/>
        </w:rPr>
        <w:t xml:space="preserve">. Additional details describing Northern Tier’s Economic Study </w:t>
      </w:r>
      <w:r w:rsidR="003241A1" w:rsidRPr="004A7235">
        <w:rPr>
          <w:rFonts w:cs="Calibri"/>
          <w:color w:val="000000"/>
          <w:sz w:val="20"/>
          <w:szCs w:val="20"/>
        </w:rPr>
        <w:t>r</w:t>
      </w:r>
      <w:r w:rsidRPr="004A7235">
        <w:rPr>
          <w:rFonts w:cs="Calibri"/>
          <w:color w:val="000000"/>
          <w:sz w:val="20"/>
          <w:szCs w:val="20"/>
        </w:rPr>
        <w:t xml:space="preserve">equest (ESR) processes can be found on Northern Tier’s website with links provided below: </w:t>
      </w:r>
    </w:p>
    <w:p w:rsidR="003A5D64" w:rsidRPr="004A7235" w:rsidRDefault="003A5D64">
      <w:pPr>
        <w:rPr>
          <w:color w:val="0000FF"/>
          <w:sz w:val="20"/>
          <w:szCs w:val="20"/>
        </w:rPr>
      </w:pPr>
      <w:hyperlink r:id="rId7" w:history="1">
        <w:r w:rsidRPr="004A7235">
          <w:rPr>
            <w:rStyle w:val="Hyperlink"/>
            <w:color w:val="0000FF"/>
            <w:sz w:val="20"/>
            <w:szCs w:val="20"/>
          </w:rPr>
          <w:t>NTTG Economic Study Req</w:t>
        </w:r>
        <w:r w:rsidRPr="004A7235">
          <w:rPr>
            <w:rStyle w:val="Hyperlink"/>
            <w:color w:val="0000FF"/>
            <w:sz w:val="20"/>
            <w:szCs w:val="20"/>
          </w:rPr>
          <w:t>u</w:t>
        </w:r>
        <w:r w:rsidRPr="004A7235">
          <w:rPr>
            <w:rStyle w:val="Hyperlink"/>
            <w:color w:val="0000FF"/>
            <w:sz w:val="20"/>
            <w:szCs w:val="20"/>
          </w:rPr>
          <w:t>est Process</w:t>
        </w:r>
      </w:hyperlink>
    </w:p>
    <w:p w:rsidR="003A5D64" w:rsidRPr="004A7235" w:rsidRDefault="003A5D64">
      <w:pPr>
        <w:rPr>
          <w:sz w:val="20"/>
          <w:szCs w:val="20"/>
        </w:rPr>
      </w:pPr>
      <w:hyperlink r:id="rId8" w:history="1">
        <w:r w:rsidRPr="003A5D64">
          <w:rPr>
            <w:rStyle w:val="Hyperlink"/>
            <w:sz w:val="20"/>
            <w:szCs w:val="20"/>
          </w:rPr>
          <w:t>NTTG Economic Study Re</w:t>
        </w:r>
        <w:r w:rsidRPr="003A5D64">
          <w:rPr>
            <w:rStyle w:val="Hyperlink"/>
            <w:sz w:val="20"/>
            <w:szCs w:val="20"/>
          </w:rPr>
          <w:t>q</w:t>
        </w:r>
        <w:r w:rsidRPr="003A5D64">
          <w:rPr>
            <w:rStyle w:val="Hyperlink"/>
            <w:sz w:val="20"/>
            <w:szCs w:val="20"/>
          </w:rPr>
          <w:t>uest Form</w:t>
        </w:r>
      </w:hyperlink>
      <w:bookmarkStart w:id="0" w:name="_GoBack"/>
      <w:bookmarkEnd w:id="0"/>
    </w:p>
    <w:p w:rsidR="0049118E" w:rsidRPr="004A7235" w:rsidRDefault="0049118E" w:rsidP="00FE4380">
      <w:pPr>
        <w:pStyle w:val="CM3"/>
        <w:spacing w:after="240" w:line="271" w:lineRule="atLeast"/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 xml:space="preserve">Requests for Sub‐regional </w:t>
      </w:r>
      <w:r w:rsidR="000F383B" w:rsidRPr="004A7235">
        <w:rPr>
          <w:rFonts w:cs="Calibri"/>
          <w:color w:val="000000"/>
          <w:sz w:val="20"/>
          <w:szCs w:val="20"/>
        </w:rPr>
        <w:t>Economic S</w:t>
      </w:r>
      <w:r w:rsidRPr="004A7235">
        <w:rPr>
          <w:rFonts w:cs="Calibri"/>
          <w:color w:val="000000"/>
          <w:sz w:val="20"/>
          <w:szCs w:val="20"/>
        </w:rPr>
        <w:t>tudies should be submitted to a transmission provider that is a party to the NTTG Funding Agreement</w:t>
      </w:r>
      <w:r w:rsidR="008F710D" w:rsidRPr="004A7235">
        <w:rPr>
          <w:rFonts w:cs="Calibri"/>
          <w:color w:val="000000"/>
          <w:sz w:val="20"/>
          <w:szCs w:val="20"/>
        </w:rPr>
        <w:t>, and are listed below</w:t>
      </w:r>
      <w:r w:rsidRPr="004A7235">
        <w:rPr>
          <w:rFonts w:cs="Calibri"/>
          <w:color w:val="000000"/>
          <w:sz w:val="20"/>
          <w:szCs w:val="20"/>
        </w:rPr>
        <w:t xml:space="preserve">: </w:t>
      </w:r>
    </w:p>
    <w:p w:rsidR="0049118E" w:rsidRPr="004A7235" w:rsidRDefault="0049118E" w:rsidP="0049118E">
      <w:pPr>
        <w:pStyle w:val="CM3"/>
        <w:spacing w:line="271" w:lineRule="atLeast"/>
        <w:rPr>
          <w:rFonts w:cs="Calibri"/>
          <w:sz w:val="20"/>
          <w:szCs w:val="20"/>
          <w:u w:val="single"/>
        </w:rPr>
      </w:pPr>
      <w:r w:rsidRPr="004A7235">
        <w:rPr>
          <w:rFonts w:cs="Calibri"/>
          <w:sz w:val="20"/>
          <w:szCs w:val="20"/>
        </w:rPr>
        <w:t xml:space="preserve">Deseret Power: </w:t>
      </w:r>
      <w:r w:rsidRPr="004A7235">
        <w:rPr>
          <w:rFonts w:cs="Calibri"/>
          <w:color w:val="0000FF"/>
          <w:sz w:val="20"/>
          <w:szCs w:val="20"/>
          <w:u w:val="single"/>
        </w:rPr>
        <w:t>Jtucker@deseretpower.com</w:t>
      </w:r>
      <w:r w:rsidRPr="004A7235">
        <w:rPr>
          <w:rFonts w:cs="Calibri"/>
          <w:sz w:val="20"/>
          <w:szCs w:val="20"/>
          <w:u w:val="single"/>
        </w:rPr>
        <w:t xml:space="preserve"> </w:t>
      </w:r>
    </w:p>
    <w:p w:rsidR="0049118E" w:rsidRPr="004A7235" w:rsidRDefault="0049118E" w:rsidP="0049118E">
      <w:pPr>
        <w:pStyle w:val="CM3"/>
        <w:spacing w:line="271" w:lineRule="atLeast"/>
        <w:rPr>
          <w:rFonts w:cs="Calibri"/>
          <w:sz w:val="20"/>
          <w:szCs w:val="20"/>
          <w:u w:val="single"/>
        </w:rPr>
      </w:pPr>
      <w:r w:rsidRPr="004A7235">
        <w:rPr>
          <w:rFonts w:cs="Calibri"/>
          <w:sz w:val="20"/>
          <w:szCs w:val="20"/>
        </w:rPr>
        <w:t xml:space="preserve">Idaho Power: </w:t>
      </w:r>
      <w:hyperlink r:id="rId9" w:history="1">
        <w:r w:rsidRPr="004A7235">
          <w:rPr>
            <w:rStyle w:val="Hyperlink"/>
            <w:rFonts w:cs="Calibri"/>
            <w:color w:val="0000FF"/>
            <w:sz w:val="20"/>
            <w:szCs w:val="20"/>
          </w:rPr>
          <w:t>Daveangell@idahopower.com</w:t>
        </w:r>
      </w:hyperlink>
      <w:r w:rsidRPr="004A7235">
        <w:rPr>
          <w:rFonts w:cs="Calibri"/>
          <w:sz w:val="20"/>
          <w:szCs w:val="20"/>
          <w:u w:val="single"/>
        </w:rPr>
        <w:t xml:space="preserve"> </w:t>
      </w:r>
    </w:p>
    <w:p w:rsidR="005C60C0" w:rsidRPr="004A7235" w:rsidRDefault="0049118E" w:rsidP="0049118E">
      <w:pPr>
        <w:pStyle w:val="CM3"/>
        <w:spacing w:line="271" w:lineRule="atLeast"/>
        <w:rPr>
          <w:rFonts w:cs="Calibri"/>
          <w:sz w:val="20"/>
          <w:szCs w:val="20"/>
          <w:u w:val="single"/>
        </w:rPr>
      </w:pPr>
      <w:r w:rsidRPr="004A7235">
        <w:rPr>
          <w:rFonts w:cs="Calibri"/>
          <w:sz w:val="20"/>
          <w:szCs w:val="20"/>
        </w:rPr>
        <w:t xml:space="preserve">Northwestern Energy: </w:t>
      </w:r>
      <w:r w:rsidRPr="004A7235">
        <w:rPr>
          <w:rFonts w:cs="Calibri"/>
          <w:color w:val="0000FF"/>
          <w:sz w:val="20"/>
          <w:szCs w:val="20"/>
          <w:u w:val="single"/>
        </w:rPr>
        <w:t>Kathleen.bauer@northwestern.com</w:t>
      </w:r>
      <w:r w:rsidRPr="004A7235">
        <w:rPr>
          <w:rFonts w:cs="Calibri"/>
          <w:sz w:val="20"/>
          <w:szCs w:val="20"/>
          <w:u w:val="single"/>
        </w:rPr>
        <w:t xml:space="preserve"> </w:t>
      </w:r>
    </w:p>
    <w:p w:rsidR="0049118E" w:rsidRPr="004A7235" w:rsidRDefault="0049118E" w:rsidP="0049118E">
      <w:pPr>
        <w:pStyle w:val="CM3"/>
        <w:spacing w:line="271" w:lineRule="atLeast"/>
        <w:rPr>
          <w:rFonts w:cs="Calibri"/>
          <w:sz w:val="20"/>
          <w:szCs w:val="20"/>
          <w:u w:val="single"/>
        </w:rPr>
      </w:pPr>
      <w:r w:rsidRPr="004A7235">
        <w:rPr>
          <w:rFonts w:cs="Calibri"/>
          <w:sz w:val="20"/>
          <w:szCs w:val="20"/>
        </w:rPr>
        <w:t xml:space="preserve">PacifiCorp: </w:t>
      </w:r>
      <w:hyperlink r:id="rId10" w:history="1">
        <w:r w:rsidR="004E62BD" w:rsidRPr="004A7235">
          <w:rPr>
            <w:rStyle w:val="Hyperlink"/>
            <w:color w:val="auto"/>
            <w:sz w:val="20"/>
            <w:szCs w:val="20"/>
          </w:rPr>
          <w:t xml:space="preserve"> </w:t>
        </w:r>
        <w:r w:rsidR="004E62BD" w:rsidRPr="004A7235">
          <w:rPr>
            <w:rStyle w:val="Hyperlink"/>
            <w:color w:val="0000FF"/>
            <w:sz w:val="20"/>
            <w:szCs w:val="20"/>
          </w:rPr>
          <w:t>Richard.Vail@PacifiCorp.com</w:t>
        </w:r>
      </w:hyperlink>
    </w:p>
    <w:p w:rsidR="0049118E" w:rsidRPr="004A7235" w:rsidRDefault="0049118E" w:rsidP="00FE4380">
      <w:pPr>
        <w:pStyle w:val="CM3"/>
        <w:spacing w:after="240" w:line="271" w:lineRule="atLeast"/>
        <w:rPr>
          <w:rFonts w:cs="Calibri"/>
          <w:color w:val="0000FF"/>
          <w:sz w:val="20"/>
          <w:szCs w:val="20"/>
        </w:rPr>
      </w:pPr>
      <w:r w:rsidRPr="004A7235">
        <w:rPr>
          <w:rFonts w:cs="Calibri"/>
          <w:sz w:val="20"/>
          <w:szCs w:val="20"/>
        </w:rPr>
        <w:t xml:space="preserve">Portland General: </w:t>
      </w:r>
      <w:r w:rsidRPr="004A7235">
        <w:rPr>
          <w:rFonts w:cs="Calibri"/>
          <w:color w:val="0000FF"/>
          <w:sz w:val="20"/>
          <w:szCs w:val="20"/>
          <w:u w:val="single"/>
        </w:rPr>
        <w:t xml:space="preserve">Don.Johnson@pgn.com </w:t>
      </w:r>
    </w:p>
    <w:p w:rsidR="0049118E" w:rsidRPr="004A7235" w:rsidRDefault="0049118E">
      <w:pPr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 xml:space="preserve">Also, please note that the WECC TEPPC study request window for </w:t>
      </w:r>
      <w:r w:rsidR="000F383B" w:rsidRPr="004A7235">
        <w:rPr>
          <w:rFonts w:cs="Calibri"/>
          <w:color w:val="000000"/>
          <w:sz w:val="20"/>
          <w:szCs w:val="20"/>
        </w:rPr>
        <w:t xml:space="preserve">2013 </w:t>
      </w:r>
      <w:r w:rsidRPr="004A7235">
        <w:rPr>
          <w:rFonts w:cs="Calibri"/>
          <w:color w:val="000000"/>
          <w:sz w:val="20"/>
          <w:szCs w:val="20"/>
        </w:rPr>
        <w:t xml:space="preserve">regional requests </w:t>
      </w:r>
      <w:r w:rsidR="00377DCA" w:rsidRPr="004A7235">
        <w:rPr>
          <w:rFonts w:cs="Calibri"/>
          <w:color w:val="000000"/>
          <w:sz w:val="20"/>
          <w:szCs w:val="20"/>
        </w:rPr>
        <w:t>close</w:t>
      </w:r>
      <w:r w:rsidR="004E62BD" w:rsidRPr="004A7235">
        <w:rPr>
          <w:rFonts w:cs="Calibri"/>
          <w:color w:val="000000"/>
          <w:sz w:val="20"/>
          <w:szCs w:val="20"/>
        </w:rPr>
        <w:t>s</w:t>
      </w:r>
      <w:r w:rsidR="00377DCA" w:rsidRPr="004A7235">
        <w:rPr>
          <w:rFonts w:cs="Calibri"/>
          <w:color w:val="000000"/>
          <w:sz w:val="20"/>
          <w:szCs w:val="20"/>
        </w:rPr>
        <w:t xml:space="preserve"> </w:t>
      </w:r>
      <w:r w:rsidRPr="004A7235">
        <w:rPr>
          <w:rFonts w:cs="Calibri"/>
          <w:color w:val="000000"/>
          <w:sz w:val="20"/>
          <w:szCs w:val="20"/>
        </w:rPr>
        <w:t xml:space="preserve">on January </w:t>
      </w:r>
      <w:r w:rsidR="00377DCA" w:rsidRPr="004A7235">
        <w:rPr>
          <w:rFonts w:cs="Calibri"/>
          <w:color w:val="000000"/>
          <w:sz w:val="20"/>
          <w:szCs w:val="20"/>
        </w:rPr>
        <w:t>31</w:t>
      </w:r>
      <w:r w:rsidRPr="004A7235">
        <w:rPr>
          <w:rFonts w:cs="Calibri"/>
          <w:color w:val="000000"/>
          <w:sz w:val="20"/>
          <w:szCs w:val="20"/>
        </w:rPr>
        <w:t xml:space="preserve">, </w:t>
      </w:r>
      <w:r w:rsidR="00377DCA" w:rsidRPr="004A7235">
        <w:rPr>
          <w:rFonts w:cs="Calibri"/>
          <w:color w:val="000000"/>
          <w:sz w:val="20"/>
          <w:szCs w:val="20"/>
        </w:rPr>
        <w:t>2013</w:t>
      </w:r>
      <w:r w:rsidRPr="004A7235">
        <w:rPr>
          <w:rFonts w:cs="Calibri"/>
          <w:color w:val="000000"/>
          <w:sz w:val="20"/>
          <w:szCs w:val="20"/>
        </w:rPr>
        <w:t>.</w:t>
      </w:r>
    </w:p>
    <w:p w:rsidR="0049118E" w:rsidRPr="004A7235" w:rsidRDefault="0049118E" w:rsidP="0049118E">
      <w:pPr>
        <w:pStyle w:val="CM3"/>
        <w:spacing w:line="271" w:lineRule="atLeast"/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 xml:space="preserve">Please direct questions to: </w:t>
      </w:r>
    </w:p>
    <w:p w:rsidR="0049118E" w:rsidRPr="004A7235" w:rsidRDefault="004E62BD" w:rsidP="0049118E">
      <w:pPr>
        <w:pStyle w:val="CM1"/>
        <w:rPr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>John Leland,</w:t>
      </w:r>
      <w:r w:rsidR="0049118E" w:rsidRPr="004A7235">
        <w:rPr>
          <w:rFonts w:cs="Calibri"/>
          <w:sz w:val="20"/>
          <w:szCs w:val="20"/>
        </w:rPr>
        <w:t xml:space="preserve"> NTTG Planning Committee Chair at</w:t>
      </w:r>
      <w:r w:rsidR="008F710D" w:rsidRPr="004A7235">
        <w:rPr>
          <w:sz w:val="20"/>
          <w:szCs w:val="20"/>
        </w:rPr>
        <w:t xml:space="preserve"> </w:t>
      </w:r>
      <w:hyperlink r:id="rId11" w:history="1">
        <w:r w:rsidR="008F710D" w:rsidRPr="004A7235">
          <w:rPr>
            <w:rStyle w:val="Hyperlink"/>
            <w:sz w:val="20"/>
            <w:szCs w:val="20"/>
          </w:rPr>
          <w:t>John.Leland@Northwestern.com</w:t>
        </w:r>
      </w:hyperlink>
    </w:p>
    <w:p w:rsidR="0049118E" w:rsidRPr="004A7235" w:rsidRDefault="0049118E" w:rsidP="0049118E">
      <w:pPr>
        <w:pStyle w:val="CM1"/>
        <w:contextualSpacing/>
        <w:rPr>
          <w:sz w:val="20"/>
          <w:szCs w:val="20"/>
        </w:rPr>
      </w:pPr>
      <w:r w:rsidRPr="004A7235">
        <w:rPr>
          <w:rFonts w:cs="Calibri"/>
          <w:sz w:val="20"/>
          <w:szCs w:val="20"/>
        </w:rPr>
        <w:t xml:space="preserve">Sharon Helms, NTTG Project Manager at </w:t>
      </w:r>
      <w:r w:rsidRPr="004A7235">
        <w:rPr>
          <w:rFonts w:cs="Calibri"/>
          <w:color w:val="0000FF"/>
          <w:sz w:val="20"/>
          <w:szCs w:val="20"/>
          <w:u w:val="single"/>
        </w:rPr>
        <w:t>Sharon.Helms@ComprehensivePower.org</w:t>
      </w:r>
      <w:r w:rsidRPr="004A7235">
        <w:rPr>
          <w:rFonts w:cs="Calibri"/>
          <w:sz w:val="20"/>
          <w:szCs w:val="20"/>
          <w:u w:val="single"/>
        </w:rPr>
        <w:t xml:space="preserve"> </w:t>
      </w:r>
    </w:p>
    <w:p w:rsidR="004A7235" w:rsidRDefault="004A7235">
      <w:pPr>
        <w:contextualSpacing/>
        <w:rPr>
          <w:sz w:val="20"/>
          <w:szCs w:val="20"/>
        </w:rPr>
      </w:pPr>
    </w:p>
    <w:p w:rsidR="00FE4380" w:rsidRPr="004A7235" w:rsidRDefault="00FE4380">
      <w:pPr>
        <w:contextualSpacing/>
        <w:rPr>
          <w:sz w:val="20"/>
          <w:szCs w:val="20"/>
        </w:rPr>
      </w:pPr>
      <w:r w:rsidRPr="004A7235">
        <w:rPr>
          <w:sz w:val="20"/>
          <w:szCs w:val="20"/>
        </w:rPr>
        <w:t>Sincerely,</w:t>
      </w:r>
    </w:p>
    <w:p w:rsidR="004E62BD" w:rsidRPr="004A7235" w:rsidRDefault="004E62BD">
      <w:pPr>
        <w:contextualSpacing/>
        <w:rPr>
          <w:sz w:val="20"/>
          <w:szCs w:val="20"/>
        </w:rPr>
      </w:pPr>
      <w:r w:rsidRPr="004A7235">
        <w:rPr>
          <w:noProof/>
          <w:sz w:val="20"/>
          <w:szCs w:val="20"/>
        </w:rPr>
        <w:drawing>
          <wp:inline distT="0" distB="0" distL="0" distR="0" wp14:anchorId="65E42609" wp14:editId="7C940A3F">
            <wp:extent cx="1746087" cy="533400"/>
            <wp:effectExtent l="19050" t="0" r="651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80" w:rsidRPr="004A7235" w:rsidRDefault="004E62BD" w:rsidP="004A7235">
      <w:pPr>
        <w:spacing w:after="0" w:line="240" w:lineRule="auto"/>
        <w:contextualSpacing/>
        <w:rPr>
          <w:sz w:val="20"/>
          <w:szCs w:val="20"/>
        </w:rPr>
      </w:pPr>
      <w:r w:rsidRPr="004A7235">
        <w:rPr>
          <w:sz w:val="20"/>
          <w:szCs w:val="20"/>
        </w:rPr>
        <w:t>John Leland</w:t>
      </w:r>
    </w:p>
    <w:p w:rsidR="00FE4380" w:rsidRPr="004A7235" w:rsidRDefault="00FE4380" w:rsidP="004A7235">
      <w:pPr>
        <w:spacing w:line="240" w:lineRule="auto"/>
        <w:contextualSpacing/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>NTTG Planning Committee Chair</w:t>
      </w:r>
    </w:p>
    <w:p w:rsidR="004A7235" w:rsidRDefault="004A7235" w:rsidP="004A7235">
      <w:pPr>
        <w:spacing w:after="0" w:line="240" w:lineRule="auto"/>
        <w:ind w:left="720" w:hanging="720"/>
        <w:contextualSpacing/>
        <w:rPr>
          <w:rFonts w:cs="Calibri"/>
          <w:color w:val="000000"/>
          <w:sz w:val="20"/>
          <w:szCs w:val="20"/>
        </w:rPr>
      </w:pPr>
    </w:p>
    <w:p w:rsidR="004E62BD" w:rsidRPr="004A7235" w:rsidRDefault="004E62BD" w:rsidP="004A7235">
      <w:pPr>
        <w:spacing w:after="0" w:line="240" w:lineRule="auto"/>
        <w:ind w:left="720" w:hanging="720"/>
        <w:contextualSpacing/>
        <w:rPr>
          <w:rFonts w:cs="Calibri"/>
          <w:color w:val="000000"/>
          <w:sz w:val="20"/>
          <w:szCs w:val="20"/>
        </w:rPr>
      </w:pPr>
      <w:r w:rsidRPr="004A7235">
        <w:rPr>
          <w:rFonts w:cs="Calibri"/>
          <w:color w:val="000000"/>
          <w:sz w:val="20"/>
          <w:szCs w:val="20"/>
        </w:rPr>
        <w:t>cc:</w:t>
      </w:r>
      <w:r w:rsidRPr="004A7235">
        <w:rPr>
          <w:rFonts w:cs="Calibri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050"/>
      </w:tblGrid>
      <w:tr w:rsidR="004E62BD" w:rsidRPr="003A5D64" w:rsidTr="004A7235">
        <w:tc>
          <w:tcPr>
            <w:tcW w:w="4338" w:type="dxa"/>
          </w:tcPr>
          <w:p w:rsidR="004E62BD" w:rsidRPr="004A7235" w:rsidRDefault="004E62BD" w:rsidP="004A7235">
            <w:pPr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t>Dave Angell, Idaho Power</w:t>
            </w:r>
          </w:p>
        </w:tc>
        <w:tc>
          <w:tcPr>
            <w:tcW w:w="4050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t>Don Johnson, Portland General</w:t>
            </w:r>
          </w:p>
        </w:tc>
      </w:tr>
      <w:tr w:rsidR="004E62BD" w:rsidRPr="003A5D64" w:rsidTr="004A7235">
        <w:tc>
          <w:tcPr>
            <w:tcW w:w="4338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t>Kathleen Bauer, Northwestern</w:t>
            </w:r>
          </w:p>
        </w:tc>
        <w:tc>
          <w:tcPr>
            <w:tcW w:w="4050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t>Jim Tucker, Deseret Power</w:t>
            </w:r>
          </w:p>
        </w:tc>
      </w:tr>
      <w:tr w:rsidR="004E62BD" w:rsidRPr="003A5D64" w:rsidTr="004A7235">
        <w:tc>
          <w:tcPr>
            <w:tcW w:w="4338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t>Gil Coulam, NTTG</w:t>
            </w:r>
          </w:p>
        </w:tc>
        <w:tc>
          <w:tcPr>
            <w:tcW w:w="4050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t>Richard Vail, PacifiCorp</w:t>
            </w:r>
          </w:p>
        </w:tc>
      </w:tr>
      <w:tr w:rsidR="004E62BD" w:rsidRPr="003A5D64" w:rsidTr="004A7235">
        <w:tc>
          <w:tcPr>
            <w:tcW w:w="4338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4A7235">
              <w:rPr>
                <w:rFonts w:cs="Calibri"/>
                <w:color w:val="000000"/>
                <w:sz w:val="20"/>
                <w:szCs w:val="20"/>
              </w:rPr>
              <w:lastRenderedPageBreak/>
              <w:t>Sharon Helms, NTTG</w:t>
            </w:r>
          </w:p>
        </w:tc>
        <w:tc>
          <w:tcPr>
            <w:tcW w:w="4050" w:type="dxa"/>
          </w:tcPr>
          <w:p w:rsidR="004E62BD" w:rsidRPr="004A7235" w:rsidRDefault="004E62BD" w:rsidP="004E62BD">
            <w:pPr>
              <w:spacing w:after="200"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E62BD" w:rsidRDefault="004E62BD" w:rsidP="004A7235">
      <w:pPr>
        <w:spacing w:line="240" w:lineRule="auto"/>
      </w:pPr>
    </w:p>
    <w:sectPr w:rsidR="004E62BD" w:rsidSect="004A7235">
      <w:headerReference w:type="default" r:id="rId13"/>
      <w:pgSz w:w="12240" w:h="15840"/>
      <w:pgMar w:top="1440" w:right="1440" w:bottom="634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56" w:rsidRDefault="00D35856" w:rsidP="0049118E">
      <w:pPr>
        <w:spacing w:after="0" w:line="240" w:lineRule="auto"/>
      </w:pPr>
      <w:r>
        <w:separator/>
      </w:r>
    </w:p>
  </w:endnote>
  <w:endnote w:type="continuationSeparator" w:id="0">
    <w:p w:rsidR="00D35856" w:rsidRDefault="00D35856" w:rsidP="0049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56" w:rsidRDefault="00D35856" w:rsidP="0049118E">
      <w:pPr>
        <w:spacing w:after="0" w:line="240" w:lineRule="auto"/>
      </w:pPr>
      <w:r>
        <w:separator/>
      </w:r>
    </w:p>
  </w:footnote>
  <w:footnote w:type="continuationSeparator" w:id="0">
    <w:p w:rsidR="00D35856" w:rsidRDefault="00D35856" w:rsidP="0049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E" w:rsidRDefault="0049118E" w:rsidP="004A7235">
    <w:pPr>
      <w:pStyle w:val="Header"/>
      <w:jc w:val="center"/>
    </w:pPr>
    <w:r w:rsidRPr="0049118E">
      <w:rPr>
        <w:noProof/>
      </w:rPr>
      <w:drawing>
        <wp:inline distT="0" distB="0" distL="0" distR="0" wp14:anchorId="229D76D3" wp14:editId="0DE45153">
          <wp:extent cx="4562558" cy="771137"/>
          <wp:effectExtent l="19050" t="0" r="9442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558" cy="771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8E"/>
    <w:rsid w:val="000D552F"/>
    <w:rsid w:val="000F383B"/>
    <w:rsid w:val="000F3B74"/>
    <w:rsid w:val="00102016"/>
    <w:rsid w:val="001107C7"/>
    <w:rsid w:val="00172E6F"/>
    <w:rsid w:val="001B0EDE"/>
    <w:rsid w:val="0024024D"/>
    <w:rsid w:val="00241454"/>
    <w:rsid w:val="00247FAC"/>
    <w:rsid w:val="002B7B82"/>
    <w:rsid w:val="002F4F50"/>
    <w:rsid w:val="0031741A"/>
    <w:rsid w:val="003241A1"/>
    <w:rsid w:val="00377DCA"/>
    <w:rsid w:val="003A5D64"/>
    <w:rsid w:val="003C3C6C"/>
    <w:rsid w:val="003D5573"/>
    <w:rsid w:val="00404779"/>
    <w:rsid w:val="00417784"/>
    <w:rsid w:val="004364D6"/>
    <w:rsid w:val="0049118E"/>
    <w:rsid w:val="004A7235"/>
    <w:rsid w:val="004E41EE"/>
    <w:rsid w:val="004E62BD"/>
    <w:rsid w:val="005423B8"/>
    <w:rsid w:val="005527B4"/>
    <w:rsid w:val="0059729E"/>
    <w:rsid w:val="005C60C0"/>
    <w:rsid w:val="005D1781"/>
    <w:rsid w:val="00643361"/>
    <w:rsid w:val="0067560E"/>
    <w:rsid w:val="007365DE"/>
    <w:rsid w:val="00740D08"/>
    <w:rsid w:val="00746BE9"/>
    <w:rsid w:val="00773EAC"/>
    <w:rsid w:val="007D75BC"/>
    <w:rsid w:val="0080679E"/>
    <w:rsid w:val="008458C0"/>
    <w:rsid w:val="0087429E"/>
    <w:rsid w:val="0089637C"/>
    <w:rsid w:val="008A44C8"/>
    <w:rsid w:val="008A460F"/>
    <w:rsid w:val="008B33B5"/>
    <w:rsid w:val="008C01CB"/>
    <w:rsid w:val="008F4589"/>
    <w:rsid w:val="008F68E8"/>
    <w:rsid w:val="008F710D"/>
    <w:rsid w:val="009C2B9A"/>
    <w:rsid w:val="009C6DB1"/>
    <w:rsid w:val="009E3574"/>
    <w:rsid w:val="00A241F1"/>
    <w:rsid w:val="00A614A8"/>
    <w:rsid w:val="00A9613A"/>
    <w:rsid w:val="00AB58EB"/>
    <w:rsid w:val="00B201B4"/>
    <w:rsid w:val="00B23978"/>
    <w:rsid w:val="00B27695"/>
    <w:rsid w:val="00B32B86"/>
    <w:rsid w:val="00B50345"/>
    <w:rsid w:val="00B55F53"/>
    <w:rsid w:val="00BA7D80"/>
    <w:rsid w:val="00BF6BE0"/>
    <w:rsid w:val="00C2279D"/>
    <w:rsid w:val="00C621BE"/>
    <w:rsid w:val="00D03EE1"/>
    <w:rsid w:val="00D15322"/>
    <w:rsid w:val="00D35856"/>
    <w:rsid w:val="00D42CF1"/>
    <w:rsid w:val="00D44E73"/>
    <w:rsid w:val="00D6599D"/>
    <w:rsid w:val="00D72940"/>
    <w:rsid w:val="00D818C8"/>
    <w:rsid w:val="00DC11D8"/>
    <w:rsid w:val="00E011D1"/>
    <w:rsid w:val="00E365C6"/>
    <w:rsid w:val="00E744E4"/>
    <w:rsid w:val="00EA787B"/>
    <w:rsid w:val="00ED3D04"/>
    <w:rsid w:val="00EF5352"/>
    <w:rsid w:val="00F3021D"/>
    <w:rsid w:val="00FB0DDA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8E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4911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18E"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49118E"/>
    <w:pPr>
      <w:widowControl w:val="0"/>
      <w:autoSpaceDE w:val="0"/>
      <w:autoSpaceDN w:val="0"/>
      <w:adjustRightInd w:val="0"/>
      <w:spacing w:after="0" w:line="271" w:lineRule="atLeast"/>
    </w:pPr>
    <w:rPr>
      <w:rFonts w:ascii="Calibri" w:eastAsiaTheme="minorEastAsia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18E"/>
  </w:style>
  <w:style w:type="paragraph" w:styleId="Footer">
    <w:name w:val="footer"/>
    <w:basedOn w:val="Normal"/>
    <w:link w:val="FooterChar"/>
    <w:uiPriority w:val="99"/>
    <w:semiHidden/>
    <w:unhideWhenUsed/>
    <w:rsid w:val="0049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18E"/>
  </w:style>
  <w:style w:type="character" w:styleId="Strong">
    <w:name w:val="Strong"/>
    <w:basedOn w:val="DefaultParagraphFont"/>
    <w:uiPriority w:val="22"/>
    <w:qFormat/>
    <w:rsid w:val="0049118E"/>
    <w:rPr>
      <w:b/>
      <w:bCs/>
      <w:color w:val="112544"/>
    </w:rPr>
  </w:style>
  <w:style w:type="character" w:styleId="FollowedHyperlink">
    <w:name w:val="FollowedHyperlink"/>
    <w:basedOn w:val="DefaultParagraphFont"/>
    <w:uiPriority w:val="99"/>
    <w:semiHidden/>
    <w:unhideWhenUsed/>
    <w:rsid w:val="005C60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tg.biz/site/index.php?option=com_docman&amp;task=doc_download&amp;gid=996&amp;Itemid=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ttg.biz/site/index.php?option=com_docman&amp;task=doc_download&amp;gid=1561&amp;Itemid=31" TargetMode="External"/><Relationship Id="rId12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hn.Leland@Northwester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Richard.Vail@Pacifi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angell@idahopow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dma2701</dc:creator>
  <cp:lastModifiedBy>Amy Wachsnicht</cp:lastModifiedBy>
  <cp:revision>5</cp:revision>
  <dcterms:created xsi:type="dcterms:W3CDTF">2013-01-08T00:32:00Z</dcterms:created>
  <dcterms:modified xsi:type="dcterms:W3CDTF">2013-01-10T18:41:00Z</dcterms:modified>
</cp:coreProperties>
</file>