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BE" w:rsidRDefault="002A09BE" w:rsidP="002A09B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Loads &amp; Resources Data Request</w:t>
      </w:r>
    </w:p>
    <w:p w:rsidR="002A09BE" w:rsidRDefault="002A09BE" w:rsidP="002A09B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TRANSAC</w:t>
      </w:r>
    </w:p>
    <w:p w:rsidR="002A09BE" w:rsidRPr="007C17F5" w:rsidRDefault="00B83A53" w:rsidP="002A09BE">
      <w:pPr>
        <w:jc w:val="center"/>
        <w:rPr>
          <w:b/>
          <w:bCs/>
          <w:color w:val="00B050"/>
          <w:sz w:val="32"/>
        </w:rPr>
      </w:pPr>
      <w:r>
        <w:rPr>
          <w:b/>
          <w:bCs/>
          <w:sz w:val="32"/>
        </w:rPr>
        <w:t>December</w:t>
      </w:r>
      <w:r w:rsidR="007C4968">
        <w:rPr>
          <w:b/>
          <w:bCs/>
          <w:sz w:val="32"/>
        </w:rPr>
        <w:t xml:space="preserve"> 17</w:t>
      </w:r>
      <w:r w:rsidR="002A09BE">
        <w:rPr>
          <w:b/>
          <w:bCs/>
          <w:sz w:val="32"/>
        </w:rPr>
        <w:t>, 2013</w:t>
      </w:r>
    </w:p>
    <w:p w:rsidR="002A09BE" w:rsidRDefault="002A09BE" w:rsidP="002A09B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Update</w:t>
      </w:r>
    </w:p>
    <w:p w:rsidR="00922DDF" w:rsidRDefault="00922DDF" w:rsidP="002A09BE">
      <w:pPr>
        <w:jc w:val="center"/>
        <w:rPr>
          <w:b/>
          <w:bCs/>
          <w:sz w:val="32"/>
        </w:rPr>
      </w:pPr>
    </w:p>
    <w:p w:rsidR="002465A8" w:rsidRDefault="00233BE7" w:rsidP="00575EC4">
      <w:pPr>
        <w:spacing w:line="360" w:lineRule="auto"/>
        <w:rPr>
          <w:bCs/>
          <w:color w:val="000000"/>
        </w:rPr>
      </w:pPr>
      <w:r>
        <w:rPr>
          <w:bCs/>
        </w:rPr>
        <w:t>T</w:t>
      </w:r>
      <w:r w:rsidR="00E019E7">
        <w:rPr>
          <w:bCs/>
        </w:rPr>
        <w:t xml:space="preserve">he </w:t>
      </w:r>
      <w:r w:rsidR="00310328">
        <w:rPr>
          <w:bCs/>
        </w:rPr>
        <w:t xml:space="preserve">Western Electricity Coordinating Council (WECC) </w:t>
      </w:r>
      <w:r w:rsidR="00E019E7">
        <w:rPr>
          <w:bCs/>
        </w:rPr>
        <w:t>Loads and Resources Subcommittee</w:t>
      </w:r>
      <w:r w:rsidR="003833DC">
        <w:rPr>
          <w:bCs/>
        </w:rPr>
        <w:t xml:space="preserve"> is finalizing a</w:t>
      </w:r>
      <w:r w:rsidR="0027534C">
        <w:rPr>
          <w:bCs/>
        </w:rPr>
        <w:t>ny changes to the Loads and Resources Data Request</w:t>
      </w:r>
      <w:r w:rsidR="003833DC">
        <w:rPr>
          <w:bCs/>
        </w:rPr>
        <w:t>.</w:t>
      </w:r>
      <w:r w:rsidR="0027534C">
        <w:rPr>
          <w:bCs/>
        </w:rPr>
        <w:t xml:space="preserve"> </w:t>
      </w:r>
      <w:r w:rsidR="002465A8" w:rsidRPr="00BA4E08">
        <w:rPr>
          <w:bCs/>
          <w:color w:val="000000"/>
        </w:rPr>
        <w:t xml:space="preserve">The information </w:t>
      </w:r>
      <w:r w:rsidR="002465A8">
        <w:rPr>
          <w:bCs/>
          <w:color w:val="000000"/>
        </w:rPr>
        <w:t xml:space="preserve">asked for will be similar to </w:t>
      </w:r>
      <w:r w:rsidR="002465A8" w:rsidRPr="00BA4E08">
        <w:rPr>
          <w:bCs/>
          <w:color w:val="000000"/>
        </w:rPr>
        <w:t>last year</w:t>
      </w:r>
      <w:r w:rsidR="002465A8">
        <w:rPr>
          <w:bCs/>
          <w:color w:val="000000"/>
        </w:rPr>
        <w:t>'s data request.</w:t>
      </w:r>
      <w:r w:rsidR="007D236F">
        <w:rPr>
          <w:bCs/>
          <w:color w:val="000000"/>
        </w:rPr>
        <w:t xml:space="preserve"> </w:t>
      </w:r>
      <w:r w:rsidR="002465A8" w:rsidRPr="00BA4E08">
        <w:rPr>
          <w:bCs/>
          <w:color w:val="000000"/>
        </w:rPr>
        <w:t xml:space="preserve"> </w:t>
      </w:r>
      <w:r w:rsidR="002465A8">
        <w:rPr>
          <w:bCs/>
          <w:color w:val="000000"/>
        </w:rPr>
        <w:t>NorthWestern Energy (</w:t>
      </w:r>
      <w:r w:rsidR="002465A8" w:rsidRPr="00BA4E08">
        <w:rPr>
          <w:bCs/>
          <w:color w:val="000000"/>
        </w:rPr>
        <w:t>NWMT</w:t>
      </w:r>
      <w:r w:rsidR="002465A8">
        <w:rPr>
          <w:bCs/>
          <w:color w:val="000000"/>
        </w:rPr>
        <w:t>)</w:t>
      </w:r>
      <w:r w:rsidR="002465A8" w:rsidRPr="00BA4E08">
        <w:rPr>
          <w:bCs/>
          <w:color w:val="000000"/>
        </w:rPr>
        <w:t xml:space="preserve"> uses the data collected to plan, construct, operate and maintain its Transmission System in accordance with Good Utility Practice and its planning obligations in Attachment K.</w:t>
      </w:r>
    </w:p>
    <w:p w:rsidR="00D668A7" w:rsidRDefault="00D668A7" w:rsidP="00575EC4">
      <w:pPr>
        <w:spacing w:line="360" w:lineRule="auto"/>
        <w:ind w:right="-180"/>
        <w:rPr>
          <w:bCs/>
        </w:rPr>
      </w:pPr>
    </w:p>
    <w:p w:rsidR="003833DC" w:rsidRDefault="001B6C4F" w:rsidP="00575EC4">
      <w:pPr>
        <w:spacing w:line="360" w:lineRule="auto"/>
        <w:ind w:right="-180"/>
        <w:rPr>
          <w:bCs/>
        </w:rPr>
      </w:pPr>
      <w:r>
        <w:rPr>
          <w:bCs/>
        </w:rPr>
        <w:t>On December 4, 2013, t</w:t>
      </w:r>
      <w:r w:rsidR="001D3E16">
        <w:rPr>
          <w:bCs/>
        </w:rPr>
        <w:t xml:space="preserve">he NERC </w:t>
      </w:r>
      <w:r w:rsidR="009B608E">
        <w:rPr>
          <w:bCs/>
        </w:rPr>
        <w:t xml:space="preserve">2013/2014 </w:t>
      </w:r>
      <w:r w:rsidR="00310328">
        <w:rPr>
          <w:bCs/>
        </w:rPr>
        <w:t xml:space="preserve">Winter Assessment </w:t>
      </w:r>
      <w:r>
        <w:rPr>
          <w:bCs/>
        </w:rPr>
        <w:t>was</w:t>
      </w:r>
      <w:r w:rsidR="001D3E16">
        <w:rPr>
          <w:bCs/>
        </w:rPr>
        <w:t xml:space="preserve"> </w:t>
      </w:r>
      <w:r w:rsidR="00575EC4">
        <w:rPr>
          <w:bCs/>
        </w:rPr>
        <w:t xml:space="preserve">posted on the NERC website at </w:t>
      </w:r>
      <w:hyperlink r:id="rId6" w:history="1">
        <w:r w:rsidR="003833DC" w:rsidRPr="003833DC">
          <w:rPr>
            <w:rStyle w:val="Hyperlink"/>
            <w:bCs/>
          </w:rPr>
          <w:t>http://www.nerc.com/pa/RAPA/ra/Reliability%20Assessments%20DL/2013WRA_Final.pdf</w:t>
        </w:r>
      </w:hyperlink>
      <w:r w:rsidR="003833DC">
        <w:rPr>
          <w:bCs/>
        </w:rPr>
        <w:t xml:space="preserve">  </w:t>
      </w:r>
      <w:r w:rsidR="003833DC" w:rsidRPr="003833DC">
        <w:rPr>
          <w:bCs/>
        </w:rPr>
        <w:t xml:space="preserve">For the 2013–2014 winter operating period, all assessment areas project sufficient resources to meet peak demands. </w:t>
      </w:r>
    </w:p>
    <w:p w:rsidR="00D668A7" w:rsidRDefault="00D668A7" w:rsidP="00575EC4">
      <w:pPr>
        <w:spacing w:line="360" w:lineRule="auto"/>
        <w:ind w:right="-180"/>
        <w:rPr>
          <w:bCs/>
        </w:rPr>
      </w:pPr>
    </w:p>
    <w:p w:rsidR="003833DC" w:rsidRDefault="001B6C4F" w:rsidP="00575EC4">
      <w:pPr>
        <w:spacing w:line="360" w:lineRule="auto"/>
        <w:ind w:right="-180"/>
        <w:rPr>
          <w:bCs/>
        </w:rPr>
      </w:pPr>
      <w:r>
        <w:rPr>
          <w:bCs/>
        </w:rPr>
        <w:t xml:space="preserve">On December 9, 2013, the 2013 Long-Term Reliability Assessment was posted on the NERC website at </w:t>
      </w:r>
      <w:hyperlink r:id="rId7" w:history="1">
        <w:r w:rsidRPr="001B6C4F">
          <w:rPr>
            <w:rStyle w:val="Hyperlink"/>
            <w:bCs/>
          </w:rPr>
          <w:t>http://www.nerc.com/pa/RAPA/ra/Reliability%20Assessments%20DL/2013_LTRA_FINAL.pdf</w:t>
        </w:r>
      </w:hyperlink>
    </w:p>
    <w:p w:rsidR="00E62885" w:rsidRDefault="00E62885" w:rsidP="00575EC4">
      <w:pPr>
        <w:spacing w:line="360" w:lineRule="auto"/>
        <w:ind w:right="-180"/>
        <w:rPr>
          <w:bCs/>
        </w:rPr>
      </w:pPr>
      <w:r>
        <w:rPr>
          <w:bCs/>
        </w:rPr>
        <w:t xml:space="preserve">The </w:t>
      </w:r>
      <w:r w:rsidR="00AE513C">
        <w:rPr>
          <w:bCs/>
        </w:rPr>
        <w:t>2013 Long-Term Reliability Assessment</w:t>
      </w:r>
      <w:r w:rsidR="001D3E16">
        <w:rPr>
          <w:bCs/>
        </w:rPr>
        <w:t xml:space="preserve"> </w:t>
      </w:r>
      <w:r>
        <w:rPr>
          <w:bCs/>
        </w:rPr>
        <w:t>identified six issues:</w:t>
      </w:r>
    </w:p>
    <w:p w:rsidR="00E62885" w:rsidRDefault="00E62885" w:rsidP="00575EC4">
      <w:pPr>
        <w:spacing w:line="360" w:lineRule="auto"/>
        <w:ind w:right="-180"/>
        <w:rPr>
          <w:bCs/>
        </w:rPr>
      </w:pPr>
      <w:r>
        <w:rPr>
          <w:bCs/>
        </w:rPr>
        <w:tab/>
        <w:t>1.  Resource Adequacy Assessments fall below Planning Reserve Margin Targets in MISO.</w:t>
      </w:r>
    </w:p>
    <w:p w:rsidR="00E62885" w:rsidRDefault="00E62885" w:rsidP="00575EC4">
      <w:pPr>
        <w:spacing w:line="360" w:lineRule="auto"/>
        <w:ind w:right="-180"/>
        <w:rPr>
          <w:bCs/>
        </w:rPr>
      </w:pPr>
      <w:r>
        <w:rPr>
          <w:bCs/>
        </w:rPr>
        <w:tab/>
        <w:t xml:space="preserve">2.  High Levels of Variable Generation may </w:t>
      </w:r>
      <w:r w:rsidR="0005434B">
        <w:rPr>
          <w:bCs/>
        </w:rPr>
        <w:t>P</w:t>
      </w:r>
      <w:r>
        <w:rPr>
          <w:bCs/>
        </w:rPr>
        <w:t>resent Operational and Planning Challenges.</w:t>
      </w:r>
    </w:p>
    <w:p w:rsidR="00E62885" w:rsidRDefault="00E62885" w:rsidP="00575EC4">
      <w:pPr>
        <w:spacing w:line="360" w:lineRule="auto"/>
        <w:ind w:right="-180"/>
        <w:rPr>
          <w:bCs/>
        </w:rPr>
      </w:pPr>
      <w:r>
        <w:rPr>
          <w:bCs/>
        </w:rPr>
        <w:tab/>
        <w:t xml:space="preserve">3.  Fossil-Fired Retirements and Coordination of Outages for Environmental Control </w:t>
      </w:r>
      <w:r w:rsidR="009B32DA">
        <w:rPr>
          <w:bCs/>
        </w:rPr>
        <w:tab/>
      </w:r>
      <w:r>
        <w:rPr>
          <w:bCs/>
        </w:rPr>
        <w:t>Retrofits Continue to Present Challenges.</w:t>
      </w:r>
    </w:p>
    <w:p w:rsidR="00E62885" w:rsidRDefault="00E62885" w:rsidP="00575EC4">
      <w:pPr>
        <w:spacing w:line="360" w:lineRule="auto"/>
        <w:ind w:right="-180"/>
        <w:rPr>
          <w:bCs/>
        </w:rPr>
      </w:pPr>
      <w:r>
        <w:rPr>
          <w:bCs/>
        </w:rPr>
        <w:tab/>
        <w:t xml:space="preserve">4.  Continued Increases in Natural Gas-Fired Generation may Require Enhancements to </w:t>
      </w:r>
      <w:r w:rsidR="009B32DA">
        <w:rPr>
          <w:bCs/>
        </w:rPr>
        <w:tab/>
      </w:r>
      <w:r>
        <w:rPr>
          <w:bCs/>
        </w:rPr>
        <w:t>Planning and Operations.</w:t>
      </w:r>
    </w:p>
    <w:p w:rsidR="00E62885" w:rsidRDefault="00E62885" w:rsidP="00575EC4">
      <w:pPr>
        <w:spacing w:line="360" w:lineRule="auto"/>
        <w:ind w:right="-180"/>
        <w:rPr>
          <w:bCs/>
        </w:rPr>
      </w:pPr>
      <w:r>
        <w:rPr>
          <w:bCs/>
        </w:rPr>
        <w:tab/>
        <w:t>5.  Increase</w:t>
      </w:r>
      <w:r w:rsidR="007B5CF7">
        <w:rPr>
          <w:bCs/>
        </w:rPr>
        <w:t>d</w:t>
      </w:r>
      <w:r>
        <w:rPr>
          <w:bCs/>
        </w:rPr>
        <w:t xml:space="preserve"> Use of Demand-Side Management (DSM) Creates More Uncertainty for </w:t>
      </w:r>
      <w:r w:rsidR="009B32DA">
        <w:rPr>
          <w:bCs/>
        </w:rPr>
        <w:tab/>
      </w:r>
      <w:r>
        <w:rPr>
          <w:bCs/>
        </w:rPr>
        <w:t>System Planners and Operators.</w:t>
      </w:r>
    </w:p>
    <w:p w:rsidR="009B32DA" w:rsidRDefault="009B32DA" w:rsidP="00575EC4">
      <w:pPr>
        <w:spacing w:line="360" w:lineRule="auto"/>
        <w:ind w:right="-180"/>
        <w:rPr>
          <w:bCs/>
        </w:rPr>
      </w:pPr>
      <w:r>
        <w:rPr>
          <w:bCs/>
        </w:rPr>
        <w:tab/>
        <w:t xml:space="preserve">6.  Nuclear Generation Retirements and Long-Term Outages Reduce Flexibility and </w:t>
      </w:r>
      <w:r>
        <w:rPr>
          <w:bCs/>
        </w:rPr>
        <w:tab/>
        <w:t>Present Potential Reliability Challenges.</w:t>
      </w:r>
    </w:p>
    <w:sectPr w:rsidR="009B32DA" w:rsidSect="00FA4B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569" w:rsidRDefault="00D61569" w:rsidP="00C6612F">
      <w:r>
        <w:separator/>
      </w:r>
    </w:p>
  </w:endnote>
  <w:endnote w:type="continuationSeparator" w:id="0">
    <w:p w:rsidR="00D61569" w:rsidRDefault="00D61569" w:rsidP="00C6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49" w:rsidRDefault="00C6612F" w:rsidP="00C6612F">
    <w:pPr>
      <w:pStyle w:val="Footer"/>
      <w:jc w:val="center"/>
      <w:rPr>
        <w:rFonts w:asciiTheme="minorHAnsi" w:hAnsiTheme="minorHAnsi" w:cstheme="minorHAnsi"/>
        <w:b/>
        <w:sz w:val="18"/>
        <w:szCs w:val="18"/>
      </w:rPr>
    </w:pPr>
    <w:r w:rsidRPr="004B1A06">
      <w:rPr>
        <w:rFonts w:asciiTheme="minorHAnsi" w:hAnsiTheme="minorHAnsi" w:cstheme="minorHAnsi"/>
        <w:sz w:val="18"/>
        <w:szCs w:val="18"/>
      </w:rPr>
      <w:t>NWE</w:t>
    </w:r>
    <w:r w:rsidRPr="004B1A06">
      <w:rPr>
        <w:rFonts w:asciiTheme="minorHAnsi" w:hAnsiTheme="minorHAnsi" w:cstheme="minorHAnsi"/>
        <w:sz w:val="18"/>
        <w:szCs w:val="18"/>
      </w:rPr>
      <w:tab/>
      <w:t xml:space="preserve">Page </w:t>
    </w:r>
    <w:r w:rsidRPr="004B1A06">
      <w:rPr>
        <w:rFonts w:asciiTheme="minorHAnsi" w:hAnsiTheme="minorHAnsi" w:cstheme="minorHAnsi"/>
        <w:b/>
        <w:sz w:val="18"/>
        <w:szCs w:val="18"/>
      </w:rPr>
      <w:t>1</w:t>
    </w:r>
    <w:r w:rsidRPr="004B1A06">
      <w:rPr>
        <w:rFonts w:asciiTheme="minorHAnsi" w:hAnsiTheme="minorHAnsi" w:cstheme="minorHAnsi"/>
        <w:b/>
        <w:sz w:val="18"/>
        <w:szCs w:val="18"/>
      </w:rPr>
      <w:tab/>
    </w:r>
    <w:r w:rsidR="009B32DA">
      <w:rPr>
        <w:rFonts w:asciiTheme="minorHAnsi" w:hAnsiTheme="minorHAnsi" w:cstheme="minorHAnsi"/>
        <w:b/>
        <w:sz w:val="18"/>
        <w:szCs w:val="18"/>
      </w:rPr>
      <w:t>December 17</w:t>
    </w:r>
    <w:r w:rsidR="00C02F49">
      <w:rPr>
        <w:rFonts w:asciiTheme="minorHAnsi" w:hAnsiTheme="minorHAnsi" w:cstheme="minorHAnsi"/>
        <w:b/>
        <w:sz w:val="18"/>
        <w:szCs w:val="18"/>
      </w:rPr>
      <w:t>, 2013</w:t>
    </w:r>
  </w:p>
  <w:p w:rsidR="00C6612F" w:rsidRPr="004B1A06" w:rsidRDefault="00C6612F" w:rsidP="00C6612F">
    <w:pPr>
      <w:pStyle w:val="Footer"/>
      <w:jc w:val="center"/>
      <w:rPr>
        <w:rFonts w:asciiTheme="minorHAnsi" w:hAnsiTheme="minorHAnsi" w:cstheme="minorHAnsi"/>
        <w:sz w:val="18"/>
        <w:szCs w:val="18"/>
      </w:rPr>
    </w:pPr>
  </w:p>
  <w:p w:rsidR="00C6612F" w:rsidRDefault="00C661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569" w:rsidRDefault="00D61569" w:rsidP="00C6612F">
      <w:r>
        <w:separator/>
      </w:r>
    </w:p>
  </w:footnote>
  <w:footnote w:type="continuationSeparator" w:id="0">
    <w:p w:rsidR="00D61569" w:rsidRDefault="00D61569" w:rsidP="00C66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stylePaneFormatFilter w:val="3F04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9BE"/>
    <w:rsid w:val="000275EA"/>
    <w:rsid w:val="0005434B"/>
    <w:rsid w:val="00070BE4"/>
    <w:rsid w:val="000B2840"/>
    <w:rsid w:val="000B5EC2"/>
    <w:rsid w:val="00165D2A"/>
    <w:rsid w:val="00182558"/>
    <w:rsid w:val="001B6C4F"/>
    <w:rsid w:val="001D3E16"/>
    <w:rsid w:val="001D5703"/>
    <w:rsid w:val="001E2740"/>
    <w:rsid w:val="001E35F9"/>
    <w:rsid w:val="001F075E"/>
    <w:rsid w:val="00232117"/>
    <w:rsid w:val="00233BE7"/>
    <w:rsid w:val="002465A8"/>
    <w:rsid w:val="00274855"/>
    <w:rsid w:val="0027534C"/>
    <w:rsid w:val="00293BCD"/>
    <w:rsid w:val="002A09BE"/>
    <w:rsid w:val="002B25D8"/>
    <w:rsid w:val="00310328"/>
    <w:rsid w:val="00354703"/>
    <w:rsid w:val="003833DC"/>
    <w:rsid w:val="00384DFB"/>
    <w:rsid w:val="003B3033"/>
    <w:rsid w:val="003F755E"/>
    <w:rsid w:val="0044274B"/>
    <w:rsid w:val="004741BF"/>
    <w:rsid w:val="0047719E"/>
    <w:rsid w:val="004B1A06"/>
    <w:rsid w:val="00500F88"/>
    <w:rsid w:val="005425A3"/>
    <w:rsid w:val="00575EC4"/>
    <w:rsid w:val="00575EDB"/>
    <w:rsid w:val="00592F9C"/>
    <w:rsid w:val="006163F9"/>
    <w:rsid w:val="00631E9D"/>
    <w:rsid w:val="006466D1"/>
    <w:rsid w:val="006910C8"/>
    <w:rsid w:val="00693FF4"/>
    <w:rsid w:val="007344ED"/>
    <w:rsid w:val="00735C1F"/>
    <w:rsid w:val="00753F3F"/>
    <w:rsid w:val="00754805"/>
    <w:rsid w:val="007B5CF7"/>
    <w:rsid w:val="007C4968"/>
    <w:rsid w:val="007D236F"/>
    <w:rsid w:val="007E12E2"/>
    <w:rsid w:val="008C14F4"/>
    <w:rsid w:val="0090207D"/>
    <w:rsid w:val="00922DDF"/>
    <w:rsid w:val="0094246B"/>
    <w:rsid w:val="009B32DA"/>
    <w:rsid w:val="009B608E"/>
    <w:rsid w:val="00A25DE7"/>
    <w:rsid w:val="00A93FE7"/>
    <w:rsid w:val="00AB49D8"/>
    <w:rsid w:val="00AE513C"/>
    <w:rsid w:val="00B023C2"/>
    <w:rsid w:val="00B771A5"/>
    <w:rsid w:val="00B83A53"/>
    <w:rsid w:val="00BA4E08"/>
    <w:rsid w:val="00BE1C7E"/>
    <w:rsid w:val="00C02F49"/>
    <w:rsid w:val="00C31740"/>
    <w:rsid w:val="00C638D0"/>
    <w:rsid w:val="00C6612F"/>
    <w:rsid w:val="00C71E55"/>
    <w:rsid w:val="00CD4AF1"/>
    <w:rsid w:val="00D37585"/>
    <w:rsid w:val="00D61569"/>
    <w:rsid w:val="00D668A7"/>
    <w:rsid w:val="00D916B9"/>
    <w:rsid w:val="00D932FA"/>
    <w:rsid w:val="00D95103"/>
    <w:rsid w:val="00E019E7"/>
    <w:rsid w:val="00E62885"/>
    <w:rsid w:val="00EC5E94"/>
    <w:rsid w:val="00ED3AEA"/>
    <w:rsid w:val="00ED417D"/>
    <w:rsid w:val="00EF1FED"/>
    <w:rsid w:val="00EF2603"/>
    <w:rsid w:val="00EF57CE"/>
    <w:rsid w:val="00F30F0D"/>
    <w:rsid w:val="00F81755"/>
    <w:rsid w:val="00FA4BB2"/>
    <w:rsid w:val="00FB5545"/>
    <w:rsid w:val="00FE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F3F"/>
    <w:pPr>
      <w:keepNext/>
      <w:spacing w:before="240" w:after="60"/>
      <w:outlineLvl w:val="0"/>
    </w:pPr>
    <w:rPr>
      <w:rFonts w:ascii="Arial Bold" w:hAnsi="Arial Bold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53F3F"/>
    <w:pPr>
      <w:keepNext/>
      <w:spacing w:before="240" w:after="60"/>
      <w:outlineLvl w:val="1"/>
    </w:pPr>
    <w:rPr>
      <w:rFonts w:ascii="Arial Bold" w:hAnsi="Arial Bold"/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53F3F"/>
    <w:pPr>
      <w:keepNext/>
      <w:spacing w:before="240" w:after="60"/>
      <w:outlineLvl w:val="2"/>
    </w:pPr>
    <w:rPr>
      <w:rFonts w:ascii="Arial Bold" w:hAnsi="Arial Bold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53F3F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F3F"/>
    <w:rPr>
      <w:rFonts w:ascii="Arial Bold" w:hAnsi="Arial Bold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53F3F"/>
    <w:rPr>
      <w:rFonts w:ascii="Arial Bold" w:hAnsi="Arial Bold"/>
      <w:b/>
      <w:bCs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53F3F"/>
    <w:rPr>
      <w:rFonts w:ascii="Arial Bold" w:hAnsi="Arial Bol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53F3F"/>
    <w:rPr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2A09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840"/>
    <w:rPr>
      <w:color w:val="800080" w:themeColor="followedHyperlink"/>
      <w:u w:val="single"/>
    </w:rPr>
  </w:style>
  <w:style w:type="paragraph" w:customStyle="1" w:styleId="Default">
    <w:name w:val="Default"/>
    <w:rsid w:val="00D932F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66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1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1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erc.com/pa/RAPA/ra/Reliability%20Assessments%20DL/2013_LTRA_FIN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rc.com/pa/RAPA/ra/Reliability%20Assessments%20DL/2013WRA_Final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Mathews</dc:creator>
  <cp:keywords/>
  <dc:description/>
  <cp:lastModifiedBy>Mathews</cp:lastModifiedBy>
  <cp:revision>7</cp:revision>
  <cp:lastPrinted>2013-12-11T20:22:00Z</cp:lastPrinted>
  <dcterms:created xsi:type="dcterms:W3CDTF">2013-12-10T20:56:00Z</dcterms:created>
  <dcterms:modified xsi:type="dcterms:W3CDTF">2013-12-11T20:40:00Z</dcterms:modified>
</cp:coreProperties>
</file>