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C4" w:rsidRPr="001E48AC" w:rsidRDefault="003E17C2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 w:rsidR="00E635C4" w:rsidRPr="001E48AC">
        <w:rPr>
          <w:rFonts w:ascii="Times New Roman" w:hAnsi="Times New Roman"/>
          <w:b/>
          <w:sz w:val="32"/>
          <w:szCs w:val="32"/>
        </w:rPr>
        <w:t>Compliance</w:t>
      </w:r>
    </w:p>
    <w:p w:rsidR="00E635C4" w:rsidRPr="001E48AC" w:rsidRDefault="00E635C4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48AC">
        <w:rPr>
          <w:rFonts w:ascii="Times New Roman" w:hAnsi="Times New Roman"/>
          <w:b/>
          <w:sz w:val="32"/>
          <w:szCs w:val="32"/>
        </w:rPr>
        <w:t>TRANSAC</w:t>
      </w:r>
    </w:p>
    <w:p w:rsidR="00E635C4" w:rsidRPr="001E48AC" w:rsidRDefault="00FA7F0D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December 16</w:t>
      </w:r>
      <w:r w:rsidR="005328FC">
        <w:rPr>
          <w:rFonts w:ascii="Times New Roman" w:hAnsi="Times New Roman"/>
          <w:b/>
          <w:sz w:val="32"/>
          <w:szCs w:val="32"/>
        </w:rPr>
        <w:t>, 2014</w:t>
      </w:r>
    </w:p>
    <w:p w:rsidR="00E635C4" w:rsidRDefault="00E635C4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48AC">
        <w:rPr>
          <w:rFonts w:ascii="Times New Roman" w:hAnsi="Times New Roman"/>
          <w:b/>
          <w:sz w:val="32"/>
          <w:szCs w:val="32"/>
        </w:rPr>
        <w:t>Update</w:t>
      </w:r>
    </w:p>
    <w:p w:rsidR="0009523D" w:rsidRDefault="0009523D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B5665" w:rsidRDefault="00CB5665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57AB7" w:rsidRPr="004E141F" w:rsidRDefault="00557AB7" w:rsidP="00557AB7">
      <w:pPr>
        <w:spacing w:after="120" w:line="360" w:lineRule="auto"/>
        <w:ind w:right="-187"/>
        <w:rPr>
          <w:rFonts w:ascii="Times New Roman" w:hAnsi="Times New Roman"/>
          <w:sz w:val="24"/>
          <w:szCs w:val="24"/>
        </w:rPr>
      </w:pPr>
      <w:r w:rsidRPr="004E141F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February 12, 2014</w:t>
      </w:r>
      <w:r w:rsidRPr="004E141F">
        <w:rPr>
          <w:rFonts w:ascii="Times New Roman" w:hAnsi="Times New Roman"/>
          <w:sz w:val="24"/>
          <w:szCs w:val="24"/>
        </w:rPr>
        <w:t xml:space="preserve"> FERC accepted compliance filings submitted by NERC and the Western Electricity Coordinating Council (WECC) to establish an independent reliability coordinator for the Western Interconnection known as Peak </w:t>
      </w:r>
      <w:r>
        <w:rPr>
          <w:rFonts w:ascii="Times New Roman" w:hAnsi="Times New Roman"/>
          <w:sz w:val="24"/>
          <w:szCs w:val="24"/>
        </w:rPr>
        <w:t>R</w:t>
      </w:r>
      <w:r w:rsidRPr="004E141F">
        <w:rPr>
          <w:rFonts w:ascii="Times New Roman" w:hAnsi="Times New Roman"/>
          <w:sz w:val="24"/>
          <w:szCs w:val="24"/>
        </w:rPr>
        <w:t>eliability.</w:t>
      </w:r>
    </w:p>
    <w:p w:rsidR="00557AB7" w:rsidRPr="00847460" w:rsidRDefault="00E149A0" w:rsidP="00557AB7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57AB7">
        <w:rPr>
          <w:rFonts w:ascii="Times New Roman" w:hAnsi="Times New Roman"/>
          <w:sz w:val="24"/>
          <w:szCs w:val="24"/>
        </w:rPr>
        <w:t>n July 1, 2014, the definition of the</w:t>
      </w:r>
      <w:r w:rsidR="002C27DF">
        <w:rPr>
          <w:rFonts w:ascii="Times New Roman" w:hAnsi="Times New Roman"/>
          <w:sz w:val="24"/>
          <w:szCs w:val="24"/>
        </w:rPr>
        <w:t xml:space="preserve"> Bulk Electric System (BES) beca</w:t>
      </w:r>
      <w:r w:rsidR="00557AB7">
        <w:rPr>
          <w:rFonts w:ascii="Times New Roman" w:hAnsi="Times New Roman"/>
          <w:sz w:val="24"/>
          <w:szCs w:val="24"/>
        </w:rPr>
        <w:t xml:space="preserve">me effective. </w:t>
      </w:r>
      <w:r w:rsidR="00557AB7" w:rsidRPr="00F52CC9">
        <w:rPr>
          <w:rFonts w:ascii="Times New Roman" w:hAnsi="Times New Roman"/>
          <w:sz w:val="24"/>
          <w:szCs w:val="24"/>
        </w:rPr>
        <w:t xml:space="preserve">The definition includes core criteria with various enumerated inclusions and exclusions. </w:t>
      </w:r>
      <w:r w:rsidR="00414658">
        <w:rPr>
          <w:rFonts w:ascii="Times New Roman" w:hAnsi="Times New Roman"/>
          <w:sz w:val="24"/>
          <w:szCs w:val="24"/>
        </w:rPr>
        <w:t xml:space="preserve"> </w:t>
      </w:r>
      <w:r w:rsidR="00557AB7" w:rsidRPr="00F52CC9">
        <w:rPr>
          <w:rFonts w:ascii="Times New Roman" w:hAnsi="Times New Roman"/>
          <w:sz w:val="24"/>
          <w:szCs w:val="24"/>
        </w:rPr>
        <w:t xml:space="preserve">FERC also approved NERC’s processes for reviewing elements on a case-by-case basis to allow for exceptions from the definition, and for entities to notify Regions of their respective self-determinations of BES </w:t>
      </w:r>
      <w:proofErr w:type="gramStart"/>
      <w:r w:rsidR="00557AB7" w:rsidRPr="00F52CC9">
        <w:rPr>
          <w:rFonts w:ascii="Times New Roman" w:hAnsi="Times New Roman"/>
          <w:sz w:val="24"/>
          <w:szCs w:val="24"/>
        </w:rPr>
        <w:t>elements</w:t>
      </w:r>
      <w:proofErr w:type="gramEnd"/>
      <w:r w:rsidR="00557AB7" w:rsidRPr="00F52CC9">
        <w:rPr>
          <w:rFonts w:ascii="Times New Roman" w:hAnsi="Times New Roman"/>
          <w:sz w:val="24"/>
          <w:szCs w:val="24"/>
        </w:rPr>
        <w:t>.</w:t>
      </w:r>
      <w:r w:rsidR="00557AB7">
        <w:rPr>
          <w:rFonts w:ascii="Times New Roman" w:hAnsi="Times New Roman"/>
          <w:sz w:val="24"/>
          <w:szCs w:val="24"/>
        </w:rPr>
        <w:t xml:space="preserve">  More information can be found at </w:t>
      </w:r>
      <w:hyperlink r:id="rId8" w:history="1">
        <w:r w:rsidR="00557AB7" w:rsidRPr="009C6D0F">
          <w:rPr>
            <w:rStyle w:val="Hyperlink"/>
            <w:rFonts w:ascii="Times New Roman" w:hAnsi="Times New Roman"/>
            <w:sz w:val="24"/>
            <w:szCs w:val="24"/>
          </w:rPr>
          <w:t>Bulk Electric System Definition Effective July 1, 2014</w:t>
        </w:r>
      </w:hyperlink>
      <w:r w:rsidR="00557AB7">
        <w:rPr>
          <w:rFonts w:ascii="Times New Roman" w:hAnsi="Times New Roman"/>
          <w:sz w:val="24"/>
          <w:szCs w:val="24"/>
        </w:rPr>
        <w:t xml:space="preserve">  </w:t>
      </w:r>
    </w:p>
    <w:p w:rsidR="004E141F" w:rsidRPr="004E141F" w:rsidRDefault="00870300" w:rsidP="00C1564D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new standard, TPL-007</w:t>
      </w:r>
      <w:r w:rsidR="002C27DF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, Transmission System Planned Performance </w:t>
      </w:r>
      <w:r w:rsidR="002C27DF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Geomagnetic </w:t>
      </w:r>
      <w:r w:rsidR="002C27DF">
        <w:rPr>
          <w:rFonts w:ascii="Times New Roman" w:hAnsi="Times New Roman"/>
          <w:sz w:val="24"/>
          <w:szCs w:val="24"/>
        </w:rPr>
        <w:t>Events</w:t>
      </w:r>
      <w:r>
        <w:rPr>
          <w:rFonts w:ascii="Times New Roman" w:hAnsi="Times New Roman"/>
          <w:sz w:val="24"/>
          <w:szCs w:val="24"/>
        </w:rPr>
        <w:t xml:space="preserve">, is being developed. </w:t>
      </w:r>
      <w:r w:rsidR="00066CC0">
        <w:rPr>
          <w:rFonts w:ascii="Times New Roman" w:hAnsi="Times New Roman"/>
          <w:sz w:val="24"/>
          <w:szCs w:val="24"/>
        </w:rPr>
        <w:t xml:space="preserve"> </w:t>
      </w:r>
      <w:r w:rsidR="00414658">
        <w:rPr>
          <w:rFonts w:ascii="Times New Roman" w:hAnsi="Times New Roman"/>
          <w:sz w:val="24"/>
          <w:szCs w:val="24"/>
        </w:rPr>
        <w:t xml:space="preserve">The </w:t>
      </w:r>
      <w:r w:rsidR="00830A5C">
        <w:rPr>
          <w:rFonts w:ascii="Times New Roman" w:hAnsi="Times New Roman"/>
          <w:sz w:val="24"/>
          <w:szCs w:val="24"/>
        </w:rPr>
        <w:t>final ballot voting closes December 16</w:t>
      </w:r>
      <w:r w:rsidR="00414658">
        <w:rPr>
          <w:rFonts w:ascii="Times New Roman" w:hAnsi="Times New Roman"/>
          <w:sz w:val="24"/>
          <w:szCs w:val="24"/>
        </w:rPr>
        <w:t>, 2014.</w:t>
      </w:r>
      <w:r w:rsidR="00D114CE">
        <w:rPr>
          <w:rFonts w:ascii="Times New Roman" w:hAnsi="Times New Roman"/>
          <w:sz w:val="24"/>
          <w:szCs w:val="24"/>
        </w:rPr>
        <w:t xml:space="preserve">  </w:t>
      </w:r>
      <w:r w:rsidR="00066CC0">
        <w:rPr>
          <w:rFonts w:ascii="Times New Roman" w:hAnsi="Times New Roman"/>
          <w:sz w:val="24"/>
          <w:szCs w:val="24"/>
        </w:rPr>
        <w:t xml:space="preserve">For more information go to </w:t>
      </w:r>
      <w:hyperlink r:id="rId9" w:history="1">
        <w:r w:rsidR="00066CC0" w:rsidRPr="00066CC0">
          <w:rPr>
            <w:rStyle w:val="Hyperlink"/>
            <w:rFonts w:ascii="Times New Roman" w:hAnsi="Times New Roman"/>
            <w:sz w:val="24"/>
            <w:szCs w:val="24"/>
          </w:rPr>
          <w:t>Project 2013-03 Geomagnetic Disturbance Mitigation</w:t>
        </w:r>
      </w:hyperlink>
    </w:p>
    <w:p w:rsidR="00AE4314" w:rsidRDefault="00AE4314" w:rsidP="00AE4314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November 13, 2014 the NERC Board of Trustees adopted nine standards projects.  More information is available at </w:t>
      </w:r>
      <w:hyperlink r:id="rId10" w:history="1">
        <w:r w:rsidRPr="00AE4314">
          <w:rPr>
            <w:rStyle w:val="Hyperlink"/>
            <w:rFonts w:ascii="Times New Roman" w:hAnsi="Times New Roman"/>
            <w:sz w:val="24"/>
            <w:szCs w:val="24"/>
          </w:rPr>
          <w:t>http://www.nerc.com/news/Headlines%20DL/BOARD%2013NOV14.pdf</w:t>
        </w:r>
      </w:hyperlink>
    </w:p>
    <w:p w:rsidR="00AE4314" w:rsidRDefault="00E149A0" w:rsidP="00E149A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complete set of Reliability Standards, updated </w:t>
      </w:r>
      <w:r w:rsidR="003214E6">
        <w:rPr>
          <w:rFonts w:ascii="Times New Roman" w:hAnsi="Times New Roman"/>
          <w:sz w:val="24"/>
          <w:szCs w:val="24"/>
        </w:rPr>
        <w:t>November 17</w:t>
      </w:r>
      <w:r>
        <w:rPr>
          <w:rFonts w:ascii="Times New Roman" w:hAnsi="Times New Roman"/>
          <w:sz w:val="24"/>
          <w:szCs w:val="24"/>
        </w:rPr>
        <w:t xml:space="preserve">, 2014, along with a Glossary of Terms, can be found at </w:t>
      </w:r>
      <w:hyperlink r:id="rId11" w:history="1">
        <w:r w:rsidR="00AE4314" w:rsidRPr="00AE4314">
          <w:rPr>
            <w:rStyle w:val="Hyperlink"/>
            <w:rFonts w:ascii="Times New Roman" w:hAnsi="Times New Roman"/>
            <w:sz w:val="24"/>
            <w:szCs w:val="24"/>
          </w:rPr>
          <w:t>http://www.nerc.com/pa/Stand/Reliability%20Standards%20Complete%20Set/RSCompleteSet.pdf</w:t>
        </w:r>
      </w:hyperlink>
    </w:p>
    <w:p w:rsidR="00AC077B" w:rsidRPr="00AC077B" w:rsidRDefault="00AC077B" w:rsidP="00E149A0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AC077B">
        <w:rPr>
          <w:rFonts w:ascii="Times New Roman" w:hAnsi="Times New Roman"/>
          <w:sz w:val="24"/>
          <w:szCs w:val="24"/>
        </w:rPr>
        <w:t xml:space="preserve">Settlement agreements </w:t>
      </w:r>
      <w:r>
        <w:rPr>
          <w:rFonts w:ascii="Times New Roman" w:hAnsi="Times New Roman"/>
          <w:sz w:val="24"/>
          <w:szCs w:val="24"/>
        </w:rPr>
        <w:t>with FERC/NERC addressing the penalties assessed for the Sept. 8, 201</w:t>
      </w:r>
      <w:r w:rsidR="006B00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Southwest Blackout </w:t>
      </w:r>
      <w:proofErr w:type="gramStart"/>
      <w:r w:rsidR="0082226E">
        <w:rPr>
          <w:rFonts w:ascii="Times New Roman" w:hAnsi="Times New Roman"/>
          <w:sz w:val="24"/>
          <w:szCs w:val="24"/>
        </w:rPr>
        <w:t>are</w:t>
      </w:r>
      <w:proofErr w:type="gramEnd"/>
      <w:r w:rsidR="0082226E">
        <w:rPr>
          <w:rFonts w:ascii="Times New Roman" w:hAnsi="Times New Roman"/>
          <w:sz w:val="24"/>
          <w:szCs w:val="24"/>
        </w:rPr>
        <w:t xml:space="preserve"> in progress.</w:t>
      </w:r>
      <w:r w:rsidR="00BB050A">
        <w:rPr>
          <w:rFonts w:ascii="Times New Roman" w:hAnsi="Times New Roman"/>
          <w:sz w:val="24"/>
          <w:szCs w:val="24"/>
        </w:rPr>
        <w:t xml:space="preserve">  Currently Arizona Public Service (APS), California Independent System Operator (CAISO), Imperial Irrigation District (IID), Southern California Edison (SCE), Western Area Power Administration-Desert Southwest Region (Western-DSW) have settled.  </w:t>
      </w:r>
      <w:r w:rsidR="0082226E">
        <w:rPr>
          <w:rFonts w:ascii="Times New Roman" w:hAnsi="Times New Roman"/>
          <w:sz w:val="24"/>
          <w:szCs w:val="24"/>
        </w:rPr>
        <w:t xml:space="preserve">The Western Electricity Coordinating Council (WECC) has not reached a settlement agreement.  </w:t>
      </w:r>
      <w:r w:rsidR="00CE6431">
        <w:rPr>
          <w:rFonts w:ascii="Times New Roman" w:hAnsi="Times New Roman"/>
          <w:sz w:val="24"/>
          <w:szCs w:val="24"/>
        </w:rPr>
        <w:t xml:space="preserve">More information is available on the NERC Website </w:t>
      </w:r>
      <w:r w:rsidR="004A30E5">
        <w:rPr>
          <w:rFonts w:ascii="Times New Roman" w:hAnsi="Times New Roman"/>
          <w:sz w:val="24"/>
          <w:szCs w:val="24"/>
        </w:rPr>
        <w:t xml:space="preserve">at </w:t>
      </w:r>
      <w:r w:rsidR="00BB0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4A30E5" w:rsidRPr="004A30E5">
          <w:rPr>
            <w:rStyle w:val="Hyperlink"/>
            <w:rFonts w:ascii="Times New Roman" w:hAnsi="Times New Roman"/>
            <w:sz w:val="24"/>
            <w:szCs w:val="24"/>
          </w:rPr>
          <w:t>Headlines Archives</w:t>
        </w:r>
      </w:hyperlink>
      <w:r w:rsidR="0082226E">
        <w:rPr>
          <w:rFonts w:ascii="Times New Roman" w:hAnsi="Times New Roman"/>
          <w:sz w:val="24"/>
          <w:szCs w:val="24"/>
        </w:rPr>
        <w:t xml:space="preserve">.  </w:t>
      </w:r>
    </w:p>
    <w:sectPr w:rsidR="00AC077B" w:rsidRPr="00AC077B" w:rsidSect="00C31F61">
      <w:footerReference w:type="default" r:id="rId13"/>
      <w:pgSz w:w="12240" w:h="15840"/>
      <w:pgMar w:top="1152" w:right="117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83" w:rsidRDefault="002F2E83" w:rsidP="00E635C4">
      <w:pPr>
        <w:spacing w:after="0" w:line="240" w:lineRule="auto"/>
      </w:pPr>
      <w:r>
        <w:separator/>
      </w:r>
    </w:p>
  </w:endnote>
  <w:endnote w:type="continuationSeparator" w:id="0">
    <w:p w:rsidR="002F2E83" w:rsidRDefault="002F2E83" w:rsidP="00E6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C4" w:rsidRPr="0085763D" w:rsidRDefault="00E635C4" w:rsidP="00E635C4">
    <w:pPr>
      <w:pStyle w:val="Footer"/>
      <w:rPr>
        <w:sz w:val="18"/>
        <w:szCs w:val="18"/>
      </w:rPr>
    </w:pPr>
    <w:r>
      <w:rPr>
        <w:sz w:val="18"/>
        <w:szCs w:val="18"/>
      </w:rPr>
      <w:t>NWE</w:t>
    </w:r>
    <w:r>
      <w:rPr>
        <w:sz w:val="18"/>
        <w:szCs w:val="18"/>
      </w:rPr>
      <w:tab/>
    </w:r>
    <w:r w:rsidRPr="0085763D">
      <w:rPr>
        <w:sz w:val="18"/>
        <w:szCs w:val="18"/>
      </w:rPr>
      <w:t xml:space="preserve">Page </w:t>
    </w:r>
    <w:r w:rsidR="00A44ABB" w:rsidRPr="0085763D">
      <w:rPr>
        <w:b/>
        <w:sz w:val="18"/>
        <w:szCs w:val="18"/>
      </w:rPr>
      <w:fldChar w:fldCharType="begin"/>
    </w:r>
    <w:r w:rsidRPr="0085763D">
      <w:rPr>
        <w:b/>
        <w:sz w:val="18"/>
        <w:szCs w:val="18"/>
      </w:rPr>
      <w:instrText xml:space="preserve"> PAGE </w:instrText>
    </w:r>
    <w:r w:rsidR="00A44ABB" w:rsidRPr="0085763D">
      <w:rPr>
        <w:b/>
        <w:sz w:val="18"/>
        <w:szCs w:val="18"/>
      </w:rPr>
      <w:fldChar w:fldCharType="separate"/>
    </w:r>
    <w:r w:rsidR="0092568E">
      <w:rPr>
        <w:b/>
        <w:noProof/>
        <w:sz w:val="18"/>
        <w:szCs w:val="18"/>
      </w:rPr>
      <w:t>1</w:t>
    </w:r>
    <w:r w:rsidR="00A44ABB" w:rsidRPr="0085763D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FA7F0D">
      <w:rPr>
        <w:b/>
        <w:sz w:val="18"/>
        <w:szCs w:val="18"/>
      </w:rPr>
      <w:t>December 16</w:t>
    </w:r>
    <w:r w:rsidR="00DA76E8">
      <w:rPr>
        <w:b/>
        <w:sz w:val="18"/>
        <w:szCs w:val="18"/>
      </w:rPr>
      <w:t>, 2014</w:t>
    </w:r>
  </w:p>
  <w:p w:rsidR="00E635C4" w:rsidRDefault="00E63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83" w:rsidRDefault="002F2E83" w:rsidP="00E635C4">
      <w:pPr>
        <w:spacing w:after="0" w:line="240" w:lineRule="auto"/>
      </w:pPr>
      <w:r>
        <w:separator/>
      </w:r>
    </w:p>
  </w:footnote>
  <w:footnote w:type="continuationSeparator" w:id="0">
    <w:p w:rsidR="002F2E83" w:rsidRDefault="002F2E83" w:rsidP="00E63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C4"/>
    <w:rsid w:val="00020D31"/>
    <w:rsid w:val="000275EA"/>
    <w:rsid w:val="00040DAE"/>
    <w:rsid w:val="00066CC0"/>
    <w:rsid w:val="000843CC"/>
    <w:rsid w:val="0009523D"/>
    <w:rsid w:val="000B617E"/>
    <w:rsid w:val="000C0662"/>
    <w:rsid w:val="000D15F8"/>
    <w:rsid w:val="0010366F"/>
    <w:rsid w:val="001429C4"/>
    <w:rsid w:val="001654B1"/>
    <w:rsid w:val="0018366E"/>
    <w:rsid w:val="0019375D"/>
    <w:rsid w:val="001B5704"/>
    <w:rsid w:val="001D38B5"/>
    <w:rsid w:val="001D4B0E"/>
    <w:rsid w:val="001E2740"/>
    <w:rsid w:val="001F075E"/>
    <w:rsid w:val="001F6D70"/>
    <w:rsid w:val="00232117"/>
    <w:rsid w:val="002468CB"/>
    <w:rsid w:val="00262D37"/>
    <w:rsid w:val="00276D53"/>
    <w:rsid w:val="00293BCD"/>
    <w:rsid w:val="002C27DF"/>
    <w:rsid w:val="002D52E1"/>
    <w:rsid w:val="002D5B27"/>
    <w:rsid w:val="002E34BB"/>
    <w:rsid w:val="002F2E83"/>
    <w:rsid w:val="00305152"/>
    <w:rsid w:val="003214E6"/>
    <w:rsid w:val="003422D4"/>
    <w:rsid w:val="00366470"/>
    <w:rsid w:val="00367440"/>
    <w:rsid w:val="00397D3D"/>
    <w:rsid w:val="003A66A2"/>
    <w:rsid w:val="003C78C0"/>
    <w:rsid w:val="003D595C"/>
    <w:rsid w:val="003E17C2"/>
    <w:rsid w:val="003F014E"/>
    <w:rsid w:val="00414658"/>
    <w:rsid w:val="004250A7"/>
    <w:rsid w:val="004A30E5"/>
    <w:rsid w:val="004E141F"/>
    <w:rsid w:val="00511975"/>
    <w:rsid w:val="00530E0F"/>
    <w:rsid w:val="005328FC"/>
    <w:rsid w:val="00557AB7"/>
    <w:rsid w:val="00597282"/>
    <w:rsid w:val="006163F9"/>
    <w:rsid w:val="00616FB9"/>
    <w:rsid w:val="00625CBA"/>
    <w:rsid w:val="006466D1"/>
    <w:rsid w:val="006B005F"/>
    <w:rsid w:val="006D2608"/>
    <w:rsid w:val="0072269A"/>
    <w:rsid w:val="00741E6E"/>
    <w:rsid w:val="00753F3F"/>
    <w:rsid w:val="0077506B"/>
    <w:rsid w:val="007758F3"/>
    <w:rsid w:val="007759A9"/>
    <w:rsid w:val="007922AF"/>
    <w:rsid w:val="007B5281"/>
    <w:rsid w:val="007C1552"/>
    <w:rsid w:val="007D5ECE"/>
    <w:rsid w:val="007E12E2"/>
    <w:rsid w:val="007F64DE"/>
    <w:rsid w:val="008171CE"/>
    <w:rsid w:val="0082226E"/>
    <w:rsid w:val="00830A5C"/>
    <w:rsid w:val="00830FD7"/>
    <w:rsid w:val="00847460"/>
    <w:rsid w:val="00865A16"/>
    <w:rsid w:val="00870300"/>
    <w:rsid w:val="00883755"/>
    <w:rsid w:val="008B42C3"/>
    <w:rsid w:val="008C0D5B"/>
    <w:rsid w:val="008C5F37"/>
    <w:rsid w:val="008E4E5B"/>
    <w:rsid w:val="00924F6E"/>
    <w:rsid w:val="0092568E"/>
    <w:rsid w:val="009564F8"/>
    <w:rsid w:val="00990DE4"/>
    <w:rsid w:val="009A5570"/>
    <w:rsid w:val="009B2993"/>
    <w:rsid w:val="009C6D0F"/>
    <w:rsid w:val="009E0F1A"/>
    <w:rsid w:val="009E6259"/>
    <w:rsid w:val="009F587C"/>
    <w:rsid w:val="00A06DE6"/>
    <w:rsid w:val="00A2134B"/>
    <w:rsid w:val="00A36BCE"/>
    <w:rsid w:val="00A44ABB"/>
    <w:rsid w:val="00A5177C"/>
    <w:rsid w:val="00A57EAF"/>
    <w:rsid w:val="00A93FE7"/>
    <w:rsid w:val="00A952DE"/>
    <w:rsid w:val="00AB49D8"/>
    <w:rsid w:val="00AC077B"/>
    <w:rsid w:val="00AC7BEE"/>
    <w:rsid w:val="00AE4314"/>
    <w:rsid w:val="00AE5FDD"/>
    <w:rsid w:val="00B023C2"/>
    <w:rsid w:val="00B213B7"/>
    <w:rsid w:val="00B53FE8"/>
    <w:rsid w:val="00B664AE"/>
    <w:rsid w:val="00B67D2A"/>
    <w:rsid w:val="00BA0AC4"/>
    <w:rsid w:val="00BB050A"/>
    <w:rsid w:val="00BB6AFB"/>
    <w:rsid w:val="00BB7DB5"/>
    <w:rsid w:val="00BF3156"/>
    <w:rsid w:val="00BF6F1C"/>
    <w:rsid w:val="00C1564D"/>
    <w:rsid w:val="00C31F61"/>
    <w:rsid w:val="00C44C5A"/>
    <w:rsid w:val="00C918A4"/>
    <w:rsid w:val="00C94E5B"/>
    <w:rsid w:val="00CB07C0"/>
    <w:rsid w:val="00CB5665"/>
    <w:rsid w:val="00CC3B4D"/>
    <w:rsid w:val="00CE6431"/>
    <w:rsid w:val="00D114CE"/>
    <w:rsid w:val="00D338BA"/>
    <w:rsid w:val="00D47E6A"/>
    <w:rsid w:val="00DA24C0"/>
    <w:rsid w:val="00DA5FC4"/>
    <w:rsid w:val="00DA6022"/>
    <w:rsid w:val="00DA76E8"/>
    <w:rsid w:val="00DB1299"/>
    <w:rsid w:val="00DE2E98"/>
    <w:rsid w:val="00E149A0"/>
    <w:rsid w:val="00E30FE1"/>
    <w:rsid w:val="00E44750"/>
    <w:rsid w:val="00E51D7E"/>
    <w:rsid w:val="00E635C4"/>
    <w:rsid w:val="00E6555B"/>
    <w:rsid w:val="00E66E0F"/>
    <w:rsid w:val="00E71C16"/>
    <w:rsid w:val="00EC5E94"/>
    <w:rsid w:val="00ED417D"/>
    <w:rsid w:val="00EE2E7F"/>
    <w:rsid w:val="00EF1FED"/>
    <w:rsid w:val="00F31156"/>
    <w:rsid w:val="00F43EC4"/>
    <w:rsid w:val="00F52CC9"/>
    <w:rsid w:val="00F7254E"/>
    <w:rsid w:val="00F72639"/>
    <w:rsid w:val="00FA7F0D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C4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753F3F"/>
    <w:pPr>
      <w:keepNext/>
      <w:spacing w:before="240" w:after="60"/>
      <w:outlineLvl w:val="0"/>
    </w:pPr>
    <w:rPr>
      <w:rFonts w:ascii="Arial Bold" w:hAnsi="Arial Bold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53F3F"/>
    <w:pPr>
      <w:keepNext/>
      <w:spacing w:before="240" w:after="60"/>
      <w:outlineLvl w:val="1"/>
    </w:pPr>
    <w:rPr>
      <w:rFonts w:ascii="Arial Bold" w:hAnsi="Arial Bold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3F3F"/>
    <w:pPr>
      <w:keepNext/>
      <w:spacing w:before="240" w:after="60"/>
      <w:outlineLvl w:val="2"/>
    </w:pPr>
    <w:rPr>
      <w:rFonts w:ascii="Arial Bold" w:hAnsi="Arial Bold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F3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3F"/>
    <w:rPr>
      <w:rFonts w:ascii="Arial Bold" w:hAnsi="Arial Bold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3F3F"/>
    <w:rPr>
      <w:rFonts w:ascii="Arial Bold" w:hAnsi="Arial Bold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3F3F"/>
    <w:rPr>
      <w:rFonts w:ascii="Arial Bold" w:hAnsi="Arial Bol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3F3F"/>
    <w:rPr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6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5C4"/>
    <w:rPr>
      <w:rFonts w:ascii="Calibri" w:hAnsi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C4"/>
    <w:rPr>
      <w:rFonts w:ascii="Calibri" w:hAnsi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16F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C4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753F3F"/>
    <w:pPr>
      <w:keepNext/>
      <w:spacing w:before="240" w:after="60"/>
      <w:outlineLvl w:val="0"/>
    </w:pPr>
    <w:rPr>
      <w:rFonts w:ascii="Arial Bold" w:hAnsi="Arial Bold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53F3F"/>
    <w:pPr>
      <w:keepNext/>
      <w:spacing w:before="240" w:after="60"/>
      <w:outlineLvl w:val="1"/>
    </w:pPr>
    <w:rPr>
      <w:rFonts w:ascii="Arial Bold" w:hAnsi="Arial Bold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3F3F"/>
    <w:pPr>
      <w:keepNext/>
      <w:spacing w:before="240" w:after="60"/>
      <w:outlineLvl w:val="2"/>
    </w:pPr>
    <w:rPr>
      <w:rFonts w:ascii="Arial Bold" w:hAnsi="Arial Bold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F3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3F"/>
    <w:rPr>
      <w:rFonts w:ascii="Arial Bold" w:hAnsi="Arial Bold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3F3F"/>
    <w:rPr>
      <w:rFonts w:ascii="Arial Bold" w:hAnsi="Arial Bold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3F3F"/>
    <w:rPr>
      <w:rFonts w:ascii="Arial Bold" w:hAnsi="Arial Bol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3F3F"/>
    <w:rPr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6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5C4"/>
    <w:rPr>
      <w:rFonts w:ascii="Calibri" w:hAnsi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C4"/>
    <w:rPr>
      <w:rFonts w:ascii="Calibri" w:hAnsi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16F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com/news/Pages/Bulk-Electric-System-Definition-Effective-July-1,-2014.asp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erc.com/news/Pages/HeadlinesArchives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rc.com/pa/Stand/Reliability%20Standards%20Complete%20Set/RSCompleteSe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rc.com/news/Headlines%20DL/BOARD%2013NOV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rc.com/pa/Stand/Pages/Project-2013-03-Geomagnetic-Disturbance-Mitigation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FB20A-53B7-4AC5-8CD5-EA66DE91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Energy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</dc:creator>
  <cp:lastModifiedBy>Lovell, Kelly L</cp:lastModifiedBy>
  <cp:revision>2</cp:revision>
  <cp:lastPrinted>2014-06-10T20:51:00Z</cp:lastPrinted>
  <dcterms:created xsi:type="dcterms:W3CDTF">2014-12-10T00:38:00Z</dcterms:created>
  <dcterms:modified xsi:type="dcterms:W3CDTF">2014-12-10T00:38:00Z</dcterms:modified>
</cp:coreProperties>
</file>