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E6" w:rsidRDefault="00A431E6" w:rsidP="002A09BE">
      <w:pPr>
        <w:jc w:val="center"/>
        <w:rPr>
          <w:b/>
          <w:bCs/>
          <w:sz w:val="32"/>
        </w:rPr>
      </w:pPr>
    </w:p>
    <w:p w:rsidR="002A09BE" w:rsidRDefault="002A09BE" w:rsidP="002A0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Loads &amp; Resources Data Request</w:t>
      </w:r>
    </w:p>
    <w:p w:rsidR="002A09BE" w:rsidRDefault="002A09BE" w:rsidP="002A0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TRANSAC</w:t>
      </w:r>
    </w:p>
    <w:p w:rsidR="002A09BE" w:rsidRPr="007C17F5" w:rsidRDefault="0051587B" w:rsidP="002A09BE">
      <w:pPr>
        <w:jc w:val="center"/>
        <w:rPr>
          <w:b/>
          <w:bCs/>
          <w:color w:val="00B050"/>
          <w:sz w:val="32"/>
        </w:rPr>
      </w:pPr>
      <w:r>
        <w:rPr>
          <w:b/>
          <w:bCs/>
          <w:sz w:val="32"/>
        </w:rPr>
        <w:t>March 20, 2014</w:t>
      </w:r>
    </w:p>
    <w:p w:rsidR="002A09BE" w:rsidRDefault="002A09BE" w:rsidP="002A0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Update</w:t>
      </w:r>
    </w:p>
    <w:p w:rsidR="00922DDF" w:rsidRDefault="00922DDF" w:rsidP="002A09BE">
      <w:pPr>
        <w:jc w:val="center"/>
        <w:rPr>
          <w:b/>
          <w:bCs/>
          <w:sz w:val="32"/>
        </w:rPr>
      </w:pPr>
    </w:p>
    <w:p w:rsidR="00A431E6" w:rsidRDefault="00A431E6" w:rsidP="002A09BE">
      <w:pPr>
        <w:jc w:val="center"/>
        <w:rPr>
          <w:b/>
          <w:bCs/>
          <w:sz w:val="32"/>
        </w:rPr>
      </w:pPr>
    </w:p>
    <w:p w:rsidR="00430A6F" w:rsidRPr="00430A6F" w:rsidRDefault="00233BE7" w:rsidP="00A431E6">
      <w:pPr>
        <w:spacing w:after="200" w:line="360" w:lineRule="auto"/>
        <w:rPr>
          <w:bCs/>
        </w:rPr>
      </w:pPr>
      <w:r>
        <w:rPr>
          <w:bCs/>
        </w:rPr>
        <w:t>T</w:t>
      </w:r>
      <w:r w:rsidR="00E019E7">
        <w:rPr>
          <w:bCs/>
        </w:rPr>
        <w:t xml:space="preserve">he </w:t>
      </w:r>
      <w:r w:rsidR="00310328">
        <w:rPr>
          <w:bCs/>
        </w:rPr>
        <w:t xml:space="preserve">Western Electricity Coordinating Council (WECC) </w:t>
      </w:r>
      <w:r w:rsidR="0027534C">
        <w:rPr>
          <w:bCs/>
        </w:rPr>
        <w:t>Loads and Resources Data Request</w:t>
      </w:r>
      <w:r w:rsidR="0051587B">
        <w:rPr>
          <w:bCs/>
        </w:rPr>
        <w:t xml:space="preserve"> has been sent </w:t>
      </w:r>
      <w:r w:rsidR="00430A6F">
        <w:rPr>
          <w:bCs/>
        </w:rPr>
        <w:t>to WECC</w:t>
      </w:r>
      <w:r w:rsidR="003833DC">
        <w:rPr>
          <w:bCs/>
        </w:rPr>
        <w:t>.</w:t>
      </w:r>
      <w:r w:rsidR="0027534C">
        <w:rPr>
          <w:bCs/>
        </w:rPr>
        <w:t xml:space="preserve"> </w:t>
      </w:r>
      <w:r w:rsidR="0051587B">
        <w:rPr>
          <w:bCs/>
        </w:rPr>
        <w:t xml:space="preserve">Each large industrial customer and each large generation entity received an individual email requesting their data.  </w:t>
      </w:r>
      <w:r w:rsidR="00430A6F">
        <w:rPr>
          <w:bCs/>
        </w:rPr>
        <w:t>The information asked for was similar to last year's request.  However, i</w:t>
      </w:r>
      <w:r w:rsidR="0051587B">
        <w:rPr>
          <w:bCs/>
        </w:rPr>
        <w:t>n this la</w:t>
      </w:r>
      <w:r w:rsidR="00430A6F">
        <w:rPr>
          <w:bCs/>
        </w:rPr>
        <w:t>test</w:t>
      </w:r>
      <w:r w:rsidR="0051587B">
        <w:rPr>
          <w:bCs/>
        </w:rPr>
        <w:t xml:space="preserve"> request, I did not ask for any historical (2013) data, as I am able to obtain this information internally.  </w:t>
      </w:r>
      <w:r w:rsidR="00430A6F" w:rsidRPr="00430A6F">
        <w:rPr>
          <w:bCs/>
        </w:rPr>
        <w:t>NorthWestern Energy (NWMT) uses the data collected to plan, construct, operate and maintain its Transmission System in accordance with Good Utility Practice and its planning obligations in Attachment K.</w:t>
      </w:r>
    </w:p>
    <w:p w:rsidR="00430A6F" w:rsidRPr="00E54D4E" w:rsidRDefault="0051587B" w:rsidP="00A431E6">
      <w:pPr>
        <w:spacing w:after="200" w:line="360" w:lineRule="auto"/>
      </w:pPr>
      <w:r>
        <w:rPr>
          <w:bCs/>
        </w:rPr>
        <w:t>Also, the request mentioned Public Policy Requirements</w:t>
      </w:r>
      <w:r w:rsidR="00430A6F">
        <w:rPr>
          <w:bCs/>
        </w:rPr>
        <w:t xml:space="preserve"> and Considerations and provided applicable hot links for interested stakeholders. </w:t>
      </w:r>
      <w:r>
        <w:rPr>
          <w:bCs/>
        </w:rPr>
        <w:t xml:space="preserve"> </w:t>
      </w:r>
      <w:r w:rsidR="00430A6F" w:rsidRPr="00E54D4E">
        <w:t xml:space="preserve">Pursuant to FERC Order 1000 </w:t>
      </w:r>
      <w:r w:rsidR="00430A6F">
        <w:t>NorthWestern Energy</w:t>
      </w:r>
      <w:r w:rsidR="00430A6F" w:rsidRPr="00E54D4E">
        <w:t xml:space="preserve"> provides an opportunity for stakeholders to submit potential public policy requirements and considerations and appropriate transmission for possible consideration in its local area transmission planning. </w:t>
      </w:r>
      <w:r w:rsidR="00430A6F">
        <w:t xml:space="preserve">  Two documents are available on the NorthWestern Energy's OASIS website:  </w:t>
      </w:r>
      <w:hyperlink r:id="rId6" w:history="1">
        <w:r w:rsidR="00430A6F">
          <w:rPr>
            <w:rStyle w:val="Hyperlink"/>
          </w:rPr>
          <w:t>Instructions - Public Policy Project Request</w:t>
        </w:r>
      </w:hyperlink>
      <w:r w:rsidR="00430A6F">
        <w:t xml:space="preserve"> and</w:t>
      </w:r>
      <w:hyperlink r:id="rId7" w:history="1">
        <w:r w:rsidR="00430A6F">
          <w:rPr>
            <w:rStyle w:val="Hyperlink"/>
          </w:rPr>
          <w:t xml:space="preserve"> Public Policy Project Request Workbook</w:t>
        </w:r>
      </w:hyperlink>
    </w:p>
    <w:p w:rsidR="003833DC" w:rsidRDefault="001B6C4F" w:rsidP="00575EC4">
      <w:pPr>
        <w:spacing w:line="360" w:lineRule="auto"/>
        <w:ind w:right="-180"/>
        <w:rPr>
          <w:bCs/>
        </w:rPr>
      </w:pPr>
      <w:r>
        <w:rPr>
          <w:bCs/>
        </w:rPr>
        <w:t xml:space="preserve">On December 9, 2013, the 2013 Long-Term Reliability Assessment was posted on the NERC website at </w:t>
      </w:r>
      <w:hyperlink r:id="rId8" w:history="1">
        <w:r w:rsidRPr="001B6C4F">
          <w:rPr>
            <w:rStyle w:val="Hyperlink"/>
            <w:bCs/>
          </w:rPr>
          <w:t>http://www.nerc.com/pa/RAPA/ra/Reliability%20Assessments%20DL/2013_LTRA_FINAL.pdf</w:t>
        </w:r>
      </w:hyperlink>
    </w:p>
    <w:p w:rsidR="00E62885" w:rsidRDefault="00F053B3" w:rsidP="00A431E6">
      <w:pPr>
        <w:spacing w:after="200" w:line="360" w:lineRule="auto"/>
        <w:ind w:right="-187"/>
        <w:rPr>
          <w:bCs/>
        </w:rPr>
      </w:pPr>
      <w:r>
        <w:rPr>
          <w:bCs/>
        </w:rPr>
        <w:t>The electric industry is becoming more complex due to political and soci</w:t>
      </w:r>
      <w:r w:rsidR="004F7F4D">
        <w:rPr>
          <w:bCs/>
        </w:rPr>
        <w:t>al</w:t>
      </w:r>
      <w:r>
        <w:rPr>
          <w:bCs/>
        </w:rPr>
        <w:t xml:space="preserve"> drivers propelling new policies, such as a carbon-reduced resource portfolio.  </w:t>
      </w:r>
      <w:r w:rsidR="00E62885">
        <w:rPr>
          <w:bCs/>
        </w:rPr>
        <w:t xml:space="preserve">The </w:t>
      </w:r>
      <w:r w:rsidR="00AE513C">
        <w:rPr>
          <w:bCs/>
        </w:rPr>
        <w:t>2013 Long-Term Reliability Assessment</w:t>
      </w:r>
      <w:r w:rsidR="001D3E16">
        <w:rPr>
          <w:bCs/>
        </w:rPr>
        <w:t xml:space="preserve"> </w:t>
      </w:r>
      <w:r>
        <w:rPr>
          <w:bCs/>
        </w:rPr>
        <w:t>presents the contributing factors and highlights potential reliability</w:t>
      </w:r>
      <w:r w:rsidR="00FC36B1">
        <w:rPr>
          <w:bCs/>
        </w:rPr>
        <w:t xml:space="preserve"> challenges and emerging issues.</w:t>
      </w:r>
    </w:p>
    <w:p w:rsidR="00E62885" w:rsidRDefault="00A431E6" w:rsidP="00F053B3">
      <w:pPr>
        <w:spacing w:line="360" w:lineRule="auto"/>
        <w:ind w:right="-180"/>
        <w:rPr>
          <w:bCs/>
        </w:rPr>
      </w:pPr>
      <w:r>
        <w:rPr>
          <w:bCs/>
        </w:rPr>
        <w:t xml:space="preserve">On February 27, 2014 the 2013 Annual Report was posted on the NERC website at </w:t>
      </w:r>
      <w:hyperlink r:id="rId9" w:history="1">
        <w:r w:rsidRPr="00A431E6">
          <w:rPr>
            <w:rStyle w:val="Hyperlink"/>
            <w:bCs/>
          </w:rPr>
          <w:t>http://www.nerc.com/news/Headlines%20DL/NERC%202013%20Annual%20Report_final_web.pdf</w:t>
        </w:r>
      </w:hyperlink>
      <w:r>
        <w:rPr>
          <w:bCs/>
        </w:rPr>
        <w:t>This report discusses ways to achieve better reliability through Standards, Risk Initiatives, and Compliance.</w:t>
      </w:r>
      <w:r w:rsidR="00E62885">
        <w:rPr>
          <w:bCs/>
        </w:rPr>
        <w:tab/>
      </w:r>
    </w:p>
    <w:sectPr w:rsidR="00E62885" w:rsidSect="00A431E6">
      <w:footerReference w:type="default" r:id="rId10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5B0" w:rsidRDefault="000205B0" w:rsidP="00C6612F">
      <w:r>
        <w:separator/>
      </w:r>
    </w:p>
  </w:endnote>
  <w:endnote w:type="continuationSeparator" w:id="0">
    <w:p w:rsidR="000205B0" w:rsidRDefault="000205B0" w:rsidP="00C6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49" w:rsidRDefault="00C6612F" w:rsidP="00C6612F">
    <w:pPr>
      <w:pStyle w:val="Footer"/>
      <w:jc w:val="center"/>
      <w:rPr>
        <w:rFonts w:asciiTheme="minorHAnsi" w:hAnsiTheme="minorHAnsi" w:cstheme="minorHAnsi"/>
        <w:b/>
        <w:sz w:val="18"/>
        <w:szCs w:val="18"/>
      </w:rPr>
    </w:pPr>
    <w:r w:rsidRPr="004B1A06">
      <w:rPr>
        <w:rFonts w:asciiTheme="minorHAnsi" w:hAnsiTheme="minorHAnsi" w:cstheme="minorHAnsi"/>
        <w:sz w:val="18"/>
        <w:szCs w:val="18"/>
      </w:rPr>
      <w:t>NWE</w:t>
    </w:r>
    <w:r w:rsidRPr="004B1A06">
      <w:rPr>
        <w:rFonts w:asciiTheme="minorHAnsi" w:hAnsiTheme="minorHAnsi" w:cstheme="minorHAnsi"/>
        <w:sz w:val="18"/>
        <w:szCs w:val="18"/>
      </w:rPr>
      <w:tab/>
      <w:t xml:space="preserve">Page </w:t>
    </w:r>
    <w:r w:rsidRPr="004B1A06">
      <w:rPr>
        <w:rFonts w:asciiTheme="minorHAnsi" w:hAnsiTheme="minorHAnsi" w:cstheme="minorHAnsi"/>
        <w:b/>
        <w:sz w:val="18"/>
        <w:szCs w:val="18"/>
      </w:rPr>
      <w:t>1</w:t>
    </w:r>
    <w:r w:rsidRPr="004B1A06">
      <w:rPr>
        <w:rFonts w:asciiTheme="minorHAnsi" w:hAnsiTheme="minorHAnsi" w:cstheme="minorHAnsi"/>
        <w:b/>
        <w:sz w:val="18"/>
        <w:szCs w:val="18"/>
      </w:rPr>
      <w:tab/>
    </w:r>
    <w:r w:rsidR="00F053B3">
      <w:rPr>
        <w:rFonts w:asciiTheme="minorHAnsi" w:hAnsiTheme="minorHAnsi" w:cstheme="minorHAnsi"/>
        <w:b/>
        <w:sz w:val="18"/>
        <w:szCs w:val="18"/>
      </w:rPr>
      <w:t>March 20, 2014</w:t>
    </w:r>
  </w:p>
  <w:p w:rsidR="00C6612F" w:rsidRPr="004B1A06" w:rsidRDefault="00C6612F" w:rsidP="00C6612F">
    <w:pPr>
      <w:pStyle w:val="Footer"/>
      <w:jc w:val="center"/>
      <w:rPr>
        <w:rFonts w:asciiTheme="minorHAnsi" w:hAnsiTheme="minorHAnsi" w:cstheme="minorHAnsi"/>
        <w:sz w:val="18"/>
        <w:szCs w:val="18"/>
      </w:rPr>
    </w:pPr>
  </w:p>
  <w:p w:rsidR="00C6612F" w:rsidRDefault="00C66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5B0" w:rsidRDefault="000205B0" w:rsidP="00C6612F">
      <w:r>
        <w:separator/>
      </w:r>
    </w:p>
  </w:footnote>
  <w:footnote w:type="continuationSeparator" w:id="0">
    <w:p w:rsidR="000205B0" w:rsidRDefault="000205B0" w:rsidP="00C66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stylePaneFormatFilter w:val="3F04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9BE"/>
    <w:rsid w:val="000205B0"/>
    <w:rsid w:val="000275EA"/>
    <w:rsid w:val="0005434B"/>
    <w:rsid w:val="00070BE4"/>
    <w:rsid w:val="000B2840"/>
    <w:rsid w:val="000B5EC2"/>
    <w:rsid w:val="00101032"/>
    <w:rsid w:val="00165D2A"/>
    <w:rsid w:val="00182558"/>
    <w:rsid w:val="001B6C4F"/>
    <w:rsid w:val="001D3E16"/>
    <w:rsid w:val="001D5703"/>
    <w:rsid w:val="001E2740"/>
    <w:rsid w:val="001E35F9"/>
    <w:rsid w:val="001F075E"/>
    <w:rsid w:val="00232117"/>
    <w:rsid w:val="00233BE7"/>
    <w:rsid w:val="002465A8"/>
    <w:rsid w:val="00274855"/>
    <w:rsid w:val="0027534C"/>
    <w:rsid w:val="00293BCD"/>
    <w:rsid w:val="002A09BE"/>
    <w:rsid w:val="002B25D8"/>
    <w:rsid w:val="00310328"/>
    <w:rsid w:val="00354703"/>
    <w:rsid w:val="003833DC"/>
    <w:rsid w:val="00384DFB"/>
    <w:rsid w:val="003B3033"/>
    <w:rsid w:val="003F755E"/>
    <w:rsid w:val="00430A6F"/>
    <w:rsid w:val="0044274B"/>
    <w:rsid w:val="004741BF"/>
    <w:rsid w:val="0047719E"/>
    <w:rsid w:val="004B1A06"/>
    <w:rsid w:val="004F7F4D"/>
    <w:rsid w:val="00500F88"/>
    <w:rsid w:val="0051587B"/>
    <w:rsid w:val="005425A3"/>
    <w:rsid w:val="00575EC4"/>
    <w:rsid w:val="00575EDB"/>
    <w:rsid w:val="00592F9C"/>
    <w:rsid w:val="006163F9"/>
    <w:rsid w:val="00631E9D"/>
    <w:rsid w:val="006466D1"/>
    <w:rsid w:val="00687ACF"/>
    <w:rsid w:val="006910C8"/>
    <w:rsid w:val="00693FF4"/>
    <w:rsid w:val="007344ED"/>
    <w:rsid w:val="00735C1F"/>
    <w:rsid w:val="00753F3F"/>
    <w:rsid w:val="00754805"/>
    <w:rsid w:val="007B5CF7"/>
    <w:rsid w:val="007C4968"/>
    <w:rsid w:val="007D236F"/>
    <w:rsid w:val="007E12E2"/>
    <w:rsid w:val="008C14F4"/>
    <w:rsid w:val="0090207D"/>
    <w:rsid w:val="00922DDF"/>
    <w:rsid w:val="0094246B"/>
    <w:rsid w:val="009B32DA"/>
    <w:rsid w:val="009B608E"/>
    <w:rsid w:val="00A25DE7"/>
    <w:rsid w:val="00A431E6"/>
    <w:rsid w:val="00A93FE7"/>
    <w:rsid w:val="00AB49D8"/>
    <w:rsid w:val="00AE513C"/>
    <w:rsid w:val="00B023C2"/>
    <w:rsid w:val="00B771A5"/>
    <w:rsid w:val="00B83A53"/>
    <w:rsid w:val="00BA4E08"/>
    <w:rsid w:val="00BE1C7E"/>
    <w:rsid w:val="00C02F49"/>
    <w:rsid w:val="00C31740"/>
    <w:rsid w:val="00C638D0"/>
    <w:rsid w:val="00C6612F"/>
    <w:rsid w:val="00C71E55"/>
    <w:rsid w:val="00CA65D0"/>
    <w:rsid w:val="00CD4AF1"/>
    <w:rsid w:val="00D37585"/>
    <w:rsid w:val="00D61569"/>
    <w:rsid w:val="00D668A7"/>
    <w:rsid w:val="00D916B9"/>
    <w:rsid w:val="00D932FA"/>
    <w:rsid w:val="00D95103"/>
    <w:rsid w:val="00E019E7"/>
    <w:rsid w:val="00E62885"/>
    <w:rsid w:val="00EC5E94"/>
    <w:rsid w:val="00ED3AEA"/>
    <w:rsid w:val="00ED417D"/>
    <w:rsid w:val="00EF1FED"/>
    <w:rsid w:val="00EF2603"/>
    <w:rsid w:val="00EF57CE"/>
    <w:rsid w:val="00F053B3"/>
    <w:rsid w:val="00F30F0D"/>
    <w:rsid w:val="00F81755"/>
    <w:rsid w:val="00FA4BB2"/>
    <w:rsid w:val="00FB5545"/>
    <w:rsid w:val="00FC36B1"/>
    <w:rsid w:val="00FE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F3F"/>
    <w:pPr>
      <w:keepNext/>
      <w:spacing w:before="240" w:after="60"/>
      <w:outlineLvl w:val="0"/>
    </w:pPr>
    <w:rPr>
      <w:rFonts w:ascii="Arial Bold" w:hAnsi="Arial Bold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53F3F"/>
    <w:pPr>
      <w:keepNext/>
      <w:spacing w:before="240" w:after="60"/>
      <w:outlineLvl w:val="1"/>
    </w:pPr>
    <w:rPr>
      <w:rFonts w:ascii="Arial Bold" w:hAnsi="Arial Bold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53F3F"/>
    <w:pPr>
      <w:keepNext/>
      <w:spacing w:before="240" w:after="60"/>
      <w:outlineLvl w:val="2"/>
    </w:pPr>
    <w:rPr>
      <w:rFonts w:ascii="Arial Bold" w:hAnsi="Arial Bold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3F3F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3F"/>
    <w:rPr>
      <w:rFonts w:ascii="Arial Bold" w:hAnsi="Arial Bold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53F3F"/>
    <w:rPr>
      <w:rFonts w:ascii="Arial Bold" w:hAnsi="Arial Bold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53F3F"/>
    <w:rPr>
      <w:rFonts w:ascii="Arial Bold" w:hAnsi="Arial Bol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3F3F"/>
    <w:rPr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2A0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840"/>
    <w:rPr>
      <w:color w:val="800080" w:themeColor="followedHyperlink"/>
      <w:u w:val="single"/>
    </w:rPr>
  </w:style>
  <w:style w:type="paragraph" w:customStyle="1" w:styleId="Default">
    <w:name w:val="Default"/>
    <w:rsid w:val="00D932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6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1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1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com/pa/RAPA/ra/Reliability%20Assessments%20DL/2013_LTRA_FIN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asis.oati.com/NWMT/NWMTdocs/Public_Policy_Project_Request_Wrkbk.xls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sis.oati.com/NWMT/NWMTdocs/Instructions-Public_Policy_Project_Request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nerc.com/news/Headlines%20DL/NERC%202013%20Annual%20Report_final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Mathews</dc:creator>
  <cp:keywords/>
  <dc:description/>
  <cp:lastModifiedBy>Mathews</cp:lastModifiedBy>
  <cp:revision>4</cp:revision>
  <cp:lastPrinted>2013-12-11T20:22:00Z</cp:lastPrinted>
  <dcterms:created xsi:type="dcterms:W3CDTF">2014-03-13T23:14:00Z</dcterms:created>
  <dcterms:modified xsi:type="dcterms:W3CDTF">2014-03-15T21:00:00Z</dcterms:modified>
</cp:coreProperties>
</file>