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84" w:rsidRPr="001448F1" w:rsidRDefault="003A0A84" w:rsidP="003A0A84">
      <w:pPr>
        <w:spacing w:line="360" w:lineRule="auto"/>
        <w:rPr>
          <w:rFonts w:ascii="Times New Roman" w:hAnsi="Times New Roman"/>
          <w:sz w:val="22"/>
          <w:szCs w:val="22"/>
        </w:rPr>
      </w:pPr>
      <w:bookmarkStart w:id="0" w:name="_GoBack"/>
      <w:bookmarkEnd w:id="0"/>
    </w:p>
    <w:p w:rsidR="003A0A84" w:rsidRPr="001448F1" w:rsidRDefault="00AF27BD" w:rsidP="003A0A84">
      <w:pPr>
        <w:spacing w:line="360" w:lineRule="auto"/>
        <w:jc w:val="center"/>
        <w:outlineLvl w:val="2"/>
        <w:rPr>
          <w:rFonts w:ascii="Times New Roman" w:hAnsi="Times New Roman"/>
          <w:b/>
          <w:sz w:val="22"/>
          <w:szCs w:val="22"/>
        </w:rPr>
      </w:pPr>
      <w:r w:rsidRPr="001448F1">
        <w:rPr>
          <w:rFonts w:ascii="Times New Roman" w:hAnsi="Times New Roman"/>
          <w:b/>
          <w:sz w:val="22"/>
          <w:szCs w:val="22"/>
        </w:rPr>
        <w:t>SCHEDULE 21-NHT</w:t>
      </w:r>
    </w:p>
    <w:p w:rsidR="003A0A84" w:rsidRPr="001448F1" w:rsidRDefault="00AF27BD" w:rsidP="003A0A84">
      <w:pPr>
        <w:spacing w:line="360" w:lineRule="auto"/>
        <w:jc w:val="center"/>
        <w:rPr>
          <w:rFonts w:ascii="Times New Roman" w:hAnsi="Times New Roman"/>
          <w:b/>
          <w:sz w:val="22"/>
          <w:szCs w:val="22"/>
        </w:rPr>
      </w:pPr>
      <w:r w:rsidRPr="001448F1">
        <w:rPr>
          <w:rFonts w:ascii="Times New Roman" w:hAnsi="Times New Roman"/>
          <w:b/>
          <w:sz w:val="22"/>
          <w:szCs w:val="22"/>
        </w:rPr>
        <w:t>Local Service Schedule</w:t>
      </w:r>
    </w:p>
    <w:p w:rsidR="003A0A84" w:rsidRPr="001448F1" w:rsidRDefault="00AF27BD" w:rsidP="003A0A84">
      <w:pPr>
        <w:spacing w:line="360" w:lineRule="auto"/>
        <w:jc w:val="center"/>
        <w:rPr>
          <w:rFonts w:ascii="Times New Roman" w:hAnsi="Times New Roman"/>
          <w:sz w:val="22"/>
          <w:szCs w:val="22"/>
        </w:rPr>
      </w:pPr>
      <w:r w:rsidRPr="001448F1">
        <w:rPr>
          <w:rFonts w:ascii="Times New Roman" w:hAnsi="Times New Roman"/>
          <w:b/>
          <w:sz w:val="22"/>
          <w:szCs w:val="22"/>
        </w:rPr>
        <w:t>New Hampshire Transmission, LLC</w:t>
      </w: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Pr="001448F1" w:rsidRDefault="003A0A84" w:rsidP="003A0A84">
      <w:pPr>
        <w:spacing w:line="360" w:lineRule="auto"/>
        <w:rPr>
          <w:rFonts w:ascii="Times New Roman" w:hAnsi="Times New Roman"/>
          <w:sz w:val="22"/>
          <w:szCs w:val="22"/>
        </w:rPr>
      </w:pPr>
    </w:p>
    <w:p w:rsidR="003A0A84" w:rsidRDefault="00AF27BD" w:rsidP="003A0A84">
      <w:pPr>
        <w:numPr>
          <w:ilvl w:val="0"/>
          <w:numId w:val="24"/>
        </w:numPr>
        <w:spacing w:line="360" w:lineRule="auto"/>
        <w:ind w:left="720"/>
        <w:rPr>
          <w:rFonts w:ascii="Times New Roman" w:hAnsi="Times New Roman"/>
          <w:b/>
          <w:sz w:val="22"/>
          <w:szCs w:val="22"/>
        </w:rPr>
      </w:pPr>
      <w:r w:rsidRPr="001448F1">
        <w:rPr>
          <w:rFonts w:ascii="Times New Roman" w:hAnsi="Times New Roman"/>
          <w:sz w:val="22"/>
          <w:szCs w:val="22"/>
        </w:rPr>
        <w:br w:type="page"/>
      </w:r>
      <w:bookmarkStart w:id="1" w:name="_Toc432235905"/>
      <w:bookmarkStart w:id="2" w:name="_Toc74632035"/>
      <w:r w:rsidRPr="001448F1">
        <w:rPr>
          <w:rFonts w:ascii="Times New Roman" w:hAnsi="Times New Roman"/>
          <w:b/>
          <w:sz w:val="22"/>
          <w:szCs w:val="22"/>
        </w:rPr>
        <w:lastRenderedPageBreak/>
        <w:t>COMMON SERVICE PROVISIONS</w:t>
      </w:r>
      <w:bookmarkEnd w:id="1"/>
      <w:bookmarkEnd w:id="2"/>
    </w:p>
    <w:p w:rsidR="003A0A84" w:rsidRPr="001448F1" w:rsidRDefault="003A0A84" w:rsidP="003A0A84">
      <w:pPr>
        <w:spacing w:line="360" w:lineRule="auto"/>
        <w:ind w:left="360"/>
        <w:rPr>
          <w:rFonts w:ascii="Times New Roman" w:hAnsi="Times New Roman"/>
          <w:b/>
          <w:sz w:val="22"/>
          <w:szCs w:val="22"/>
        </w:rPr>
      </w:pP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This Local Service Schedule, designated Schedule 21-NHT, governs the terms and conditions of service taken by Transmission Customers over the Local Network Transmission System who are not otherwise served under transmission service agreements with NHT that are still in effect.  In the event of a conflict between the provisions of this Schedule 21-NHT and other provisions of the Tariff the provisions of this Schedule 21-NHT shall control.</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b/>
          <w:sz w:val="22"/>
          <w:szCs w:val="22"/>
        </w:rPr>
      </w:pPr>
      <w:bookmarkStart w:id="3" w:name="_Toc432235906"/>
      <w:bookmarkStart w:id="4" w:name="_Toc74632036"/>
      <w:r w:rsidRPr="001448F1">
        <w:rPr>
          <w:rFonts w:ascii="Times New Roman" w:hAnsi="Times New Roman"/>
          <w:b/>
          <w:sz w:val="22"/>
          <w:szCs w:val="22"/>
        </w:rPr>
        <w:t>1.</w:t>
      </w:r>
      <w:r w:rsidRPr="001448F1">
        <w:rPr>
          <w:rFonts w:ascii="Times New Roman" w:hAnsi="Times New Roman"/>
          <w:b/>
          <w:sz w:val="22"/>
          <w:szCs w:val="22"/>
        </w:rPr>
        <w:tab/>
        <w:t>Definitions</w:t>
      </w:r>
      <w:bookmarkEnd w:id="3"/>
      <w:bookmarkEnd w:id="4"/>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Whenever used in this Schedule 21-NHT, in either the singular or plural number, the following capitalized terms shall have the meanings specified in the Definition Sections of this Part I.  Terms used in this Schedule 21-NHT but not defined in this Definition Section shall have the meanings specified in Section 1 of the Tariff.  Terms used in this Schedule 21-NHT but not defined in this Definition Section shall have the meanings customarily attributed to such terms by the electric utility industry in New England.  Sections or Attachments referred to in this Schedule 21-NHT shall mean a section in or attachment to this Schedule 21-NHT unless otherwise stated.</w:t>
      </w:r>
    </w:p>
    <w:p w:rsidR="003A0A84" w:rsidRPr="001448F1" w:rsidRDefault="003A0A84" w:rsidP="003A0A84">
      <w:pPr>
        <w:spacing w:line="360" w:lineRule="auto"/>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5" w:name="_Toc74632040"/>
      <w:r w:rsidRPr="00915166">
        <w:rPr>
          <w:rFonts w:ascii="Times New Roman" w:hAnsi="Times New Roman"/>
          <w:b/>
          <w:sz w:val="22"/>
          <w:szCs w:val="22"/>
        </w:rPr>
        <w:t>1.1</w:t>
      </w:r>
      <w:r w:rsidRPr="00915166">
        <w:rPr>
          <w:rFonts w:ascii="Times New Roman" w:hAnsi="Times New Roman"/>
          <w:b/>
          <w:sz w:val="22"/>
          <w:szCs w:val="22"/>
        </w:rPr>
        <w:tab/>
        <w:t>Annual Transmission Revenue Requirements (“ATRR”):</w:t>
      </w:r>
      <w:bookmarkEnd w:id="5"/>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annual revenue requirements of NHT’s Local Network Transmission System for purposes of this Schedule 21-NHT shall be the amount calculated pursuant to the formula in Attachment G to this Schedule 21-NHT as updated each June 1, or until amended by NHT or modified by the Commission.</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6" w:name="_Toc74632042"/>
      <w:r w:rsidRPr="00915166">
        <w:rPr>
          <w:rFonts w:ascii="Times New Roman" w:hAnsi="Times New Roman"/>
          <w:b/>
          <w:sz w:val="22"/>
          <w:szCs w:val="22"/>
        </w:rPr>
        <w:t>1.2</w:t>
      </w:r>
      <w:r w:rsidRPr="00915166">
        <w:rPr>
          <w:rFonts w:ascii="Times New Roman" w:hAnsi="Times New Roman"/>
          <w:b/>
          <w:sz w:val="22"/>
          <w:szCs w:val="22"/>
        </w:rPr>
        <w:tab/>
        <w:t>Backyard Generation (or Behind-the-Meter Generation):</w:t>
      </w:r>
      <w:bookmarkEnd w:id="6"/>
    </w:p>
    <w:p w:rsidR="003A0A84" w:rsidRDefault="00AF27BD" w:rsidP="003A0A84">
      <w:pPr>
        <w:spacing w:line="360" w:lineRule="auto"/>
        <w:ind w:left="720"/>
        <w:rPr>
          <w:rFonts w:ascii="Times New Roman" w:hAnsi="Times New Roman"/>
          <w:sz w:val="22"/>
          <w:szCs w:val="22"/>
        </w:rPr>
      </w:pPr>
      <w:proofErr w:type="gramStart"/>
      <w:r w:rsidRPr="001448F1">
        <w:rPr>
          <w:rFonts w:ascii="Times New Roman" w:hAnsi="Times New Roman"/>
          <w:sz w:val="22"/>
          <w:szCs w:val="22"/>
        </w:rPr>
        <w:t>Generation which interconnects directly with a customer’s facilities that will offset all or a portion of a customer’s electric load requirements.</w:t>
      </w:r>
      <w:proofErr w:type="gramEnd"/>
      <w:r w:rsidRPr="001448F1">
        <w:rPr>
          <w:rFonts w:ascii="Times New Roman" w:hAnsi="Times New Roman"/>
          <w:sz w:val="22"/>
          <w:szCs w:val="22"/>
        </w:rPr>
        <w:t xml:space="preserve">  Any generation used to supply any portion of Local Network Load will not qualify for demand credits associated with Backyard Generation.  Such credits shall only be applicable to load not designated as Local Network Load.  In such instances, the customer shall be responsible for taking and paying for an appropriate level of Local Point-To-Point Transmission Service pursuant to this Schedule 21-NHT.</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7" w:name="_Toc74632049"/>
      <w:r w:rsidRPr="00915166">
        <w:rPr>
          <w:rFonts w:ascii="Times New Roman" w:hAnsi="Times New Roman"/>
          <w:b/>
          <w:sz w:val="22"/>
          <w:szCs w:val="22"/>
        </w:rPr>
        <w:t xml:space="preserve">1.3 </w:t>
      </w:r>
      <w:r w:rsidRPr="00915166">
        <w:rPr>
          <w:rFonts w:ascii="Times New Roman" w:hAnsi="Times New Roman"/>
          <w:b/>
          <w:sz w:val="22"/>
          <w:szCs w:val="22"/>
        </w:rPr>
        <w:tab/>
        <w:t>Control Area Operator:</w:t>
      </w:r>
      <w:bookmarkEnd w:id="7"/>
    </w:p>
    <w:p w:rsidR="003A0A84" w:rsidRDefault="00AF27BD" w:rsidP="003A0A84">
      <w:pPr>
        <w:spacing w:line="360" w:lineRule="auto"/>
        <w:ind w:left="720"/>
        <w:rPr>
          <w:rFonts w:ascii="Times New Roman" w:hAnsi="Times New Roman"/>
          <w:sz w:val="22"/>
          <w:szCs w:val="22"/>
        </w:rPr>
      </w:pPr>
      <w:bookmarkStart w:id="8" w:name="_Toc68418564"/>
      <w:bookmarkStart w:id="9" w:name="_Toc68419606"/>
      <w:r w:rsidRPr="001448F1">
        <w:rPr>
          <w:rFonts w:ascii="Times New Roman" w:hAnsi="Times New Roman"/>
          <w:sz w:val="22"/>
          <w:szCs w:val="22"/>
        </w:rPr>
        <w:t xml:space="preserve">ISO, or any successor organization or entity, that is responsible for the continued operation of the New England Control Area and the administration of the Tariff, subject to regulation by the </w:t>
      </w:r>
      <w:r w:rsidRPr="001448F1">
        <w:rPr>
          <w:rFonts w:ascii="Times New Roman" w:hAnsi="Times New Roman"/>
          <w:sz w:val="22"/>
          <w:szCs w:val="22"/>
        </w:rPr>
        <w:lastRenderedPageBreak/>
        <w:t>Commission.</w:t>
      </w:r>
      <w:bookmarkEnd w:id="8"/>
      <w:bookmarkEnd w:id="9"/>
    </w:p>
    <w:p w:rsidR="003A0A84"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0" w:name="_Toc74632052"/>
      <w:r w:rsidRPr="00915166">
        <w:rPr>
          <w:rFonts w:ascii="Times New Roman" w:hAnsi="Times New Roman"/>
          <w:b/>
          <w:sz w:val="22"/>
          <w:szCs w:val="22"/>
        </w:rPr>
        <w:t xml:space="preserve">1.4 </w:t>
      </w:r>
      <w:r w:rsidRPr="00915166">
        <w:rPr>
          <w:rFonts w:ascii="Times New Roman" w:hAnsi="Times New Roman"/>
          <w:b/>
          <w:sz w:val="22"/>
          <w:szCs w:val="22"/>
        </w:rPr>
        <w:tab/>
        <w:t>Designated Agent:</w:t>
      </w:r>
      <w:bookmarkEnd w:id="10"/>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Any entity that performs actions or functions required under this Schedule 21-NHT or the Tariff on behalf of NHT, an Eligible Customer, or a Transmission Customer.</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1" w:name="_Toc74632053"/>
      <w:r w:rsidRPr="00915166">
        <w:rPr>
          <w:rFonts w:ascii="Times New Roman" w:hAnsi="Times New Roman"/>
          <w:b/>
          <w:sz w:val="22"/>
          <w:szCs w:val="22"/>
        </w:rPr>
        <w:t xml:space="preserve">1.5 </w:t>
      </w:r>
      <w:r w:rsidRPr="00915166">
        <w:rPr>
          <w:rFonts w:ascii="Times New Roman" w:hAnsi="Times New Roman"/>
          <w:b/>
          <w:sz w:val="22"/>
          <w:szCs w:val="22"/>
        </w:rPr>
        <w:tab/>
        <w:t>Direct Assignment Facilities:</w:t>
      </w:r>
      <w:bookmarkEnd w:id="11"/>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Facilities or portions of facilities that are constructed by or for NHT for (1) the sole use/benefit of a particular Transmission Customer requesting service under this Schedule 21-NHT or (2) the use by an owner or developer of a generating station requesting to be interconnected to the Local Network Transmission System.  Direct Assignment Facilities shall be specified in the Service Agreement or interconnection agreement that in addition to the applicable terms and conditions of this Schedule 21-NHT or the OATT governs service to the Transmission Customer; and shall be subject to Commission acceptance.</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 xml:space="preserve">1.6 </w:t>
      </w:r>
      <w:r w:rsidRPr="00915166">
        <w:rPr>
          <w:rFonts w:ascii="Times New Roman" w:hAnsi="Times New Roman"/>
          <w:b/>
          <w:sz w:val="22"/>
          <w:szCs w:val="22"/>
        </w:rPr>
        <w:tab/>
        <w:t>NHT</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New Hampshire Transmission, LLC.</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 xml:space="preserve">1.7 </w:t>
      </w:r>
      <w:r w:rsidRPr="00915166">
        <w:rPr>
          <w:rFonts w:ascii="Times New Roman" w:hAnsi="Times New Roman"/>
          <w:b/>
          <w:sz w:val="22"/>
          <w:szCs w:val="22"/>
        </w:rPr>
        <w:tab/>
        <w:t>NHT-Owned Interconnection Facilities:</w:t>
      </w:r>
    </w:p>
    <w:p w:rsidR="003A0A84" w:rsidRDefault="00AF27BD" w:rsidP="003A0A84">
      <w:pPr>
        <w:spacing w:line="360" w:lineRule="auto"/>
        <w:ind w:left="720"/>
        <w:rPr>
          <w:rFonts w:ascii="Times New Roman" w:hAnsi="Times New Roman"/>
          <w:sz w:val="22"/>
          <w:szCs w:val="22"/>
        </w:rPr>
      </w:pPr>
      <w:proofErr w:type="gramStart"/>
      <w:r w:rsidRPr="001448F1">
        <w:rPr>
          <w:rFonts w:ascii="Times New Roman" w:hAnsi="Times New Roman"/>
          <w:sz w:val="22"/>
          <w:szCs w:val="22"/>
        </w:rPr>
        <w:t>Facilities and equipment, or portions thereof, owned by NHT that are necessary to interconnect a customer with the Local Network Transmission System.</w:t>
      </w:r>
      <w:proofErr w:type="gramEnd"/>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2" w:name="_Toc432949132"/>
      <w:bookmarkStart w:id="13" w:name="_Toc74632059"/>
      <w:r w:rsidRPr="00915166">
        <w:rPr>
          <w:rFonts w:ascii="Times New Roman" w:hAnsi="Times New Roman"/>
          <w:b/>
          <w:sz w:val="22"/>
          <w:szCs w:val="22"/>
        </w:rPr>
        <w:t xml:space="preserve">1.8 </w:t>
      </w:r>
      <w:r w:rsidRPr="00915166">
        <w:rPr>
          <w:rFonts w:ascii="Times New Roman" w:hAnsi="Times New Roman"/>
          <w:b/>
          <w:sz w:val="22"/>
          <w:szCs w:val="22"/>
        </w:rPr>
        <w:tab/>
        <w:t>Generator or Generator Owner:</w:t>
      </w:r>
      <w:bookmarkEnd w:id="12"/>
      <w:bookmarkEnd w:id="13"/>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owner, in whole or in part, of a generating unit whether located within or outside the New England Control Area.</w:t>
      </w:r>
      <w:r w:rsidRPr="001448F1">
        <w:rPr>
          <w:rFonts w:ascii="Times New Roman" w:hAnsi="Times New Roman"/>
          <w:sz w:val="22"/>
          <w:szCs w:val="22"/>
          <w:highlight w:val="yellow"/>
        </w:rPr>
        <w:t xml:space="preserv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4" w:name="_Toc74632061"/>
      <w:r w:rsidRPr="00915166">
        <w:rPr>
          <w:rFonts w:ascii="Times New Roman" w:hAnsi="Times New Roman"/>
          <w:b/>
          <w:sz w:val="22"/>
          <w:szCs w:val="22"/>
        </w:rPr>
        <w:t xml:space="preserve">1.9 </w:t>
      </w:r>
      <w:r w:rsidRPr="00915166">
        <w:rPr>
          <w:rFonts w:ascii="Times New Roman" w:hAnsi="Times New Roman"/>
          <w:b/>
          <w:sz w:val="22"/>
          <w:szCs w:val="22"/>
        </w:rPr>
        <w:tab/>
        <w:t>Interconnection Agreement:</w:t>
      </w:r>
      <w:bookmarkEnd w:id="14"/>
    </w:p>
    <w:p w:rsidR="003A0A84" w:rsidRDefault="00AF27BD" w:rsidP="003A0A84">
      <w:pPr>
        <w:spacing w:line="360" w:lineRule="auto"/>
        <w:ind w:left="720"/>
        <w:rPr>
          <w:rFonts w:ascii="Times New Roman" w:hAnsi="Times New Roman"/>
          <w:sz w:val="22"/>
          <w:szCs w:val="22"/>
        </w:rPr>
      </w:pPr>
      <w:proofErr w:type="gramStart"/>
      <w:r w:rsidRPr="001448F1">
        <w:rPr>
          <w:rFonts w:ascii="Times New Roman" w:hAnsi="Times New Roman"/>
          <w:sz w:val="22"/>
          <w:szCs w:val="22"/>
        </w:rPr>
        <w:t>An agreement between NHT and an Eligible Customer for Interconnection Service.</w:t>
      </w:r>
      <w:proofErr w:type="gramEnd"/>
      <w:r w:rsidRPr="001448F1">
        <w:rPr>
          <w:rFonts w:ascii="Times New Roman" w:hAnsi="Times New Roman"/>
          <w:sz w:val="22"/>
          <w:szCs w:val="22"/>
        </w:rPr>
        <w:t xml:space="preserv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5" w:name="_Toc432949134"/>
      <w:bookmarkStart w:id="16" w:name="_Toc74632062"/>
      <w:r w:rsidRPr="00915166">
        <w:rPr>
          <w:rFonts w:ascii="Times New Roman" w:hAnsi="Times New Roman"/>
          <w:b/>
          <w:sz w:val="22"/>
          <w:szCs w:val="22"/>
        </w:rPr>
        <w:t xml:space="preserve">1.10 </w:t>
      </w:r>
      <w:r w:rsidRPr="00915166">
        <w:rPr>
          <w:rFonts w:ascii="Times New Roman" w:hAnsi="Times New Roman"/>
          <w:b/>
          <w:sz w:val="22"/>
          <w:szCs w:val="22"/>
        </w:rPr>
        <w:tab/>
        <w:t>Interconnection Service:</w:t>
      </w:r>
      <w:bookmarkEnd w:id="15"/>
      <w:bookmarkEnd w:id="16"/>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Those services required to electrically connect Transmission Customer’s or Generator Owner’s facilities to the Local Network Transmission System.  Interconnection Service includes, but is not limited to, the identification, design, and construction of facilities required </w:t>
      </w:r>
      <w:proofErr w:type="gramStart"/>
      <w:r w:rsidRPr="001448F1">
        <w:rPr>
          <w:rFonts w:ascii="Times New Roman" w:hAnsi="Times New Roman"/>
          <w:sz w:val="22"/>
          <w:szCs w:val="22"/>
        </w:rPr>
        <w:t>to establish and maintain</w:t>
      </w:r>
      <w:proofErr w:type="gramEnd"/>
      <w:r w:rsidRPr="001448F1">
        <w:rPr>
          <w:rFonts w:ascii="Times New Roman" w:hAnsi="Times New Roman"/>
          <w:sz w:val="22"/>
          <w:szCs w:val="22"/>
        </w:rPr>
        <w:t xml:space="preserve"> such electrical connection as identified by a completed System Impact Study and </w:t>
      </w:r>
      <w:r w:rsidRPr="001448F1">
        <w:rPr>
          <w:rFonts w:ascii="Times New Roman" w:hAnsi="Times New Roman"/>
          <w:sz w:val="22"/>
          <w:szCs w:val="22"/>
        </w:rPr>
        <w:lastRenderedPageBreak/>
        <w:t xml:space="preserve">Facilities Study.  The customer’s and NHT’s contractual obligations associated with Interconnection Service shall be specified in an Interconnection Agreement which shall be executed and filed with the Commission prior to the commencement of such service.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 xml:space="preserve">1.11 </w:t>
      </w:r>
      <w:r w:rsidRPr="00915166">
        <w:rPr>
          <w:rFonts w:ascii="Times New Roman" w:hAnsi="Times New Roman"/>
          <w:b/>
          <w:sz w:val="22"/>
          <w:szCs w:val="22"/>
        </w:rPr>
        <w:tab/>
        <w:t xml:space="preserve">LNS Service: </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service provided by NHT over its Local Network pursuant to this Schedule 21-NHT.</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17" w:name="_Toc432949138"/>
      <w:bookmarkStart w:id="18" w:name="_Toc74632065"/>
      <w:r w:rsidRPr="00915166">
        <w:rPr>
          <w:rFonts w:ascii="Times New Roman" w:hAnsi="Times New Roman"/>
          <w:b/>
          <w:sz w:val="22"/>
          <w:szCs w:val="22"/>
        </w:rPr>
        <w:t xml:space="preserve">1.12 </w:t>
      </w:r>
      <w:r w:rsidRPr="00915166">
        <w:rPr>
          <w:rFonts w:ascii="Times New Roman" w:hAnsi="Times New Roman"/>
          <w:b/>
          <w:sz w:val="22"/>
          <w:szCs w:val="22"/>
        </w:rPr>
        <w:tab/>
        <w:t>Load Ratio Share:</w:t>
      </w:r>
      <w:bookmarkEnd w:id="17"/>
      <w:bookmarkEnd w:id="18"/>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Ratio of a Transmission Customer’s Local Network Load to NHT’s total Local Network Load computed in accordance with Sections 22.2 and 22.3 of the Local Network Service under Part III of this Schedule 21-NHT.</w:t>
      </w:r>
      <w:bookmarkStart w:id="19" w:name="_Toc432949140"/>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20" w:name="_Toc74632068"/>
      <w:r w:rsidRPr="00915166">
        <w:rPr>
          <w:rFonts w:ascii="Times New Roman" w:hAnsi="Times New Roman"/>
          <w:b/>
          <w:sz w:val="22"/>
          <w:szCs w:val="22"/>
        </w:rPr>
        <w:t xml:space="preserve">1.13 </w:t>
      </w:r>
      <w:r w:rsidRPr="00915166">
        <w:rPr>
          <w:rFonts w:ascii="Times New Roman" w:hAnsi="Times New Roman"/>
          <w:b/>
          <w:sz w:val="22"/>
          <w:szCs w:val="22"/>
        </w:rPr>
        <w:tab/>
        <w:t>Local Network (Local Network Transmission System):</w:t>
      </w:r>
      <w:bookmarkEnd w:id="19"/>
      <w:bookmarkEnd w:id="20"/>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The transmission facilities owned or operated by NHT within the New England Control Area that are used to provide transmission service.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21" w:name="_Toc432949142"/>
      <w:bookmarkStart w:id="22" w:name="_Toc74632070"/>
      <w:r w:rsidRPr="00915166">
        <w:rPr>
          <w:rFonts w:ascii="Times New Roman" w:hAnsi="Times New Roman"/>
          <w:b/>
          <w:sz w:val="22"/>
          <w:szCs w:val="22"/>
        </w:rPr>
        <w:t xml:space="preserve">1.14 </w:t>
      </w:r>
      <w:r w:rsidRPr="00915166">
        <w:rPr>
          <w:rFonts w:ascii="Times New Roman" w:hAnsi="Times New Roman"/>
          <w:b/>
          <w:sz w:val="22"/>
          <w:szCs w:val="22"/>
        </w:rPr>
        <w:tab/>
        <w:t>Local Network Load:</w:t>
      </w:r>
      <w:bookmarkEnd w:id="21"/>
      <w:bookmarkEnd w:id="22"/>
    </w:p>
    <w:p w:rsidR="003A0A84" w:rsidRDefault="00AF27BD" w:rsidP="003A0A84">
      <w:pPr>
        <w:spacing w:line="360" w:lineRule="auto"/>
        <w:ind w:left="720"/>
        <w:rPr>
          <w:rFonts w:ascii="Times New Roman" w:hAnsi="Times New Roman"/>
          <w:sz w:val="22"/>
          <w:szCs w:val="22"/>
        </w:rPr>
      </w:pPr>
      <w:bookmarkStart w:id="23" w:name="_Toc68418584"/>
      <w:bookmarkStart w:id="24" w:name="_Toc68419626"/>
      <w:proofErr w:type="gramStart"/>
      <w:r w:rsidRPr="001448F1">
        <w:rPr>
          <w:rFonts w:ascii="Times New Roman" w:hAnsi="Times New Roman"/>
          <w:sz w:val="22"/>
          <w:szCs w:val="22"/>
        </w:rPr>
        <w:t>The load that a Local Network Customer designates for Local Network</w:t>
      </w:r>
      <w:bookmarkEnd w:id="23"/>
      <w:bookmarkEnd w:id="24"/>
      <w:r w:rsidRPr="001448F1">
        <w:rPr>
          <w:rFonts w:ascii="Times New Roman" w:hAnsi="Times New Roman"/>
          <w:sz w:val="22"/>
          <w:szCs w:val="22"/>
        </w:rPr>
        <w:t xml:space="preserve"> </w:t>
      </w:r>
      <w:bookmarkStart w:id="25" w:name="_Toc68418585"/>
      <w:bookmarkStart w:id="26" w:name="_Toc68419627"/>
      <w:r w:rsidRPr="001448F1">
        <w:rPr>
          <w:rFonts w:ascii="Times New Roman" w:hAnsi="Times New Roman"/>
          <w:sz w:val="22"/>
          <w:szCs w:val="22"/>
        </w:rPr>
        <w:t>Transmission Service under Part III of this Schedule 21-NHT.</w:t>
      </w:r>
      <w:proofErr w:type="gramEnd"/>
      <w:r w:rsidRPr="001448F1">
        <w:rPr>
          <w:rFonts w:ascii="Times New Roman" w:hAnsi="Times New Roman"/>
          <w:sz w:val="22"/>
          <w:szCs w:val="22"/>
        </w:rPr>
        <w:t xml:space="preserve">  The Local Network Customer’s Local Network Load shall include all load served by the output of any Network Resources designated by the Local Network Customer (including losses) and shall not be credited or reduced for any Backyard Generation.  All Local Network Customers shall be required to have installed appropriate metering to determine such Backyard Generation, in accordance with the Network Operating Agreement.  A Local Network Customer may elect to designate less than its total load as Local Network Load but may not designate only part of the load at a discrete Point of Delivery.  Where an Eligible Customer has elected not to designate a particular load at discrete points of delivery as Local Network Load, the Eligible Customer is responsible for making separate arrangements under Part II of this Schedule 21-NHT for any Local Point-To-Point Transmission Service that may be necessary for such non-designated load.</w:t>
      </w:r>
      <w:bookmarkEnd w:id="25"/>
      <w:bookmarkEnd w:id="26"/>
      <w:r w:rsidRPr="001448F1">
        <w:rPr>
          <w:rFonts w:ascii="Times New Roman" w:hAnsi="Times New Roman"/>
          <w:sz w:val="22"/>
          <w:szCs w:val="22"/>
        </w:rPr>
        <w:t xml:space="preserv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27" w:name="_Toc432949153"/>
      <w:bookmarkStart w:id="28" w:name="_Toc74632080"/>
      <w:r w:rsidRPr="00915166">
        <w:rPr>
          <w:rFonts w:ascii="Times New Roman" w:hAnsi="Times New Roman"/>
          <w:b/>
          <w:sz w:val="22"/>
          <w:szCs w:val="22"/>
        </w:rPr>
        <w:t xml:space="preserve">1.15 </w:t>
      </w:r>
      <w:r w:rsidRPr="00915166">
        <w:rPr>
          <w:rFonts w:ascii="Times New Roman" w:hAnsi="Times New Roman"/>
          <w:b/>
          <w:sz w:val="22"/>
          <w:szCs w:val="22"/>
        </w:rPr>
        <w:tab/>
        <w:t>Network Operating Agreement:</w:t>
      </w:r>
      <w:bookmarkEnd w:id="27"/>
      <w:bookmarkEnd w:id="28"/>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An executed agreement that contains the terms and conditions under which the Local Network Customer shall operate its facilities and the technical and operational matters associated with the implementation of Local Network Service under Part III of this Schedule 21-NHT.</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29" w:name="_Toc432949158"/>
      <w:bookmarkStart w:id="30" w:name="_Toc74632085"/>
      <w:r w:rsidRPr="00915166">
        <w:rPr>
          <w:rFonts w:ascii="Times New Roman" w:hAnsi="Times New Roman"/>
          <w:b/>
          <w:sz w:val="22"/>
          <w:szCs w:val="22"/>
        </w:rPr>
        <w:t xml:space="preserve">1.16 </w:t>
      </w:r>
      <w:r w:rsidRPr="00915166">
        <w:rPr>
          <w:rFonts w:ascii="Times New Roman" w:hAnsi="Times New Roman"/>
          <w:b/>
          <w:sz w:val="22"/>
          <w:szCs w:val="22"/>
        </w:rPr>
        <w:tab/>
        <w:t>Part I:</w:t>
      </w:r>
      <w:bookmarkEnd w:id="29"/>
      <w:bookmarkEnd w:id="30"/>
    </w:p>
    <w:p w:rsidR="003A0A84" w:rsidRDefault="00AF27BD" w:rsidP="003A0A84">
      <w:pPr>
        <w:spacing w:line="360" w:lineRule="auto"/>
        <w:ind w:left="720"/>
        <w:rPr>
          <w:rFonts w:ascii="Times New Roman" w:hAnsi="Times New Roman"/>
          <w:sz w:val="22"/>
          <w:szCs w:val="22"/>
        </w:rPr>
      </w:pPr>
      <w:proofErr w:type="gramStart"/>
      <w:r w:rsidRPr="001448F1">
        <w:rPr>
          <w:rFonts w:ascii="Times New Roman" w:hAnsi="Times New Roman"/>
          <w:sz w:val="22"/>
          <w:szCs w:val="22"/>
        </w:rPr>
        <w:t>The sections of this Schedule 21-NHT containing the definitions and common service provisions.</w:t>
      </w:r>
      <w:proofErr w:type="gramEnd"/>
      <w:r w:rsidRPr="001448F1">
        <w:rPr>
          <w:rFonts w:ascii="Times New Roman" w:hAnsi="Times New Roman"/>
          <w:sz w:val="22"/>
          <w:szCs w:val="22"/>
        </w:rPr>
        <w:t xml:space="preserve">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31" w:name="_Toc432949159"/>
      <w:bookmarkStart w:id="32" w:name="_Toc74632086"/>
      <w:r w:rsidRPr="00915166">
        <w:rPr>
          <w:rFonts w:ascii="Times New Roman" w:hAnsi="Times New Roman"/>
          <w:b/>
          <w:sz w:val="22"/>
          <w:szCs w:val="22"/>
        </w:rPr>
        <w:t xml:space="preserve">1.17 </w:t>
      </w:r>
      <w:r w:rsidRPr="00915166">
        <w:rPr>
          <w:rFonts w:ascii="Times New Roman" w:hAnsi="Times New Roman"/>
          <w:b/>
          <w:sz w:val="22"/>
          <w:szCs w:val="22"/>
        </w:rPr>
        <w:tab/>
        <w:t>Part II:</w:t>
      </w:r>
      <w:bookmarkEnd w:id="31"/>
      <w:bookmarkEnd w:id="32"/>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sections of this Schedule 21-NHT pertaining to Local Point-To-Point Transmission Service in conjunction with the applicable common service provisions of Part I and appropriate Schedules and Attachments.</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33" w:name="_Toc432949160"/>
      <w:bookmarkStart w:id="34" w:name="_Toc74632087"/>
      <w:r w:rsidRPr="00915166">
        <w:rPr>
          <w:rFonts w:ascii="Times New Roman" w:hAnsi="Times New Roman"/>
          <w:b/>
          <w:sz w:val="22"/>
          <w:szCs w:val="22"/>
        </w:rPr>
        <w:t xml:space="preserve">1.18 </w:t>
      </w:r>
      <w:r w:rsidRPr="00915166">
        <w:rPr>
          <w:rFonts w:ascii="Times New Roman" w:hAnsi="Times New Roman"/>
          <w:b/>
          <w:sz w:val="22"/>
          <w:szCs w:val="22"/>
        </w:rPr>
        <w:tab/>
        <w:t>Part III:</w:t>
      </w:r>
      <w:bookmarkEnd w:id="33"/>
      <w:bookmarkEnd w:id="34"/>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sections of this Schedule 21-NHT pertaining to Local Network Transmission Service in conjunction with the applicable common service provisions of Part I and appropriate Schedules and Attachments.</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35" w:name="_Toc432949162"/>
      <w:bookmarkStart w:id="36" w:name="_Toc74632090"/>
      <w:r w:rsidRPr="00915166">
        <w:rPr>
          <w:rFonts w:ascii="Times New Roman" w:hAnsi="Times New Roman"/>
          <w:b/>
          <w:sz w:val="22"/>
          <w:szCs w:val="22"/>
        </w:rPr>
        <w:t xml:space="preserve">1.19 </w:t>
      </w:r>
      <w:r w:rsidRPr="00915166">
        <w:rPr>
          <w:rFonts w:ascii="Times New Roman" w:hAnsi="Times New Roman"/>
          <w:b/>
          <w:sz w:val="22"/>
          <w:szCs w:val="22"/>
        </w:rPr>
        <w:tab/>
        <w:t>Parties:</w:t>
      </w:r>
      <w:bookmarkEnd w:id="35"/>
      <w:bookmarkEnd w:id="36"/>
    </w:p>
    <w:p w:rsidR="003A0A84" w:rsidRDefault="00AF27BD" w:rsidP="003A0A84">
      <w:pPr>
        <w:spacing w:line="360" w:lineRule="auto"/>
        <w:ind w:left="720"/>
        <w:rPr>
          <w:rFonts w:ascii="Times New Roman" w:hAnsi="Times New Roman"/>
          <w:sz w:val="22"/>
          <w:szCs w:val="22"/>
        </w:rPr>
      </w:pPr>
      <w:proofErr w:type="gramStart"/>
      <w:r w:rsidRPr="001448F1">
        <w:rPr>
          <w:rFonts w:ascii="Times New Roman" w:hAnsi="Times New Roman"/>
          <w:sz w:val="22"/>
          <w:szCs w:val="22"/>
        </w:rPr>
        <w:t>NHT and the Transmission Customer receiving service under this Tariff.</w:t>
      </w:r>
      <w:proofErr w:type="gramEnd"/>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 xml:space="preserve">1.20 </w:t>
      </w:r>
      <w:r w:rsidRPr="00915166">
        <w:rPr>
          <w:rFonts w:ascii="Times New Roman" w:hAnsi="Times New Roman"/>
          <w:b/>
          <w:sz w:val="22"/>
          <w:szCs w:val="22"/>
        </w:rPr>
        <w:tab/>
        <w:t>Transmission Service:</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Transmission service provided over NHT’s Local Network, designated as Local Network Service or Local Point-To-Point Service that is provided pursuant to this Schedule 21-NHT.</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b/>
          <w:sz w:val="22"/>
          <w:szCs w:val="22"/>
        </w:rPr>
      </w:pPr>
      <w:bookmarkStart w:id="37" w:name="_Toc432235908"/>
      <w:bookmarkStart w:id="38" w:name="_Toc432949181"/>
      <w:bookmarkStart w:id="39" w:name="_Toc74632109"/>
      <w:r w:rsidRPr="001448F1">
        <w:rPr>
          <w:rFonts w:ascii="Times New Roman" w:hAnsi="Times New Roman"/>
          <w:b/>
          <w:sz w:val="22"/>
          <w:szCs w:val="22"/>
        </w:rPr>
        <w:t xml:space="preserve">2. </w:t>
      </w:r>
      <w:r w:rsidRPr="001448F1">
        <w:rPr>
          <w:rFonts w:ascii="Times New Roman" w:hAnsi="Times New Roman"/>
          <w:b/>
          <w:sz w:val="22"/>
          <w:szCs w:val="22"/>
        </w:rPr>
        <w:tab/>
        <w:t xml:space="preserve">Purpose of This </w:t>
      </w:r>
      <w:bookmarkEnd w:id="37"/>
      <w:bookmarkEnd w:id="38"/>
      <w:bookmarkEnd w:id="39"/>
      <w:r w:rsidRPr="001448F1">
        <w:rPr>
          <w:rFonts w:ascii="Times New Roman" w:hAnsi="Times New Roman"/>
          <w:b/>
          <w:sz w:val="22"/>
          <w:szCs w:val="22"/>
        </w:rPr>
        <w:t>Schedule 21-NHT</w:t>
      </w: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This Schedule 21-NHT is only applicable for service over NHT’s transmission facilities located within the New England Control Area.  It is intended to provide Transmission Service as a complement to the regional service to be provided under the OATT and is designed to ensure cost recovery by NHT of its ATRR as determined in accordance with the formula specified in Attachment G hereto.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The OATT contemplates a two-tier transmission arrangement integrating regional service which is provided under Part B of the OATT, and LNS Service, including Local Network Service and Local Point-To-Point Transmission Service, including, without limitation, service over NHT-Owned Interconnection Facilities as provided under this Schedule 21-NHT.</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r>
      <w:r w:rsidRPr="00915166">
        <w:rPr>
          <w:rFonts w:ascii="Times New Roman" w:hAnsi="Times New Roman"/>
          <w:b/>
          <w:sz w:val="22"/>
          <w:szCs w:val="22"/>
        </w:rPr>
        <w:t>RESERVED</w:t>
      </w:r>
    </w:p>
    <w:p w:rsidR="003A0A84" w:rsidRDefault="003A0A84" w:rsidP="003A0A84">
      <w:pPr>
        <w:spacing w:line="360" w:lineRule="auto"/>
        <w:rPr>
          <w:rFonts w:ascii="Times New Roman" w:hAnsi="Times New Roman"/>
          <w:b/>
          <w:sz w:val="22"/>
          <w:szCs w:val="22"/>
        </w:rPr>
      </w:pPr>
    </w:p>
    <w:p w:rsidR="003A0A84" w:rsidRPr="00915166" w:rsidRDefault="00AF27BD" w:rsidP="003A0A84">
      <w:pPr>
        <w:spacing w:line="360" w:lineRule="auto"/>
        <w:rPr>
          <w:rFonts w:ascii="Times New Roman" w:hAnsi="Times New Roman"/>
          <w:b/>
          <w:sz w:val="22"/>
          <w:szCs w:val="22"/>
        </w:rPr>
      </w:pPr>
      <w:bookmarkStart w:id="40" w:name="_Toc432235909"/>
      <w:bookmarkStart w:id="41" w:name="_Toc432949183"/>
      <w:bookmarkStart w:id="42" w:name="_Toc74632111"/>
      <w:r>
        <w:rPr>
          <w:rFonts w:ascii="Times New Roman" w:hAnsi="Times New Roman"/>
          <w:b/>
          <w:sz w:val="22"/>
          <w:szCs w:val="22"/>
        </w:rPr>
        <w:lastRenderedPageBreak/>
        <w:t>4</w:t>
      </w:r>
      <w:r w:rsidRPr="00915166">
        <w:rPr>
          <w:rFonts w:ascii="Times New Roman" w:hAnsi="Times New Roman"/>
          <w:b/>
          <w:sz w:val="22"/>
          <w:szCs w:val="22"/>
        </w:rPr>
        <w:t>.</w:t>
      </w:r>
      <w:r w:rsidRPr="00915166">
        <w:rPr>
          <w:rFonts w:ascii="Times New Roman" w:hAnsi="Times New Roman"/>
          <w:b/>
          <w:sz w:val="22"/>
          <w:szCs w:val="22"/>
        </w:rPr>
        <w:tab/>
        <w:t>Ancillary Services</w:t>
      </w:r>
      <w:bookmarkEnd w:id="40"/>
      <w:bookmarkEnd w:id="41"/>
      <w:bookmarkEnd w:id="42"/>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Ancillary Services are needed with transmission service to maintain reliability within the New England Control Area.</w:t>
      </w:r>
    </w:p>
    <w:p w:rsidR="003A0A84" w:rsidRPr="001448F1" w:rsidRDefault="003A0A84" w:rsidP="003A0A84">
      <w:pPr>
        <w:spacing w:line="360" w:lineRule="auto"/>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43" w:name="_Toc432949184"/>
      <w:bookmarkStart w:id="44" w:name="_Toc74632112"/>
      <w:r w:rsidRPr="00915166">
        <w:rPr>
          <w:rFonts w:ascii="Times New Roman" w:hAnsi="Times New Roman"/>
          <w:b/>
          <w:sz w:val="22"/>
          <w:szCs w:val="22"/>
        </w:rPr>
        <w:t>4.1</w:t>
      </w:r>
      <w:r w:rsidRPr="00915166">
        <w:rPr>
          <w:rFonts w:ascii="Times New Roman" w:hAnsi="Times New Roman"/>
          <w:b/>
          <w:sz w:val="22"/>
          <w:szCs w:val="22"/>
        </w:rPr>
        <w:tab/>
        <w:t>Ancillary Services supporting transmission service over the Local Network Transmission System:</w:t>
      </w:r>
      <w:bookmarkEnd w:id="43"/>
      <w:bookmarkEnd w:id="44"/>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Ancillary Services to support transmission service over the Local Network Transmission System will be provided pursuant to the OATT.</w:t>
      </w:r>
      <w:bookmarkStart w:id="45" w:name="_Toc432949185"/>
      <w:r w:rsidRPr="001448F1">
        <w:rPr>
          <w:rFonts w:ascii="Times New Roman" w:hAnsi="Times New Roman"/>
          <w:sz w:val="22"/>
          <w:szCs w:val="22"/>
        </w:rPr>
        <w:t xml:space="preserve"> </w:t>
      </w:r>
    </w:p>
    <w:p w:rsidR="003A0A84" w:rsidRPr="001448F1" w:rsidRDefault="003A0A84" w:rsidP="003A0A84">
      <w:pPr>
        <w:spacing w:line="360" w:lineRule="auto"/>
        <w:rPr>
          <w:rFonts w:ascii="Times New Roman" w:hAnsi="Times New Roman"/>
          <w:sz w:val="22"/>
          <w:szCs w:val="22"/>
        </w:rPr>
      </w:pPr>
    </w:p>
    <w:p w:rsidR="003A0A84" w:rsidRPr="00915166" w:rsidRDefault="00AF27BD" w:rsidP="003A0A84">
      <w:pPr>
        <w:spacing w:line="360" w:lineRule="auto"/>
        <w:rPr>
          <w:rFonts w:ascii="Times New Roman" w:hAnsi="Times New Roman"/>
          <w:b/>
          <w:sz w:val="22"/>
          <w:szCs w:val="22"/>
        </w:rPr>
      </w:pPr>
      <w:bookmarkStart w:id="46" w:name="_Toc74632119"/>
      <w:bookmarkEnd w:id="45"/>
      <w:r w:rsidRPr="00915166">
        <w:rPr>
          <w:rFonts w:ascii="Times New Roman" w:hAnsi="Times New Roman"/>
          <w:b/>
          <w:sz w:val="22"/>
          <w:szCs w:val="22"/>
        </w:rPr>
        <w:t>5</w:t>
      </w:r>
      <w:r>
        <w:rPr>
          <w:rFonts w:ascii="Times New Roman" w:hAnsi="Times New Roman"/>
          <w:b/>
          <w:sz w:val="22"/>
          <w:szCs w:val="22"/>
        </w:rPr>
        <w:t>.</w:t>
      </w:r>
      <w:r w:rsidRPr="00915166">
        <w:rPr>
          <w:rFonts w:ascii="Times New Roman" w:hAnsi="Times New Roman"/>
          <w:b/>
          <w:sz w:val="22"/>
          <w:szCs w:val="22"/>
        </w:rPr>
        <w:tab/>
        <w:t>Billing and Payment</w:t>
      </w:r>
      <w:bookmarkEnd w:id="46"/>
    </w:p>
    <w:p w:rsidR="003A0A84" w:rsidRDefault="003A0A84" w:rsidP="003A0A84">
      <w:pPr>
        <w:spacing w:line="360" w:lineRule="auto"/>
        <w:rPr>
          <w:rFonts w:ascii="Times New Roman" w:hAnsi="Times New Roman"/>
          <w:sz w:val="22"/>
          <w:szCs w:val="22"/>
        </w:rPr>
      </w:pPr>
      <w:bookmarkStart w:id="47" w:name="_Toc74632120"/>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5.1</w:t>
      </w:r>
      <w:r w:rsidRPr="00915166">
        <w:rPr>
          <w:rFonts w:ascii="Times New Roman" w:hAnsi="Times New Roman"/>
          <w:b/>
          <w:sz w:val="22"/>
          <w:szCs w:val="22"/>
        </w:rPr>
        <w:tab/>
        <w:t>Billing Procedure:</w:t>
      </w:r>
      <w:bookmarkEnd w:id="47"/>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Within a reasonable time after the first day of each month, NHT shall submit an invoice to the Transmission Customer for the charges for all services furnished under this Schedule 21-NHT during the preceding month.  In accordance with the formula rate contained in Attachment G of this Schedule 21-NHT, such monthly invoices for transmission service shall reflect an estimate of the monthly revenues NHT expects to receive associated with NHT’s share of regional transmission service revenues collected pursuant to the OATT, with such estimated monthly amounts being reconciled with interest pursuant to Section 35.19(a) of the Commission’s Regulations to actual monthly revenues received in subsequent billing months when such actual amounts are known by NHT.  The invoice shall be paid by the Transmission Customer within ten (10) days of receipt.  All payments shall be made, in accordance with the procedure specified by NHT in immediately available funds payable to NHT, or by wire transfer to a bank named by NHT.</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5.2</w:t>
      </w:r>
      <w:r w:rsidRPr="00915166">
        <w:rPr>
          <w:rFonts w:ascii="Times New Roman" w:hAnsi="Times New Roman"/>
          <w:b/>
          <w:sz w:val="22"/>
          <w:szCs w:val="22"/>
        </w:rPr>
        <w:tab/>
        <w:t>Interest on Unpaid Balances:</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Interest on any unpaid amounts (including amounts placed in escrow) shall be calculated in accordance with the methodology specified for interest on refunds in 18 C.F.R. § </w:t>
      </w:r>
      <w:proofErr w:type="gramStart"/>
      <w:r w:rsidRPr="001448F1">
        <w:rPr>
          <w:rFonts w:ascii="Times New Roman" w:hAnsi="Times New Roman"/>
          <w:sz w:val="22"/>
          <w:szCs w:val="22"/>
        </w:rPr>
        <w:t>35.19a(</w:t>
      </w:r>
      <w:proofErr w:type="gramEnd"/>
      <w:r w:rsidRPr="001448F1">
        <w:rPr>
          <w:rFonts w:ascii="Times New Roman" w:hAnsi="Times New Roman"/>
          <w:sz w:val="22"/>
          <w:szCs w:val="22"/>
        </w:rPr>
        <w:t xml:space="preserve">a)(2)(iii) of the Commission’s regulations.  Interest on delinquent amounts shall be calculated from the due date of the bill to the date of payment.  When payments are made by mail, bills shall be considered as having been paid on the date of receipt by NHT. </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5.3</w:t>
      </w:r>
      <w:r w:rsidRPr="00915166">
        <w:rPr>
          <w:rFonts w:ascii="Times New Roman" w:hAnsi="Times New Roman"/>
          <w:b/>
          <w:sz w:val="22"/>
          <w:szCs w:val="22"/>
        </w:rPr>
        <w:tab/>
        <w:t>Customer Default:</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In the event the Transmission Customer fails, for any reason other than a billing dispute as </w:t>
      </w:r>
      <w:r w:rsidRPr="001448F1">
        <w:rPr>
          <w:rFonts w:ascii="Times New Roman" w:hAnsi="Times New Roman"/>
          <w:sz w:val="22"/>
          <w:szCs w:val="22"/>
        </w:rPr>
        <w:lastRenderedPageBreak/>
        <w:t>described below, to make payment to NHT on or before the due date as described above, and such failure of payment is not corrected within thirty (30) calendar days after NHT notifies the Transmission Customer to cure such failure, or if the Transmission Customer violates any provision of its Service Agreement, a default by the Transmission Customer shall be deemed to exist.  Upon the occurrence of a default, NHT may initiate a proceeding with the Commission to terminate service but shall not terminate service until the Commission so approves any such request.  In the event of a billing dispute between NHT and the Transmission Customer, NHT will continue to provide service under the Service Agreement as long as the Transmission Customer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continues to make all payments not in dispute, and (ii) pays into an independent escrow account the portion of the invoice in dispute, pending resolution of such dispute.  If the Transmission Customer fails to meet these two requirements for continuation of service, then NHT may provide notice to the Transmission Customer of its intention to suspend service in sixty (60) days, in accordance with applicable Commission rules and regulations, and may proceed with such suspension.</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rPr>
          <w:rFonts w:ascii="Times New Roman" w:hAnsi="Times New Roman"/>
          <w:sz w:val="22"/>
          <w:szCs w:val="22"/>
        </w:rPr>
      </w:pPr>
      <w:bookmarkStart w:id="48" w:name="_Toc74632123"/>
      <w:r w:rsidRPr="00915166">
        <w:rPr>
          <w:rFonts w:ascii="Times New Roman" w:hAnsi="Times New Roman"/>
          <w:b/>
          <w:sz w:val="22"/>
          <w:szCs w:val="22"/>
        </w:rPr>
        <w:t>6.0</w:t>
      </w:r>
      <w:r w:rsidRPr="00915166">
        <w:rPr>
          <w:rFonts w:ascii="Times New Roman" w:hAnsi="Times New Roman"/>
          <w:b/>
          <w:sz w:val="22"/>
          <w:szCs w:val="22"/>
        </w:rPr>
        <w:tab/>
        <w:t>Accounting for the PTO’s Use of this Schedule-21-NHT</w:t>
      </w:r>
      <w:r w:rsidRPr="001448F1">
        <w:rPr>
          <w:rFonts w:ascii="Times New Roman" w:hAnsi="Times New Roman"/>
          <w:sz w:val="22"/>
          <w:szCs w:val="22"/>
        </w:rPr>
        <w:t>.</w:t>
      </w:r>
      <w:bookmarkEnd w:id="48"/>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NHT will record the following amounts, as outlined below.</w:t>
      </w:r>
    </w:p>
    <w:p w:rsidR="003A0A84" w:rsidRPr="001448F1" w:rsidRDefault="003A0A84" w:rsidP="003A0A84">
      <w:pPr>
        <w:spacing w:line="360" w:lineRule="auto"/>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r w:rsidRPr="00915166">
        <w:rPr>
          <w:rFonts w:ascii="Times New Roman" w:hAnsi="Times New Roman"/>
          <w:b/>
          <w:sz w:val="22"/>
          <w:szCs w:val="22"/>
        </w:rPr>
        <w:t xml:space="preserve">6.1 </w:t>
      </w:r>
      <w:r w:rsidRPr="00915166">
        <w:rPr>
          <w:rFonts w:ascii="Times New Roman" w:hAnsi="Times New Roman"/>
          <w:b/>
          <w:sz w:val="22"/>
          <w:szCs w:val="22"/>
        </w:rPr>
        <w:tab/>
        <w:t>Transmission Revenues:</w:t>
      </w:r>
    </w:p>
    <w:p w:rsidR="003A0A84" w:rsidRDefault="00AF27BD" w:rsidP="003A0A84">
      <w:pPr>
        <w:spacing w:line="360" w:lineRule="auto"/>
        <w:ind w:left="720"/>
        <w:rPr>
          <w:rFonts w:ascii="Times New Roman" w:hAnsi="Times New Roman"/>
          <w:sz w:val="22"/>
          <w:szCs w:val="22"/>
        </w:rPr>
      </w:pPr>
      <w:bookmarkStart w:id="49" w:name="_Toc74632124"/>
      <w:r w:rsidRPr="001448F1">
        <w:rPr>
          <w:rFonts w:ascii="Times New Roman" w:hAnsi="Times New Roman"/>
          <w:sz w:val="22"/>
          <w:szCs w:val="22"/>
        </w:rPr>
        <w:t xml:space="preserve"> </w:t>
      </w:r>
      <w:bookmarkEnd w:id="49"/>
      <w:r w:rsidRPr="001448F1">
        <w:rPr>
          <w:rFonts w:ascii="Times New Roman" w:hAnsi="Times New Roman"/>
          <w:sz w:val="22"/>
          <w:szCs w:val="22"/>
        </w:rPr>
        <w:t>Include in a separate operating revenue account or subaccount the revenues it receives from Transmission Service when making Third-Party Sales under Part II of this Schedule 21-NHT.</w:t>
      </w:r>
    </w:p>
    <w:p w:rsidR="003A0A84" w:rsidRPr="001448F1" w:rsidRDefault="003A0A84" w:rsidP="003A0A84">
      <w:pPr>
        <w:spacing w:line="360" w:lineRule="auto"/>
        <w:ind w:left="720"/>
        <w:rPr>
          <w:rFonts w:ascii="Times New Roman" w:hAnsi="Times New Roman"/>
          <w:sz w:val="22"/>
          <w:szCs w:val="22"/>
        </w:rPr>
      </w:pPr>
    </w:p>
    <w:p w:rsidR="003A0A84" w:rsidRPr="00915166" w:rsidRDefault="00AF27BD" w:rsidP="003A0A84">
      <w:pPr>
        <w:spacing w:line="360" w:lineRule="auto"/>
        <w:ind w:left="720"/>
        <w:rPr>
          <w:rFonts w:ascii="Times New Roman" w:hAnsi="Times New Roman"/>
          <w:b/>
          <w:sz w:val="22"/>
          <w:szCs w:val="22"/>
        </w:rPr>
      </w:pPr>
      <w:bookmarkStart w:id="50" w:name="_Toc74632125"/>
      <w:r w:rsidRPr="00915166">
        <w:rPr>
          <w:rFonts w:ascii="Times New Roman" w:hAnsi="Times New Roman"/>
          <w:b/>
          <w:sz w:val="22"/>
          <w:szCs w:val="22"/>
        </w:rPr>
        <w:t xml:space="preserve">6.2 </w:t>
      </w:r>
      <w:r w:rsidRPr="00915166">
        <w:rPr>
          <w:rFonts w:ascii="Times New Roman" w:hAnsi="Times New Roman"/>
          <w:b/>
          <w:sz w:val="22"/>
          <w:szCs w:val="22"/>
        </w:rPr>
        <w:tab/>
        <w:t>Study Costs and Revenues:</w:t>
      </w:r>
      <w:bookmarkEnd w:id="50"/>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Include in a separate transmission operating expense account or subaccount, costs properly chargeable to expense that are incurred to perform any System Impact Studies or Facilities Studies which the PTO conducts to determine if it must construct new transmission facilities or upgrades necessary for its own uses, including Third-Party Sales, if any, under this Schedule 21-NHT or at the direction of the Control Area Operator; and include in a separate operating revenue account or subaccount the revenues received for System Impact Studies or Facilities Studies performed when such amounts are separately stated and identified in a Transmission Customer’s billing under this Schedule 21 or at the direction of the Control Area Operator.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b/>
          <w:sz w:val="22"/>
          <w:szCs w:val="22"/>
        </w:rPr>
      </w:pPr>
      <w:bookmarkStart w:id="51" w:name="_Toc74632126"/>
      <w:r w:rsidRPr="00915166">
        <w:rPr>
          <w:rFonts w:ascii="Times New Roman" w:hAnsi="Times New Roman"/>
          <w:b/>
          <w:sz w:val="22"/>
          <w:szCs w:val="22"/>
        </w:rPr>
        <w:t xml:space="preserve">7. </w:t>
      </w:r>
      <w:r w:rsidRPr="00915166">
        <w:rPr>
          <w:rFonts w:ascii="Times New Roman" w:hAnsi="Times New Roman"/>
          <w:b/>
          <w:sz w:val="22"/>
          <w:szCs w:val="22"/>
        </w:rPr>
        <w:tab/>
        <w:t>Regulatory Filings</w:t>
      </w:r>
      <w:bookmarkEnd w:id="51"/>
    </w:p>
    <w:p w:rsidR="003A0A84" w:rsidRPr="00915166" w:rsidRDefault="003A0A84" w:rsidP="003A0A84">
      <w:pPr>
        <w:spacing w:line="360" w:lineRule="auto"/>
        <w:rPr>
          <w:rFonts w:ascii="Times New Roman" w:hAnsi="Times New Roman"/>
          <w:b/>
          <w:sz w:val="22"/>
          <w:szCs w:val="22"/>
        </w:rPr>
      </w:pPr>
    </w:p>
    <w:p w:rsidR="003A0A84" w:rsidRPr="00915166" w:rsidRDefault="00AF27BD" w:rsidP="003A0A84">
      <w:pPr>
        <w:spacing w:line="360" w:lineRule="auto"/>
        <w:ind w:left="720"/>
        <w:rPr>
          <w:rFonts w:ascii="Times New Roman" w:hAnsi="Times New Roman"/>
          <w:b/>
          <w:sz w:val="22"/>
          <w:szCs w:val="22"/>
        </w:rPr>
      </w:pPr>
      <w:bookmarkStart w:id="52" w:name="_Toc74632127"/>
      <w:r w:rsidRPr="00915166">
        <w:rPr>
          <w:rFonts w:ascii="Times New Roman" w:hAnsi="Times New Roman"/>
          <w:b/>
          <w:sz w:val="22"/>
          <w:szCs w:val="22"/>
        </w:rPr>
        <w:lastRenderedPageBreak/>
        <w:t xml:space="preserve">7.1 </w:t>
      </w:r>
      <w:r w:rsidRPr="00915166">
        <w:rPr>
          <w:rFonts w:ascii="Times New Roman" w:hAnsi="Times New Roman"/>
          <w:b/>
          <w:sz w:val="22"/>
          <w:szCs w:val="22"/>
        </w:rPr>
        <w:tab/>
        <w:t xml:space="preserve">Rights </w:t>
      </w:r>
      <w:proofErr w:type="gramStart"/>
      <w:r w:rsidRPr="00915166">
        <w:rPr>
          <w:rFonts w:ascii="Times New Roman" w:hAnsi="Times New Roman"/>
          <w:b/>
          <w:sz w:val="22"/>
          <w:szCs w:val="22"/>
        </w:rPr>
        <w:t>Under</w:t>
      </w:r>
      <w:proofErr w:type="gramEnd"/>
      <w:r w:rsidRPr="00915166">
        <w:rPr>
          <w:rFonts w:ascii="Times New Roman" w:hAnsi="Times New Roman"/>
          <w:b/>
          <w:sz w:val="22"/>
          <w:szCs w:val="22"/>
        </w:rPr>
        <w:t xml:space="preserve"> The Federal Power Act</w:t>
      </w:r>
      <w:bookmarkEnd w:id="52"/>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Nothing contained in this Schedule 21-NHT or any Service Agreement shall be construed as affecting in any way the right of NHT unilaterally to file with the Commission under Section 205 of the Federal Power Act and pursuant to the Commission’s rules and regulations promulgated </w:t>
      </w:r>
      <w:proofErr w:type="spellStart"/>
      <w:r w:rsidRPr="001448F1">
        <w:rPr>
          <w:rFonts w:ascii="Times New Roman" w:hAnsi="Times New Roman"/>
          <w:sz w:val="22"/>
          <w:szCs w:val="22"/>
        </w:rPr>
        <w:t>thereunder</w:t>
      </w:r>
      <w:proofErr w:type="spellEnd"/>
      <w:r w:rsidRPr="001448F1">
        <w:rPr>
          <w:rFonts w:ascii="Times New Roman" w:hAnsi="Times New Roman"/>
          <w:sz w:val="22"/>
          <w:szCs w:val="22"/>
        </w:rPr>
        <w:t xml:space="preserve"> for a change in rates, terms and conditions, charges, classification of service, Service Agreement, rule or regulation.</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Nothing contained in this Schedule 21-NHT or any Service Agreement shall be construed as affecting in any way the ability of a Transmission Customer receiving service under this Schedule 21-NHT or for an Excepted Transaction to exercise its rights under the Federal Power Act and pursuant to the Commission’s rules and regulations promulgated </w:t>
      </w:r>
      <w:proofErr w:type="spellStart"/>
      <w:r w:rsidRPr="001448F1">
        <w:rPr>
          <w:rFonts w:ascii="Times New Roman" w:hAnsi="Times New Roman"/>
          <w:sz w:val="22"/>
          <w:szCs w:val="22"/>
        </w:rPr>
        <w:t>thereunder</w:t>
      </w:r>
      <w:proofErr w:type="spellEnd"/>
      <w:r w:rsidRPr="001448F1">
        <w:rPr>
          <w:rFonts w:ascii="Times New Roman" w:hAnsi="Times New Roman"/>
          <w:sz w:val="22"/>
          <w:szCs w:val="22"/>
        </w:rPr>
        <w:t xml:space="preserve">.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b/>
          <w:sz w:val="22"/>
          <w:szCs w:val="22"/>
        </w:rPr>
      </w:pPr>
      <w:bookmarkStart w:id="53" w:name="_Toc74632128"/>
      <w:r w:rsidRPr="00915166">
        <w:rPr>
          <w:rFonts w:ascii="Times New Roman" w:hAnsi="Times New Roman"/>
          <w:b/>
          <w:sz w:val="22"/>
          <w:szCs w:val="22"/>
        </w:rPr>
        <w:t xml:space="preserve">8. </w:t>
      </w:r>
      <w:r w:rsidRPr="00915166">
        <w:rPr>
          <w:rFonts w:ascii="Times New Roman" w:hAnsi="Times New Roman"/>
          <w:b/>
          <w:sz w:val="22"/>
          <w:szCs w:val="22"/>
        </w:rPr>
        <w:tab/>
        <w:t>Force Majeure and Indemnification</w:t>
      </w:r>
      <w:bookmarkEnd w:id="53"/>
    </w:p>
    <w:p w:rsidR="003A0A84" w:rsidRPr="00915166" w:rsidRDefault="003A0A84" w:rsidP="003A0A84">
      <w:pPr>
        <w:spacing w:line="360" w:lineRule="auto"/>
        <w:rPr>
          <w:rFonts w:ascii="Times New Roman" w:hAnsi="Times New Roman"/>
          <w:b/>
          <w:sz w:val="22"/>
          <w:szCs w:val="22"/>
        </w:rPr>
      </w:pPr>
    </w:p>
    <w:p w:rsidR="003A0A84" w:rsidRPr="001448F1" w:rsidRDefault="00AF27BD" w:rsidP="003A0A84">
      <w:pPr>
        <w:spacing w:line="360" w:lineRule="auto"/>
        <w:ind w:left="720"/>
        <w:rPr>
          <w:rFonts w:ascii="Times New Roman" w:hAnsi="Times New Roman"/>
          <w:sz w:val="22"/>
          <w:szCs w:val="22"/>
        </w:rPr>
      </w:pPr>
      <w:bookmarkStart w:id="54" w:name="_Toc74632129"/>
      <w:r w:rsidRPr="00915166">
        <w:rPr>
          <w:rFonts w:ascii="Times New Roman" w:hAnsi="Times New Roman"/>
          <w:b/>
          <w:sz w:val="22"/>
          <w:szCs w:val="22"/>
        </w:rPr>
        <w:t xml:space="preserve">8.1 </w:t>
      </w:r>
      <w:r w:rsidRPr="00915166">
        <w:rPr>
          <w:rFonts w:ascii="Times New Roman" w:hAnsi="Times New Roman"/>
          <w:b/>
          <w:sz w:val="22"/>
          <w:szCs w:val="22"/>
        </w:rPr>
        <w:tab/>
        <w:t>Force Majeure:</w:t>
      </w:r>
      <w:bookmarkEnd w:id="54"/>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An event of Force Majeure means any act of God, labor disturbance, act of  the public enemy, war, insurrection, riot, fire, storm or flood, explosion, breakage or accident to machinery or equipment, any Curtailment, any order, regulation or restriction imposed by governmental military or lawfully established civilian authorities, or any other cause beyond a Party’s control.  A Force Majeure event does not include an act of negligence or intentional wrongdoing.  Neither NHT nor the Transmission Customer will be considered in default as to any obligation under this Schedule 21-NHT if prevented from fulfilling the obligation due to an event of Force Majeure; provided that no event of Force Majeure shall excuse any payment obligation hereunder or under a Service Agreement.  However, a Party whose performance under this Schedule 21-NHT is hindered by an event of Force Majeure shall make all reasonable efforts to perform its obligations under this Schedule 21-NHT, and shall promptly notify NHT or the Transmission Customer, whichever is appropriate, of the commencement and end of each event of Force Majeure.</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bookmarkStart w:id="55" w:name="_Toc74632130"/>
      <w:r w:rsidRPr="00915166">
        <w:rPr>
          <w:rFonts w:ascii="Times New Roman" w:hAnsi="Times New Roman"/>
          <w:b/>
          <w:sz w:val="22"/>
          <w:szCs w:val="22"/>
        </w:rPr>
        <w:t>8.2</w:t>
      </w:r>
      <w:r w:rsidRPr="00915166">
        <w:rPr>
          <w:rFonts w:ascii="Times New Roman" w:hAnsi="Times New Roman"/>
          <w:b/>
          <w:sz w:val="22"/>
          <w:szCs w:val="22"/>
        </w:rPr>
        <w:tab/>
        <w:t>Indemnification:</w:t>
      </w:r>
      <w:bookmarkEnd w:id="55"/>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The Transmission Customer shall at all times indemnify, defend, and save the Transmission Owner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Owner’s performance of its obligations under this Schedule </w:t>
      </w:r>
      <w:r w:rsidRPr="001448F1">
        <w:rPr>
          <w:rFonts w:ascii="Times New Roman" w:hAnsi="Times New Roman"/>
          <w:sz w:val="22"/>
          <w:szCs w:val="22"/>
        </w:rPr>
        <w:lastRenderedPageBreak/>
        <w:t>21-NHT on behalf of the Transmission Customer, except in cases of gross negligence or intentional wrongdoing by the Transmission Owner.</w:t>
      </w:r>
    </w:p>
    <w:p w:rsidR="003A0A84" w:rsidRPr="001448F1" w:rsidRDefault="003A0A84" w:rsidP="003A0A84">
      <w:pPr>
        <w:spacing w:line="360" w:lineRule="auto"/>
        <w:rPr>
          <w:rFonts w:ascii="Times New Roman" w:hAnsi="Times New Roman"/>
          <w:sz w:val="22"/>
          <w:szCs w:val="22"/>
        </w:rPr>
      </w:pPr>
    </w:p>
    <w:p w:rsidR="003A0A84" w:rsidRPr="00661171" w:rsidRDefault="00AF27BD" w:rsidP="003A0A84">
      <w:pPr>
        <w:spacing w:line="360" w:lineRule="auto"/>
        <w:rPr>
          <w:rFonts w:ascii="Times New Roman" w:hAnsi="Times New Roman"/>
          <w:b/>
          <w:sz w:val="22"/>
          <w:szCs w:val="22"/>
        </w:rPr>
      </w:pPr>
      <w:bookmarkStart w:id="56" w:name="_Toc74632131"/>
      <w:r w:rsidRPr="00661171">
        <w:rPr>
          <w:rFonts w:ascii="Times New Roman" w:hAnsi="Times New Roman"/>
          <w:b/>
          <w:sz w:val="22"/>
          <w:szCs w:val="22"/>
        </w:rPr>
        <w:t xml:space="preserve">9. </w:t>
      </w:r>
      <w:r w:rsidRPr="00661171">
        <w:rPr>
          <w:rFonts w:ascii="Times New Roman" w:hAnsi="Times New Roman"/>
          <w:b/>
          <w:sz w:val="22"/>
          <w:szCs w:val="22"/>
        </w:rPr>
        <w:tab/>
        <w:t>Creditworthiness</w:t>
      </w:r>
      <w:bookmarkEnd w:id="56"/>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For the purpose of determining the ability of the Transmission Customer to meet its obligations related to service hereunder, NHT may require reasonable credit review procedures in accordance with Attachment L of this Schedule 21- NHT.  This review shall be made in accordance with standard commercial practices.  In addition, NHT may require the Transmission Customer to provide and maintain in effect during the term of the Service Agreement, an unconditional and irrevocable letter of credit as security to meet its responsibilities and obligations under this Schedule 21-NHT, or an alternative form of security proposed by the Transmission Customer and acceptable to NHT and consistent with commercial practices established by the Uniform Commercial Code that protects NHT against the risk of non-payment.</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b/>
          <w:sz w:val="22"/>
          <w:szCs w:val="22"/>
        </w:rPr>
      </w:pPr>
      <w:bookmarkStart w:id="57" w:name="_Toc74632132"/>
      <w:r w:rsidRPr="00661171">
        <w:rPr>
          <w:rFonts w:ascii="Times New Roman" w:hAnsi="Times New Roman"/>
          <w:b/>
          <w:sz w:val="22"/>
          <w:szCs w:val="22"/>
        </w:rPr>
        <w:t xml:space="preserve">10. </w:t>
      </w:r>
      <w:r w:rsidRPr="00661171">
        <w:rPr>
          <w:rFonts w:ascii="Times New Roman" w:hAnsi="Times New Roman"/>
          <w:b/>
          <w:sz w:val="22"/>
          <w:szCs w:val="22"/>
        </w:rPr>
        <w:tab/>
        <w:t>Dispute Resolution Procedures</w:t>
      </w:r>
      <w:bookmarkEnd w:id="57"/>
    </w:p>
    <w:p w:rsidR="003A0A84" w:rsidRPr="00661171" w:rsidRDefault="003A0A84" w:rsidP="003A0A84">
      <w:pPr>
        <w:spacing w:line="360" w:lineRule="auto"/>
        <w:rPr>
          <w:rFonts w:ascii="Times New Roman" w:hAnsi="Times New Roman"/>
          <w:b/>
          <w:sz w:val="22"/>
          <w:szCs w:val="22"/>
        </w:rPr>
      </w:pPr>
    </w:p>
    <w:p w:rsidR="003A0A84" w:rsidRPr="00661171" w:rsidRDefault="00AF27BD" w:rsidP="003A0A84">
      <w:pPr>
        <w:spacing w:line="360" w:lineRule="auto"/>
        <w:ind w:left="720"/>
        <w:rPr>
          <w:rFonts w:ascii="Times New Roman" w:hAnsi="Times New Roman"/>
          <w:b/>
          <w:sz w:val="22"/>
          <w:szCs w:val="22"/>
        </w:rPr>
      </w:pPr>
      <w:bookmarkStart w:id="58" w:name="_Toc74632133"/>
      <w:r w:rsidRPr="00661171">
        <w:rPr>
          <w:rFonts w:ascii="Times New Roman" w:hAnsi="Times New Roman"/>
          <w:b/>
          <w:sz w:val="22"/>
          <w:szCs w:val="22"/>
        </w:rPr>
        <w:t xml:space="preserve">10.1 </w:t>
      </w:r>
      <w:r w:rsidRPr="00661171">
        <w:rPr>
          <w:rFonts w:ascii="Times New Roman" w:hAnsi="Times New Roman"/>
          <w:b/>
          <w:sz w:val="22"/>
          <w:szCs w:val="22"/>
        </w:rPr>
        <w:tab/>
        <w:t>Internal Dispute Resolution Procedures:</w:t>
      </w:r>
      <w:bookmarkEnd w:id="58"/>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Any dispute between a Transmission Customer and NHT involving Transmission Service under this Schedule 21-NHT (excluding applications for rate changes or other changes to this Schedule 21-NHT, or to any Service Agreement entered into under this Schedule 21-NHT, which shall be presented directly to the Commission for resolution) shall be referred to a designated senior representative of NHT and a senior representative of the Transmission Customer for resolution on an informal basis as promptly as practicable.  In the event the designated representatives are unable to resolve the dispute within thirty (30) days or such other period as the Parties may agree upon by mutual agreement, such dispute may be submitted to mediation and/or arbitration and resolved in accordance with the arbitration procedures set forth in Section I.6 of the Tariff.</w:t>
      </w:r>
    </w:p>
    <w:p w:rsidR="003A0A84" w:rsidRPr="001448F1" w:rsidRDefault="003A0A84" w:rsidP="003A0A84">
      <w:pPr>
        <w:spacing w:line="360" w:lineRule="auto"/>
        <w:ind w:left="720"/>
        <w:rPr>
          <w:rFonts w:ascii="Times New Roman" w:hAnsi="Times New Roman"/>
          <w:sz w:val="22"/>
          <w:szCs w:val="22"/>
        </w:rPr>
      </w:pPr>
    </w:p>
    <w:p w:rsidR="003A0A84" w:rsidRPr="00661171" w:rsidRDefault="00AF27BD" w:rsidP="003A0A84">
      <w:pPr>
        <w:spacing w:line="360" w:lineRule="auto"/>
        <w:ind w:left="720"/>
        <w:rPr>
          <w:rFonts w:ascii="Times New Roman" w:hAnsi="Times New Roman"/>
          <w:b/>
          <w:sz w:val="22"/>
          <w:szCs w:val="22"/>
        </w:rPr>
      </w:pPr>
      <w:bookmarkStart w:id="59" w:name="_Toc74632134"/>
      <w:r>
        <w:rPr>
          <w:rFonts w:ascii="Times New Roman" w:hAnsi="Times New Roman"/>
          <w:b/>
          <w:sz w:val="22"/>
          <w:szCs w:val="22"/>
        </w:rPr>
        <w:t xml:space="preserve">10.2 </w:t>
      </w:r>
      <w:r>
        <w:rPr>
          <w:rFonts w:ascii="Times New Roman" w:hAnsi="Times New Roman"/>
          <w:b/>
          <w:sz w:val="22"/>
          <w:szCs w:val="22"/>
        </w:rPr>
        <w:tab/>
      </w:r>
      <w:r w:rsidRPr="00661171">
        <w:rPr>
          <w:rFonts w:ascii="Times New Roman" w:hAnsi="Times New Roman"/>
          <w:b/>
          <w:sz w:val="22"/>
          <w:szCs w:val="22"/>
        </w:rPr>
        <w:t xml:space="preserve">Rights </w:t>
      </w:r>
      <w:proofErr w:type="gramStart"/>
      <w:r w:rsidRPr="00661171">
        <w:rPr>
          <w:rFonts w:ascii="Times New Roman" w:hAnsi="Times New Roman"/>
          <w:b/>
          <w:sz w:val="22"/>
          <w:szCs w:val="22"/>
        </w:rPr>
        <w:t>Under</w:t>
      </w:r>
      <w:proofErr w:type="gramEnd"/>
      <w:r w:rsidRPr="00661171">
        <w:rPr>
          <w:rFonts w:ascii="Times New Roman" w:hAnsi="Times New Roman"/>
          <w:b/>
          <w:sz w:val="22"/>
          <w:szCs w:val="22"/>
        </w:rPr>
        <w:t xml:space="preserve"> The Federal Power Act:</w:t>
      </w:r>
      <w:bookmarkEnd w:id="59"/>
      <w:r w:rsidRPr="00661171">
        <w:rPr>
          <w:rFonts w:ascii="Times New Roman" w:hAnsi="Times New Roman"/>
          <w:b/>
          <w:sz w:val="22"/>
          <w:szCs w:val="22"/>
        </w:rPr>
        <w:t xml:space="preserve"> </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Nothing in this section shall restrict the rights of any party to file a complaint with the Commission, or seek any other available remedy, under relevant provisions of the Federal Power Act.</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b/>
          <w:sz w:val="22"/>
          <w:szCs w:val="22"/>
        </w:rPr>
      </w:pPr>
      <w:bookmarkStart w:id="60" w:name="_Toc74632139"/>
      <w:r w:rsidRPr="00661171">
        <w:rPr>
          <w:rFonts w:ascii="Times New Roman" w:hAnsi="Times New Roman"/>
          <w:b/>
          <w:sz w:val="22"/>
          <w:szCs w:val="22"/>
        </w:rPr>
        <w:t>II.</w:t>
      </w:r>
      <w:r>
        <w:rPr>
          <w:rFonts w:ascii="Times New Roman" w:hAnsi="Times New Roman"/>
          <w:sz w:val="22"/>
          <w:szCs w:val="22"/>
        </w:rPr>
        <w:tab/>
      </w:r>
      <w:r w:rsidRPr="00661171">
        <w:rPr>
          <w:rFonts w:ascii="Times New Roman" w:hAnsi="Times New Roman"/>
          <w:b/>
          <w:sz w:val="22"/>
          <w:szCs w:val="22"/>
        </w:rPr>
        <w:t>LOCAL POINT-TO POINT TRANSMISSION SERVICE</w:t>
      </w:r>
      <w:bookmarkEnd w:id="60"/>
    </w:p>
    <w:p w:rsidR="003A0A84" w:rsidRPr="00661171" w:rsidRDefault="003A0A84" w:rsidP="003A0A84">
      <w:pPr>
        <w:spacing w:line="360" w:lineRule="auto"/>
        <w:ind w:left="360"/>
        <w:rPr>
          <w:rFonts w:ascii="Times New Roman" w:hAnsi="Times New Roman"/>
          <w:b/>
          <w:sz w:val="22"/>
          <w:szCs w:val="22"/>
        </w:rPr>
      </w:pPr>
    </w:p>
    <w:p w:rsidR="003A0A84" w:rsidRPr="00661171" w:rsidRDefault="00AF27BD" w:rsidP="003A0A84">
      <w:pPr>
        <w:spacing w:line="360" w:lineRule="auto"/>
        <w:rPr>
          <w:rFonts w:ascii="Times New Roman" w:hAnsi="Times New Roman"/>
          <w:b/>
          <w:sz w:val="22"/>
          <w:szCs w:val="22"/>
        </w:rPr>
      </w:pPr>
      <w:bookmarkStart w:id="61" w:name="_Toc74632140"/>
      <w:r w:rsidRPr="00661171">
        <w:rPr>
          <w:rFonts w:ascii="Times New Roman" w:hAnsi="Times New Roman"/>
          <w:b/>
          <w:sz w:val="22"/>
          <w:szCs w:val="22"/>
        </w:rPr>
        <w:t>Preamble</w:t>
      </w:r>
      <w:bookmarkEnd w:id="61"/>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lastRenderedPageBreak/>
        <w:t xml:space="preserve">NHT will provide Firm and Non-Firm Local Point-To-Point Transmission Service over its Local Network pursuant to the applicable terms and conditions of this Schedule 21-NHT. Local Point-To-Point Transmission Service is for the receipt of capacity and energy at designated Point(s) of Receipt and the transmission of such capacity and energy to designated Point(s) of Delivery.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NHT will provide Interconnection Service to owners and developers of generating units directly interconnected to the Local Network Transmission System in accordance with the provisions of Schedule 22 of the ISO Tariff for generators with generating capacity of more than 20MW, and Schedule 23 of the ISO Tariff for generators with generating capacity of 20MW or less.  Transmission services provided over PTF and Interconnection Service to interconnect directly with PTF are governed by the OATT.  </w:t>
      </w:r>
    </w:p>
    <w:p w:rsidR="003A0A84" w:rsidRPr="001448F1" w:rsidRDefault="003A0A84" w:rsidP="003A0A84">
      <w:pPr>
        <w:spacing w:line="360" w:lineRule="auto"/>
        <w:rPr>
          <w:rFonts w:ascii="Times New Roman" w:hAnsi="Times New Roman"/>
          <w:sz w:val="22"/>
          <w:szCs w:val="22"/>
        </w:rPr>
      </w:pPr>
    </w:p>
    <w:p w:rsidR="003A0A84" w:rsidRPr="00661171" w:rsidRDefault="00AF27BD" w:rsidP="003A0A84">
      <w:pPr>
        <w:spacing w:line="360" w:lineRule="auto"/>
        <w:rPr>
          <w:rFonts w:ascii="Times New Roman" w:hAnsi="Times New Roman"/>
          <w:b/>
          <w:sz w:val="22"/>
          <w:szCs w:val="22"/>
        </w:rPr>
      </w:pPr>
      <w:bookmarkStart w:id="62" w:name="_Toc74632147"/>
      <w:r w:rsidRPr="00661171">
        <w:rPr>
          <w:rFonts w:ascii="Times New Roman" w:hAnsi="Times New Roman"/>
          <w:b/>
          <w:sz w:val="22"/>
          <w:szCs w:val="22"/>
        </w:rPr>
        <w:t>11.</w:t>
      </w:r>
      <w:r w:rsidRPr="00661171">
        <w:rPr>
          <w:rFonts w:ascii="Times New Roman" w:hAnsi="Times New Roman"/>
          <w:b/>
          <w:sz w:val="22"/>
          <w:szCs w:val="22"/>
        </w:rPr>
        <w:tab/>
        <w:t>Unauthorized use of the Transmission System</w:t>
      </w:r>
      <w:bookmarkEnd w:id="62"/>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Any use of the Local Network Transmission System that exceeds a) the Transmission Customer’s firm Reserved Capacity at any Point of Receipt or Point of Delivery or b) the Transmission Customer’s non-firm capacity reservation, will be deemed an unauthorized use of the Local Network Transmission System.  In the event that a Transmission Customer exceeds its firm reserved capacity or non-firm capacity reservation at any Point of Receipt or Point of Delivery, it shall pay an amount equal to 200% of the otherwise applicable charge firm point to point transmission service for each Kilowatt of the excess, exclusive of any discounts offered to any other Eligible Customer. Such charge shall apply for the length of the reservation period, not to exceed one month.  In all cases of unauthorized use of the Local Network Transmission System, the service will be considered non-firm and NHT will be under no obligation to provide any services for such use.</w:t>
      </w:r>
    </w:p>
    <w:p w:rsidR="003A0A84" w:rsidRPr="001448F1" w:rsidRDefault="003A0A84" w:rsidP="003A0A84">
      <w:pPr>
        <w:spacing w:line="360" w:lineRule="auto"/>
        <w:rPr>
          <w:rFonts w:ascii="Times New Roman" w:hAnsi="Times New Roman"/>
          <w:sz w:val="22"/>
          <w:szCs w:val="22"/>
        </w:rPr>
      </w:pPr>
    </w:p>
    <w:p w:rsidR="003A0A84" w:rsidRPr="00661171" w:rsidRDefault="00AF27BD" w:rsidP="003A0A84">
      <w:pPr>
        <w:spacing w:line="360" w:lineRule="auto"/>
        <w:rPr>
          <w:rFonts w:ascii="Times New Roman" w:hAnsi="Times New Roman"/>
          <w:b/>
          <w:sz w:val="22"/>
          <w:szCs w:val="22"/>
        </w:rPr>
      </w:pPr>
      <w:bookmarkStart w:id="63" w:name="_Toc74632156"/>
      <w:r w:rsidRPr="00661171">
        <w:rPr>
          <w:rFonts w:ascii="Times New Roman" w:hAnsi="Times New Roman"/>
          <w:b/>
          <w:sz w:val="22"/>
          <w:szCs w:val="22"/>
        </w:rPr>
        <w:t xml:space="preserve">12. </w:t>
      </w:r>
      <w:r w:rsidRPr="00661171">
        <w:rPr>
          <w:rFonts w:ascii="Times New Roman" w:hAnsi="Times New Roman"/>
          <w:b/>
          <w:sz w:val="22"/>
          <w:szCs w:val="22"/>
        </w:rPr>
        <w:tab/>
        <w:t>Service Availability</w:t>
      </w:r>
      <w:bookmarkEnd w:id="63"/>
    </w:p>
    <w:p w:rsidR="003A0A84" w:rsidRDefault="003A0A84" w:rsidP="003A0A84">
      <w:pPr>
        <w:spacing w:line="360" w:lineRule="auto"/>
        <w:rPr>
          <w:rFonts w:ascii="Times New Roman" w:hAnsi="Times New Roman"/>
          <w:sz w:val="22"/>
          <w:szCs w:val="22"/>
        </w:rPr>
      </w:pPr>
      <w:bookmarkStart w:id="64" w:name="_Toc74632158"/>
    </w:p>
    <w:p w:rsidR="003A0A84" w:rsidRPr="00661171" w:rsidRDefault="00AF27BD" w:rsidP="003A0A84">
      <w:pPr>
        <w:spacing w:line="360" w:lineRule="auto"/>
        <w:ind w:left="720"/>
        <w:rPr>
          <w:rFonts w:ascii="Times New Roman" w:hAnsi="Times New Roman"/>
          <w:b/>
          <w:sz w:val="22"/>
          <w:szCs w:val="22"/>
        </w:rPr>
      </w:pPr>
      <w:r w:rsidRPr="00661171">
        <w:rPr>
          <w:rFonts w:ascii="Times New Roman" w:hAnsi="Times New Roman"/>
          <w:b/>
          <w:sz w:val="22"/>
          <w:szCs w:val="22"/>
        </w:rPr>
        <w:t xml:space="preserve">12.1 </w:t>
      </w:r>
      <w:r w:rsidRPr="00661171">
        <w:rPr>
          <w:rFonts w:ascii="Times New Roman" w:hAnsi="Times New Roman"/>
          <w:b/>
          <w:sz w:val="22"/>
          <w:szCs w:val="22"/>
        </w:rPr>
        <w:tab/>
        <w:t>Determination of Available Transmission Capability:</w:t>
      </w:r>
      <w:bookmarkEnd w:id="64"/>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Determinations regarding availability and capabilities of the PTF are made by the Control Area Operator.  NHT’s specific methodology for assessing ATC over its non-PTF is posted on the OASIS and is contained in Attachment C of this Schedule 21-NHT.  In the event sufficient Local Network transmission capability may not exist to accommodate a service request, NHT will, at the request of an Eligible Customer, respond by performing a System Impact Study as described in the following sections.</w:t>
      </w:r>
    </w:p>
    <w:p w:rsidR="003A0A84" w:rsidRPr="001448F1" w:rsidRDefault="003A0A84" w:rsidP="003A0A84">
      <w:pPr>
        <w:spacing w:line="360" w:lineRule="auto"/>
        <w:ind w:left="720"/>
        <w:rPr>
          <w:rFonts w:ascii="Times New Roman" w:hAnsi="Times New Roman"/>
          <w:sz w:val="22"/>
          <w:szCs w:val="22"/>
        </w:rPr>
      </w:pPr>
    </w:p>
    <w:p w:rsidR="003A0A84" w:rsidRPr="00661171" w:rsidRDefault="00AF27BD" w:rsidP="003A0A84">
      <w:pPr>
        <w:spacing w:line="360" w:lineRule="auto"/>
        <w:ind w:left="720"/>
        <w:rPr>
          <w:rFonts w:ascii="Times New Roman" w:hAnsi="Times New Roman"/>
          <w:b/>
          <w:sz w:val="22"/>
          <w:szCs w:val="22"/>
        </w:rPr>
      </w:pPr>
      <w:bookmarkStart w:id="65" w:name="_Toc74632159"/>
      <w:r w:rsidRPr="00661171">
        <w:rPr>
          <w:rFonts w:ascii="Times New Roman" w:hAnsi="Times New Roman"/>
          <w:b/>
          <w:sz w:val="22"/>
          <w:szCs w:val="22"/>
        </w:rPr>
        <w:t xml:space="preserve">12.2 </w:t>
      </w:r>
      <w:r w:rsidRPr="00661171">
        <w:rPr>
          <w:rFonts w:ascii="Times New Roman" w:hAnsi="Times New Roman"/>
          <w:b/>
          <w:sz w:val="22"/>
          <w:szCs w:val="22"/>
        </w:rPr>
        <w:tab/>
        <w:t>Initiating Service in the Absence of an Executed Service Agreement:</w:t>
      </w:r>
      <w:bookmarkEnd w:id="65"/>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lastRenderedPageBreak/>
        <w:t xml:space="preserve">If NHT and the Transmission Customer requesting Firm or Non-Firm Local Point-To-Point Transmission Service cannot agree on all the terms and conditions of the Local Point-To-Point Service Agreement, the ISO, acting as agent for NHT, shall file with the Commission, within thirty (30) days after the date the Transmission Customer provides written notification to NHT and the ISO directing the ISO acting as agent for NHT to file, an unexecuted Local Point-To-Point Service Agreement containing terms and conditions deemed appropriate by NHT for such requested Transmission Service.  </w:t>
      </w:r>
      <w:proofErr w:type="gramStart"/>
      <w:r w:rsidRPr="001448F1">
        <w:rPr>
          <w:rFonts w:ascii="Times New Roman" w:hAnsi="Times New Roman"/>
          <w:sz w:val="22"/>
          <w:szCs w:val="22"/>
        </w:rPr>
        <w:t>If the Transmission Customer refuses, or otherwise does not make such a request, the ISO acting as agent for NHT, may make such a filing prior to the commencement of service.</w:t>
      </w:r>
      <w:proofErr w:type="gramEnd"/>
      <w:r w:rsidRPr="001448F1">
        <w:rPr>
          <w:rFonts w:ascii="Times New Roman" w:hAnsi="Times New Roman"/>
          <w:sz w:val="22"/>
          <w:szCs w:val="22"/>
        </w:rPr>
        <w:t xml:space="preserve">  NHT shall commence providing Transmission Service and the Transmission Customer shall be obligated to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compensate NHT at whatever rate the Commission ultimately determines to be just and reasonable, and (ii) comply with the terms and conditions of this Schedule 21-NHT including posting appropriate security deposits in accordance with the terms of Section I.5.c of the Common Provisions of Schedule 21 to the OATT.</w:t>
      </w:r>
    </w:p>
    <w:p w:rsidR="003A0A84" w:rsidRPr="001448F1" w:rsidRDefault="003A0A84" w:rsidP="003A0A84">
      <w:pPr>
        <w:spacing w:line="360" w:lineRule="auto"/>
        <w:ind w:left="720"/>
        <w:rPr>
          <w:rFonts w:ascii="Times New Roman" w:hAnsi="Times New Roman"/>
          <w:sz w:val="22"/>
          <w:szCs w:val="22"/>
        </w:rPr>
      </w:pPr>
    </w:p>
    <w:p w:rsidR="003A0A84" w:rsidRPr="00661171" w:rsidRDefault="00AF27BD" w:rsidP="003A0A84">
      <w:pPr>
        <w:spacing w:line="360" w:lineRule="auto"/>
        <w:ind w:left="720"/>
        <w:rPr>
          <w:rFonts w:ascii="Times New Roman" w:hAnsi="Times New Roman"/>
          <w:b/>
          <w:sz w:val="22"/>
          <w:szCs w:val="22"/>
        </w:rPr>
      </w:pPr>
      <w:bookmarkStart w:id="66" w:name="_Toc74632163"/>
      <w:r w:rsidRPr="00661171">
        <w:rPr>
          <w:rFonts w:ascii="Times New Roman" w:hAnsi="Times New Roman"/>
          <w:b/>
          <w:sz w:val="22"/>
          <w:szCs w:val="22"/>
        </w:rPr>
        <w:t xml:space="preserve">12.3 </w:t>
      </w:r>
      <w:r w:rsidRPr="00661171">
        <w:rPr>
          <w:rFonts w:ascii="Times New Roman" w:hAnsi="Times New Roman"/>
          <w:b/>
          <w:sz w:val="22"/>
          <w:szCs w:val="22"/>
        </w:rPr>
        <w:tab/>
        <w:t>Real Power Losses:</w:t>
      </w:r>
      <w:bookmarkEnd w:id="66"/>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Real Power Losses are associated with all transmission service.  NHT is not a Control Area Operator and is not obligated to provide Real Power Losses.  The Transmission Customer is responsible for replacing losses associated with all transmission service as calculated by NHT or the Control Area Operator.  </w:t>
      </w:r>
    </w:p>
    <w:p w:rsidR="003A0A84" w:rsidRPr="001448F1" w:rsidRDefault="003A0A84" w:rsidP="003A0A84">
      <w:pPr>
        <w:spacing w:line="360" w:lineRule="auto"/>
        <w:ind w:left="720"/>
        <w:rPr>
          <w:rFonts w:ascii="Times New Roman" w:hAnsi="Times New Roman"/>
          <w:sz w:val="22"/>
          <w:szCs w:val="22"/>
        </w:rPr>
      </w:pPr>
    </w:p>
    <w:p w:rsidR="003A0A84" w:rsidRPr="00661171" w:rsidRDefault="00AF27BD" w:rsidP="003A0A84">
      <w:pPr>
        <w:spacing w:line="360" w:lineRule="auto"/>
        <w:ind w:left="720"/>
        <w:rPr>
          <w:rFonts w:ascii="Times New Roman" w:hAnsi="Times New Roman"/>
          <w:b/>
          <w:sz w:val="22"/>
          <w:szCs w:val="22"/>
        </w:rPr>
      </w:pPr>
      <w:bookmarkStart w:id="67" w:name="_Toc74632164"/>
      <w:r w:rsidRPr="00661171">
        <w:rPr>
          <w:rFonts w:ascii="Times New Roman" w:hAnsi="Times New Roman"/>
          <w:b/>
          <w:sz w:val="22"/>
          <w:szCs w:val="22"/>
        </w:rPr>
        <w:t>12.4</w:t>
      </w:r>
      <w:r w:rsidRPr="00661171">
        <w:rPr>
          <w:rFonts w:ascii="Times New Roman" w:hAnsi="Times New Roman"/>
          <w:b/>
          <w:sz w:val="22"/>
          <w:szCs w:val="22"/>
        </w:rPr>
        <w:tab/>
        <w:t>Load Shedding:</w:t>
      </w:r>
      <w:bookmarkEnd w:id="67"/>
      <w:r w:rsidRPr="00661171">
        <w:rPr>
          <w:rFonts w:ascii="Times New Roman" w:hAnsi="Times New Roman"/>
          <w:b/>
          <w:sz w:val="22"/>
          <w:szCs w:val="22"/>
        </w:rPr>
        <w:t xml:space="preserve"> </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To the extent that system contingency exists on the Local Network Transmission System, and NHT determines shedding of load is necessary, the Parties shall shed load in accordance with procedures under the Service Agreement, the Tariff, and the rules adopted </w:t>
      </w:r>
      <w:proofErr w:type="spellStart"/>
      <w:r w:rsidRPr="001448F1">
        <w:rPr>
          <w:rFonts w:ascii="Times New Roman" w:hAnsi="Times New Roman"/>
          <w:sz w:val="22"/>
          <w:szCs w:val="22"/>
        </w:rPr>
        <w:t>thereunder</w:t>
      </w:r>
      <w:proofErr w:type="spellEnd"/>
      <w:r w:rsidRPr="001448F1">
        <w:rPr>
          <w:rFonts w:ascii="Times New Roman" w:hAnsi="Times New Roman"/>
          <w:sz w:val="22"/>
          <w:szCs w:val="22"/>
        </w:rPr>
        <w:t>, or in accordance with other mutually agreed to provisions.</w:t>
      </w:r>
    </w:p>
    <w:p w:rsidR="003A0A84" w:rsidRPr="001448F1" w:rsidRDefault="003A0A84" w:rsidP="003A0A84">
      <w:pPr>
        <w:spacing w:line="360" w:lineRule="auto"/>
        <w:rPr>
          <w:rFonts w:ascii="Times New Roman" w:hAnsi="Times New Roman"/>
          <w:sz w:val="22"/>
          <w:szCs w:val="22"/>
        </w:rPr>
      </w:pPr>
    </w:p>
    <w:p w:rsidR="003A0A84" w:rsidRPr="00661171" w:rsidRDefault="00AF27BD" w:rsidP="003A0A84">
      <w:pPr>
        <w:spacing w:line="360" w:lineRule="auto"/>
        <w:rPr>
          <w:rFonts w:ascii="Times New Roman" w:hAnsi="Times New Roman"/>
          <w:b/>
          <w:sz w:val="22"/>
          <w:szCs w:val="22"/>
        </w:rPr>
      </w:pPr>
      <w:bookmarkStart w:id="68" w:name="_Toc74632165"/>
      <w:r w:rsidRPr="00661171">
        <w:rPr>
          <w:rFonts w:ascii="Times New Roman" w:hAnsi="Times New Roman"/>
          <w:b/>
          <w:sz w:val="22"/>
          <w:szCs w:val="22"/>
        </w:rPr>
        <w:t xml:space="preserve">13. </w:t>
      </w:r>
      <w:r w:rsidRPr="00661171">
        <w:rPr>
          <w:rFonts w:ascii="Times New Roman" w:hAnsi="Times New Roman"/>
          <w:b/>
          <w:sz w:val="22"/>
          <w:szCs w:val="22"/>
        </w:rPr>
        <w:tab/>
        <w:t>Transmission Customer Responsibilities</w:t>
      </w:r>
      <w:bookmarkEnd w:id="68"/>
    </w:p>
    <w:p w:rsidR="003A0A84" w:rsidRDefault="003A0A84" w:rsidP="003A0A84">
      <w:pPr>
        <w:spacing w:line="360" w:lineRule="auto"/>
        <w:rPr>
          <w:rFonts w:ascii="Times New Roman" w:hAnsi="Times New Roman"/>
          <w:sz w:val="22"/>
          <w:szCs w:val="22"/>
        </w:rPr>
      </w:pPr>
      <w:bookmarkStart w:id="69" w:name="_Toc74632166"/>
    </w:p>
    <w:p w:rsidR="003A0A84" w:rsidRPr="00661171" w:rsidRDefault="00AF27BD" w:rsidP="003A0A84">
      <w:pPr>
        <w:spacing w:line="360" w:lineRule="auto"/>
        <w:ind w:left="720"/>
        <w:rPr>
          <w:rFonts w:ascii="Times New Roman" w:hAnsi="Times New Roman"/>
          <w:b/>
          <w:sz w:val="22"/>
          <w:szCs w:val="22"/>
        </w:rPr>
      </w:pPr>
      <w:r w:rsidRPr="00661171">
        <w:rPr>
          <w:rFonts w:ascii="Times New Roman" w:hAnsi="Times New Roman"/>
          <w:b/>
          <w:sz w:val="22"/>
          <w:szCs w:val="22"/>
        </w:rPr>
        <w:t xml:space="preserve">13.1 </w:t>
      </w:r>
      <w:r w:rsidRPr="00661171">
        <w:rPr>
          <w:rFonts w:ascii="Times New Roman" w:hAnsi="Times New Roman"/>
          <w:b/>
          <w:sz w:val="22"/>
          <w:szCs w:val="22"/>
        </w:rPr>
        <w:tab/>
        <w:t>Conditions Required of Transmission Customers:</w:t>
      </w:r>
      <w:bookmarkEnd w:id="69"/>
      <w:r w:rsidRPr="00661171">
        <w:rPr>
          <w:rFonts w:ascii="Times New Roman" w:hAnsi="Times New Roman"/>
          <w:b/>
          <w:sz w:val="22"/>
          <w:szCs w:val="22"/>
        </w:rPr>
        <w:t xml:space="preserve"> </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Local Point-To-Point Transmission Service and Interconnection Service shall be provided by NHT only if the following conditions are satisfied by the Transmission Customer: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1448F1">
        <w:rPr>
          <w:rFonts w:ascii="Times New Roman" w:hAnsi="Times New Roman"/>
          <w:sz w:val="22"/>
          <w:szCs w:val="22"/>
        </w:rPr>
        <w:t xml:space="preserve">The Transmission Customer has pending a Completed Local Application for service with the ISO or in the case of Interconnection Service, has a Completed Application for service with </w:t>
      </w:r>
      <w:r w:rsidRPr="001448F1">
        <w:rPr>
          <w:rFonts w:ascii="Times New Roman" w:hAnsi="Times New Roman"/>
          <w:sz w:val="22"/>
          <w:szCs w:val="22"/>
        </w:rPr>
        <w:lastRenderedPageBreak/>
        <w:t xml:space="preserve">the Control Area Operator and satisfied all other requirements of the Tariff or of this Schedule 21-NHT, as applicable;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108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 </w:t>
      </w:r>
      <w:r w:rsidRPr="001448F1">
        <w:rPr>
          <w:rFonts w:ascii="Times New Roman" w:hAnsi="Times New Roman"/>
          <w:sz w:val="22"/>
          <w:szCs w:val="22"/>
        </w:rPr>
        <w:t>The Transmission Customer meets the creditworthiness criteria set forth in Section 9;</w:t>
      </w:r>
    </w:p>
    <w:p w:rsidR="003A0A84" w:rsidRPr="001448F1" w:rsidRDefault="003A0A84" w:rsidP="003A0A84">
      <w:pPr>
        <w:spacing w:line="360" w:lineRule="auto"/>
        <w:ind w:left="1080" w:hanging="36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1448F1">
        <w:rPr>
          <w:rFonts w:ascii="Times New Roman" w:hAnsi="Times New Roman"/>
          <w:sz w:val="22"/>
          <w:szCs w:val="22"/>
        </w:rPr>
        <w:t xml:space="preserve">The Transmission Customer will have arrangements in place for any other transmission service necessary to effect the delivery from the generating source to NHT’s Local Network Transmission System prior to the time service under Part II of this Tariff commences;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1448F1">
        <w:rPr>
          <w:rFonts w:ascii="Times New Roman" w:hAnsi="Times New Roman"/>
          <w:sz w:val="22"/>
          <w:szCs w:val="22"/>
        </w:rPr>
        <w:t>The Transmission Customer agrees to pay for any facilities constructed and chargeable to such Transmission Customer under Part II of this Tariff, whether or not the Transmission Customer takes service for the full term of its reservation; and</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1448F1">
        <w:rPr>
          <w:rFonts w:ascii="Times New Roman" w:hAnsi="Times New Roman"/>
          <w:sz w:val="22"/>
          <w:szCs w:val="22"/>
        </w:rPr>
        <w:t>The Transmission Customer has executed a Local Point-To-Point Service Agreement or has agreed to receive service pursuant to Section 12.2 of this Schedule 21-NHT.</w:t>
      </w:r>
    </w:p>
    <w:p w:rsidR="003A0A84" w:rsidRPr="001448F1" w:rsidRDefault="003A0A84" w:rsidP="003A0A84">
      <w:pPr>
        <w:spacing w:line="360" w:lineRule="auto"/>
        <w:rPr>
          <w:rFonts w:ascii="Times New Roman" w:hAnsi="Times New Roman"/>
          <w:sz w:val="22"/>
          <w:szCs w:val="22"/>
        </w:rPr>
      </w:pPr>
    </w:p>
    <w:p w:rsidR="003A0A84" w:rsidRPr="00193A5E" w:rsidRDefault="00AF27BD" w:rsidP="003A0A84">
      <w:pPr>
        <w:spacing w:line="360" w:lineRule="auto"/>
        <w:rPr>
          <w:rFonts w:ascii="Times New Roman" w:hAnsi="Times New Roman"/>
          <w:b/>
          <w:sz w:val="22"/>
          <w:szCs w:val="22"/>
        </w:rPr>
      </w:pPr>
      <w:bookmarkStart w:id="70" w:name="_Toc74632204"/>
      <w:r w:rsidRPr="00193A5E">
        <w:rPr>
          <w:rFonts w:ascii="Times New Roman" w:hAnsi="Times New Roman"/>
          <w:b/>
          <w:sz w:val="22"/>
          <w:szCs w:val="22"/>
        </w:rPr>
        <w:t xml:space="preserve">14. </w:t>
      </w:r>
      <w:r w:rsidRPr="00193A5E">
        <w:rPr>
          <w:rFonts w:ascii="Times New Roman" w:hAnsi="Times New Roman"/>
          <w:b/>
          <w:sz w:val="22"/>
          <w:szCs w:val="22"/>
        </w:rPr>
        <w:tab/>
        <w:t>Metering and Power Factor Correction at Receipt and Delivery Points(s)</w:t>
      </w:r>
      <w:bookmarkEnd w:id="70"/>
    </w:p>
    <w:p w:rsidR="003A0A84" w:rsidRDefault="003A0A84" w:rsidP="003A0A84">
      <w:pPr>
        <w:spacing w:line="360" w:lineRule="auto"/>
        <w:rPr>
          <w:rFonts w:ascii="Times New Roman" w:hAnsi="Times New Roman"/>
          <w:sz w:val="22"/>
          <w:szCs w:val="22"/>
        </w:rPr>
      </w:pPr>
      <w:bookmarkStart w:id="71" w:name="_Toc74632205"/>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14.1 </w:t>
      </w:r>
      <w:r w:rsidRPr="00193A5E">
        <w:rPr>
          <w:rFonts w:ascii="Times New Roman" w:hAnsi="Times New Roman"/>
          <w:b/>
          <w:sz w:val="22"/>
          <w:szCs w:val="22"/>
        </w:rPr>
        <w:tab/>
        <w:t>Transmission Customer Obligations:</w:t>
      </w:r>
      <w:bookmarkEnd w:id="71"/>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Unless otherwise agreed, the Transmission Customer shall be responsible for installing and maintaining compatible metering and communications equipment to accurately account for the capacity and energy being transmitted under Part II of this Schedule 21-NHT and to communicate the information to NHT.  Unless otherwise agreed, such equipment shall remain the property of NHT.</w:t>
      </w:r>
    </w:p>
    <w:p w:rsidR="003A0A84" w:rsidRDefault="003A0A84" w:rsidP="003A0A84">
      <w:pPr>
        <w:spacing w:line="360" w:lineRule="auto"/>
        <w:ind w:left="720"/>
        <w:rPr>
          <w:rFonts w:ascii="Times New Roman" w:hAnsi="Times New Roman"/>
          <w:sz w:val="22"/>
          <w:szCs w:val="22"/>
        </w:rPr>
      </w:pPr>
      <w:bookmarkStart w:id="72" w:name="_Toc74632207"/>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14.2 </w:t>
      </w:r>
      <w:r w:rsidRPr="00193A5E">
        <w:rPr>
          <w:rFonts w:ascii="Times New Roman" w:hAnsi="Times New Roman"/>
          <w:b/>
          <w:sz w:val="22"/>
          <w:szCs w:val="22"/>
        </w:rPr>
        <w:tab/>
        <w:t>Power Factor:</w:t>
      </w:r>
      <w:bookmarkEnd w:id="72"/>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Transmission Customer is required to maintain a power factor within a range as specified by NHT pursuant to Good Utility Practices.  The power factor requirements are specified in the Service Agreement where applicable.  Where a Transmission Customer fails to maintain a power factor within the specified range, NHT may make whatever improvements or repairs are required to restore or maintain the power factor, and charge the Transmission Customer accordingly.</w:t>
      </w:r>
    </w:p>
    <w:p w:rsidR="003A0A84" w:rsidRDefault="003A0A84" w:rsidP="003A0A84">
      <w:pPr>
        <w:spacing w:line="360" w:lineRule="auto"/>
        <w:rPr>
          <w:rFonts w:ascii="Times New Roman" w:hAnsi="Times New Roman"/>
          <w:sz w:val="22"/>
          <w:szCs w:val="22"/>
        </w:rPr>
      </w:pPr>
      <w:bookmarkStart w:id="73" w:name="_Toc74632208"/>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15. </w:t>
      </w:r>
      <w:r w:rsidRPr="00193A5E">
        <w:rPr>
          <w:rFonts w:ascii="Times New Roman" w:hAnsi="Times New Roman"/>
          <w:b/>
          <w:sz w:val="22"/>
          <w:szCs w:val="22"/>
        </w:rPr>
        <w:tab/>
        <w:t>Compensation for Local Point-To-Point Transmission Service</w:t>
      </w:r>
      <w:bookmarkEnd w:id="73"/>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Rates for Firm and Non-Firm Local Point-To-Point Transmission Service are provided in the Schedules </w:t>
      </w:r>
      <w:r w:rsidRPr="001448F1">
        <w:rPr>
          <w:rFonts w:ascii="Times New Roman" w:hAnsi="Times New Roman"/>
          <w:sz w:val="22"/>
          <w:szCs w:val="22"/>
        </w:rPr>
        <w:lastRenderedPageBreak/>
        <w:t>appended to this Schedule 21-NHT:  Firm Local Point-To-Point Transmission Service (Schedule 7); and Non-Firm Local Point-To-Point Transmission Service (Schedule 8).</w:t>
      </w:r>
    </w:p>
    <w:p w:rsidR="003A0A84" w:rsidRDefault="003A0A84" w:rsidP="003A0A84">
      <w:pPr>
        <w:spacing w:line="360" w:lineRule="auto"/>
        <w:rPr>
          <w:rFonts w:ascii="Times New Roman" w:hAnsi="Times New Roman"/>
          <w:sz w:val="22"/>
          <w:szCs w:val="22"/>
        </w:rPr>
      </w:pPr>
      <w:bookmarkStart w:id="74" w:name="_Toc432233486"/>
      <w:bookmarkStart w:id="75" w:name="_Toc74632211"/>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16. </w:t>
      </w:r>
      <w:r w:rsidRPr="00193A5E">
        <w:rPr>
          <w:rFonts w:ascii="Times New Roman" w:hAnsi="Times New Roman"/>
          <w:b/>
          <w:sz w:val="22"/>
          <w:szCs w:val="22"/>
        </w:rPr>
        <w:tab/>
        <w:t>Interconnection Service</w:t>
      </w:r>
      <w:bookmarkEnd w:id="74"/>
      <w:bookmarkEnd w:id="75"/>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Any entity proposing to interconnect with NHT’s transmission facilities, that is not party to an agreement executed on or before </w:t>
      </w:r>
      <w:smartTag w:uri="urn:schemas-microsoft-com:office:smarttags" w:element="date">
        <w:smartTagPr>
          <w:attr w:name="Day" w:val="9"/>
          <w:attr w:name="Month" w:val="7"/>
          <w:attr w:name="Year" w:val="1996"/>
          <w:attr w:name="ls" w:val="trans"/>
        </w:smartTagPr>
        <w:r w:rsidRPr="001448F1">
          <w:rPr>
            <w:rFonts w:ascii="Times New Roman" w:hAnsi="Times New Roman"/>
            <w:sz w:val="22"/>
            <w:szCs w:val="22"/>
          </w:rPr>
          <w:t>July 9, 1996</w:t>
        </w:r>
      </w:smartTag>
      <w:r w:rsidRPr="001448F1">
        <w:rPr>
          <w:rFonts w:ascii="Times New Roman" w:hAnsi="Times New Roman"/>
          <w:sz w:val="22"/>
          <w:szCs w:val="22"/>
        </w:rPr>
        <w:t>, in which Interconnection Service is addressed, that (1) proposes to site a new generating unit and directly interconnect to the Local Network Transmission System, or (2) proposes to materially change electrical characteristics or increase the capacity of an existing generating unit and remain connected to the Local Network Transmission System, shall submit an application for Interconnection Service to the Control Area Operator  and comply with all applicable requirements of the Tariff, including but not limited to Schedule 22 of the ISO Tariff for generators with generating capacity of more than 20MW, and Schedule 23 of the ISO Tariff for generators with generating capacity of 20MW or less.</w:t>
      </w:r>
    </w:p>
    <w:p w:rsidR="003A0A84" w:rsidRDefault="003A0A84" w:rsidP="003A0A84">
      <w:pPr>
        <w:spacing w:line="360" w:lineRule="auto"/>
        <w:rPr>
          <w:rFonts w:ascii="Times New Roman" w:hAnsi="Times New Roman"/>
          <w:sz w:val="22"/>
          <w:szCs w:val="22"/>
        </w:rPr>
      </w:pPr>
      <w:bookmarkStart w:id="76" w:name="_Toc74632212"/>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III.</w:t>
      </w:r>
      <w:r w:rsidRPr="00193A5E">
        <w:rPr>
          <w:rFonts w:ascii="Times New Roman" w:hAnsi="Times New Roman"/>
          <w:b/>
          <w:sz w:val="22"/>
          <w:szCs w:val="22"/>
        </w:rPr>
        <w:tab/>
        <w:t>LOCAL NETWORK SERVICE</w:t>
      </w:r>
      <w:bookmarkEnd w:id="76"/>
    </w:p>
    <w:p w:rsidR="003A0A84" w:rsidRDefault="003A0A84" w:rsidP="003A0A84">
      <w:pPr>
        <w:spacing w:line="360" w:lineRule="auto"/>
        <w:rPr>
          <w:rFonts w:ascii="Times New Roman" w:hAnsi="Times New Roman"/>
          <w:sz w:val="22"/>
          <w:szCs w:val="22"/>
        </w:rPr>
      </w:pPr>
      <w:bookmarkStart w:id="77" w:name="_Toc74632219"/>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17. </w:t>
      </w:r>
      <w:r w:rsidRPr="00193A5E">
        <w:rPr>
          <w:rFonts w:ascii="Times New Roman" w:hAnsi="Times New Roman"/>
          <w:b/>
          <w:sz w:val="22"/>
          <w:szCs w:val="22"/>
        </w:rPr>
        <w:tab/>
        <w:t>Real Power Losses</w:t>
      </w:r>
    </w:p>
    <w:bookmarkEnd w:id="77"/>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Real Power Losses are associated with all transmission service.  NHT is not a Control Area Operator and is not obligated to provide Real Power Losses.  The Local Network Customer is responsible for replacing losses associated with all transmission service as calculated by NHT or the Control Area Operator.    </w:t>
      </w:r>
    </w:p>
    <w:p w:rsidR="003A0A84" w:rsidRDefault="003A0A84" w:rsidP="003A0A84">
      <w:pPr>
        <w:spacing w:line="360" w:lineRule="auto"/>
        <w:rPr>
          <w:rFonts w:ascii="Times New Roman" w:hAnsi="Times New Roman"/>
          <w:sz w:val="22"/>
          <w:szCs w:val="22"/>
        </w:rPr>
      </w:pPr>
      <w:bookmarkStart w:id="78" w:name="_Toc74632221"/>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18. </w:t>
      </w:r>
      <w:r w:rsidRPr="00193A5E">
        <w:rPr>
          <w:rFonts w:ascii="Times New Roman" w:hAnsi="Times New Roman"/>
          <w:b/>
          <w:sz w:val="22"/>
          <w:szCs w:val="22"/>
        </w:rPr>
        <w:tab/>
        <w:t>Initiating Service</w:t>
      </w:r>
      <w:bookmarkEnd w:id="78"/>
    </w:p>
    <w:p w:rsidR="003A0A84" w:rsidRDefault="003A0A84" w:rsidP="003A0A84">
      <w:pPr>
        <w:spacing w:line="360" w:lineRule="auto"/>
        <w:rPr>
          <w:rFonts w:ascii="Times New Roman" w:hAnsi="Times New Roman"/>
          <w:sz w:val="22"/>
          <w:szCs w:val="22"/>
        </w:rPr>
      </w:pPr>
      <w:bookmarkStart w:id="79" w:name="_Toc74632222"/>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18.1 </w:t>
      </w:r>
      <w:r w:rsidRPr="00193A5E">
        <w:rPr>
          <w:rFonts w:ascii="Times New Roman" w:hAnsi="Times New Roman"/>
          <w:b/>
          <w:sz w:val="22"/>
          <w:szCs w:val="22"/>
        </w:rPr>
        <w:tab/>
        <w:t>Condition Precedent for Receiving Service:</w:t>
      </w:r>
      <w:bookmarkEnd w:id="79"/>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Subject to the terms and conditions of Part III of this Schedule 21-NHT, NHT will provide Local Network Transmission Service to any Eligible Customer, provided that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the Eligible Customer completes an Application for service as provided under the OATT, (ii) the Eligible Customer and NHT complete the technical arrangements for such service, (iii) the Eligible Customer executes a Service Agreement for service under Part III of this Schedule 21-NHT or requests in writing that the ISO, acting as agent for NHT, file a proposed unexecuted Service Agreement with the Commission, and (iv) the Eligible Customer executes a Local Network Operating Agreement with NHT.</w:t>
      </w:r>
    </w:p>
    <w:p w:rsidR="003A0A84" w:rsidRDefault="003A0A84" w:rsidP="003A0A84">
      <w:pPr>
        <w:spacing w:line="360" w:lineRule="auto"/>
        <w:ind w:left="720"/>
        <w:rPr>
          <w:rFonts w:ascii="Times New Roman" w:hAnsi="Times New Roman"/>
          <w:sz w:val="22"/>
          <w:szCs w:val="22"/>
        </w:rPr>
      </w:pPr>
      <w:bookmarkStart w:id="80" w:name="_Toc74632223"/>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18.2 </w:t>
      </w:r>
      <w:r w:rsidRPr="00193A5E">
        <w:rPr>
          <w:rFonts w:ascii="Times New Roman" w:hAnsi="Times New Roman"/>
          <w:b/>
          <w:sz w:val="22"/>
          <w:szCs w:val="22"/>
        </w:rPr>
        <w:tab/>
        <w:t>Application Procedures:</w:t>
      </w:r>
      <w:bookmarkEnd w:id="80"/>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lastRenderedPageBreak/>
        <w:t xml:space="preserve">An Eligible Customer requesting service under Part III of this Tariff must submit an Application, with a deposit approximating the charge for one month of service, to the ISO acting as agent for NHT as far as possible in advance of the month in which service is to commence in accordance with Section II. 3) </w:t>
      </w:r>
      <w:proofErr w:type="gramStart"/>
      <w:r w:rsidRPr="001448F1">
        <w:rPr>
          <w:rFonts w:ascii="Times New Roman" w:hAnsi="Times New Roman"/>
          <w:sz w:val="22"/>
          <w:szCs w:val="22"/>
        </w:rPr>
        <w:t>a</w:t>
      </w:r>
      <w:proofErr w:type="gramEnd"/>
      <w:r w:rsidRPr="001448F1">
        <w:rPr>
          <w:rFonts w:ascii="Times New Roman" w:hAnsi="Times New Roman"/>
          <w:sz w:val="22"/>
          <w:szCs w:val="22"/>
        </w:rPr>
        <w:t xml:space="preserve">) of the common service provisions of Schedule 21 of the OATT.  </w:t>
      </w:r>
    </w:p>
    <w:p w:rsidR="003A0A84" w:rsidRDefault="003A0A84" w:rsidP="003A0A84">
      <w:pPr>
        <w:spacing w:line="360" w:lineRule="auto"/>
        <w:ind w:left="720"/>
        <w:rPr>
          <w:rFonts w:ascii="Times New Roman" w:hAnsi="Times New Roman"/>
          <w:sz w:val="22"/>
          <w:szCs w:val="22"/>
        </w:rPr>
      </w:pPr>
      <w:bookmarkStart w:id="81" w:name="_Toc74632231"/>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18.3 </w:t>
      </w:r>
      <w:r w:rsidRPr="00193A5E">
        <w:rPr>
          <w:rFonts w:ascii="Times New Roman" w:hAnsi="Times New Roman"/>
          <w:b/>
          <w:sz w:val="22"/>
          <w:szCs w:val="22"/>
        </w:rPr>
        <w:tab/>
        <w:t>Operation of Network Resources:</w:t>
      </w:r>
      <w:bookmarkEnd w:id="81"/>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The Local Network Customer shall not operate its designated Network Resources, which are not subject to central dispatch by the Control Area Operator, such that the output of those facilities exceeds </w:t>
      </w:r>
      <w:proofErr w:type="gramStart"/>
      <w:r w:rsidRPr="001448F1">
        <w:rPr>
          <w:rFonts w:ascii="Times New Roman" w:hAnsi="Times New Roman"/>
          <w:sz w:val="22"/>
          <w:szCs w:val="22"/>
        </w:rPr>
        <w:t>its</w:t>
      </w:r>
      <w:proofErr w:type="gramEnd"/>
      <w:r w:rsidRPr="001448F1">
        <w:rPr>
          <w:rFonts w:ascii="Times New Roman" w:hAnsi="Times New Roman"/>
          <w:sz w:val="22"/>
          <w:szCs w:val="22"/>
        </w:rPr>
        <w:t xml:space="preserve"> designated Local Network Load, plus non-firm sales delivered pursuant to Part II of this Schedule 21-NHT, plus losses.  This limitation shall not apply to changes in the operation of a Transmission Customer’s Network Resources at the request of the ISO or NHT to respond to an emergency or other unforeseen condition which may impair or degrade the reliability of the Local Network Transmission System.</w:t>
      </w:r>
    </w:p>
    <w:p w:rsidR="003A0A84" w:rsidRDefault="003A0A84" w:rsidP="003A0A84">
      <w:pPr>
        <w:spacing w:line="360" w:lineRule="auto"/>
        <w:ind w:left="720"/>
        <w:rPr>
          <w:rFonts w:ascii="Times New Roman" w:hAnsi="Times New Roman"/>
          <w:sz w:val="22"/>
          <w:szCs w:val="22"/>
        </w:rPr>
      </w:pPr>
      <w:bookmarkStart w:id="82" w:name="_Toc74632233"/>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18.4 </w:t>
      </w:r>
      <w:r w:rsidRPr="00193A5E">
        <w:rPr>
          <w:rFonts w:ascii="Times New Roman" w:hAnsi="Times New Roman"/>
          <w:b/>
          <w:sz w:val="22"/>
          <w:szCs w:val="22"/>
        </w:rPr>
        <w:tab/>
        <w:t>Transmission Arrangements for Network Resources Not Physically Interconnected With NHT’s Local Network:</w:t>
      </w:r>
      <w:bookmarkEnd w:id="82"/>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 shall be responsible for any arrangements necessary to deliver capacity and energy from a Network Resource not physically interconnected with NHT’s Local Network Transmission System.  NHT will undertake reasonable efforts to assist the Local Network Customer in obtaining such arrangements, including without limitation, providing any information or data required by such other entity pursuant to Good Utility Practice.  The customer shall be obligated to reimburse NHT for all costs NHT incurs in assisting the customer in obtaining such arrangements.  Upon the customer’s request, NHT shall provide the transmission customer an estimate of such costs before they are incurred.  Upon the customer’s request, NHT shall provide reasonable itemization of such costs along with any invoice related to those costs.</w:t>
      </w:r>
    </w:p>
    <w:p w:rsidR="003A0A84" w:rsidRDefault="003A0A84" w:rsidP="003A0A84">
      <w:pPr>
        <w:spacing w:line="360" w:lineRule="auto"/>
        <w:ind w:left="720"/>
        <w:rPr>
          <w:rFonts w:ascii="Times New Roman" w:hAnsi="Times New Roman"/>
          <w:sz w:val="22"/>
          <w:szCs w:val="22"/>
        </w:rPr>
      </w:pPr>
      <w:bookmarkStart w:id="83" w:name="_Toc74632234"/>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18.5 </w:t>
      </w:r>
      <w:r w:rsidRPr="00193A5E">
        <w:rPr>
          <w:rFonts w:ascii="Times New Roman" w:hAnsi="Times New Roman"/>
          <w:b/>
          <w:sz w:val="22"/>
          <w:szCs w:val="22"/>
        </w:rPr>
        <w:tab/>
        <w:t>Limitation on Designation of Network Resources:</w:t>
      </w:r>
      <w:bookmarkEnd w:id="83"/>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 must demonstrate that it owns or has committed to purchase generation pursuant to an executed contract in order to designate a generating resource as a Network Resource.  Alternatively, the Local Network Customer may establish that execution of a contract is contingent upon the availability of transmission service under Part III of this Schedule 21-NHT.</w:t>
      </w:r>
    </w:p>
    <w:p w:rsidR="003A0A84" w:rsidRDefault="003A0A84" w:rsidP="003A0A84">
      <w:pPr>
        <w:spacing w:line="360" w:lineRule="auto"/>
        <w:ind w:left="720"/>
        <w:rPr>
          <w:rFonts w:ascii="Times New Roman" w:hAnsi="Times New Roman"/>
          <w:sz w:val="22"/>
          <w:szCs w:val="22"/>
        </w:rPr>
      </w:pPr>
      <w:bookmarkStart w:id="84" w:name="_Toc74632235"/>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18.6 </w:t>
      </w:r>
      <w:r w:rsidRPr="00193A5E">
        <w:rPr>
          <w:rFonts w:ascii="Times New Roman" w:hAnsi="Times New Roman"/>
          <w:b/>
          <w:sz w:val="22"/>
          <w:szCs w:val="22"/>
        </w:rPr>
        <w:tab/>
        <w:t>Use of Interface Capacity by the Local Network Customer:</w:t>
      </w:r>
      <w:bookmarkEnd w:id="84"/>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lastRenderedPageBreak/>
        <w:t>There is no limitation upon a Local Network Customer’s use of NHT’s Local Network Transmission System at any particular interface to integrate the Local Network Customer’s Network Resources (or substitute economy purchases) with its Local Network Loads.  However, a Local Network Customer’s use of the NHT’s total interface capacity with other transmission systems may not exceed the Local Network Customer’s Load.</w:t>
      </w:r>
    </w:p>
    <w:p w:rsidR="003A0A84" w:rsidRDefault="003A0A84" w:rsidP="003A0A84">
      <w:pPr>
        <w:spacing w:line="360" w:lineRule="auto"/>
        <w:ind w:left="720"/>
        <w:rPr>
          <w:rFonts w:ascii="Times New Roman" w:hAnsi="Times New Roman"/>
          <w:sz w:val="22"/>
          <w:szCs w:val="22"/>
        </w:rPr>
      </w:pPr>
      <w:bookmarkStart w:id="85" w:name="_Toc74632236"/>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18.7 </w:t>
      </w:r>
      <w:r w:rsidRPr="00193A5E">
        <w:rPr>
          <w:rFonts w:ascii="Times New Roman" w:hAnsi="Times New Roman"/>
          <w:b/>
          <w:sz w:val="22"/>
          <w:szCs w:val="22"/>
        </w:rPr>
        <w:tab/>
        <w:t>Local Network Customer Owned Transmission Facilities:</w:t>
      </w:r>
      <w:bookmarkEnd w:id="85"/>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 that owns existing transmission facilities that are integrated with NHT’s Local Network Transmission System may be eligible to receive consideration either through a billing credit or some other mechanism.  In order to receive such consideration the Local Network Customer must demonstrate that its transmission facilities are integrated into the plans or operations of NHT to serve its power and Transmission Customers.  For facilities constructed by the Local Network Customer subsequent to the Service Commencement Date under Part III of this Schedule 21-NHT, the Local Network Customer shall receive credit where such facilities are jointly planned and installed in coordination with NHT.  Calculation of the credit shall be addressed in either the Local Network Customer’s Service Agreement or any other agreement between the Parties.</w:t>
      </w:r>
    </w:p>
    <w:p w:rsidR="003A0A84" w:rsidRDefault="003A0A84" w:rsidP="003A0A84">
      <w:pPr>
        <w:spacing w:line="360" w:lineRule="auto"/>
        <w:rPr>
          <w:rFonts w:ascii="Times New Roman" w:hAnsi="Times New Roman"/>
          <w:sz w:val="22"/>
          <w:szCs w:val="22"/>
        </w:rPr>
      </w:pPr>
      <w:bookmarkStart w:id="86" w:name="_Toc74632237"/>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19. </w:t>
      </w:r>
      <w:r w:rsidRPr="00193A5E">
        <w:rPr>
          <w:rFonts w:ascii="Times New Roman" w:hAnsi="Times New Roman"/>
          <w:b/>
          <w:sz w:val="22"/>
          <w:szCs w:val="22"/>
        </w:rPr>
        <w:tab/>
        <w:t>Designation of Load</w:t>
      </w:r>
      <w:bookmarkEnd w:id="86"/>
    </w:p>
    <w:p w:rsidR="003A0A84" w:rsidRDefault="003A0A84" w:rsidP="003A0A84">
      <w:pPr>
        <w:spacing w:line="360" w:lineRule="auto"/>
        <w:rPr>
          <w:rFonts w:ascii="Times New Roman" w:hAnsi="Times New Roman"/>
          <w:sz w:val="22"/>
          <w:szCs w:val="22"/>
        </w:rPr>
      </w:pPr>
      <w:bookmarkStart w:id="87" w:name="_Toc74632240"/>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19.1 </w:t>
      </w:r>
      <w:r w:rsidRPr="00193A5E">
        <w:rPr>
          <w:rFonts w:ascii="Times New Roman" w:hAnsi="Times New Roman"/>
          <w:b/>
          <w:sz w:val="22"/>
          <w:szCs w:val="22"/>
        </w:rPr>
        <w:tab/>
        <w:t>Network Load Not Physically Interconnected with NHT’s Local Network:</w:t>
      </w:r>
      <w:bookmarkEnd w:id="87"/>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This Section applies to both initial designation and the subsequent addition of new Local Network Load not physically interconnected with NHT’s Local Network.  To the extent that the Local Network Customer desires to obtain Local Network transmission service for a load outside NHT’s Local Network Transmission System, the Local Network Customer shall have the option of (1) electing to include the entire load as Local Network Load for all purposes under Part III of this Schedule 21-NHT and designating Local Network Resources in connection with such additional Local Network Load, or (2) excluding that entire load from its Local Network Load and purchasing Local Point-To-Point Transmission Service under Part II of this Schedule 21-NHT.  To the extent that the Local Network Customer gives notice of its intent to add a new Local Network Load as part of its Local Network Load pursuant to this Section, the request must be made through a modification of service pursuant to a new Application.  NHT shall include such load as part of a Transmission Customer’s Local Network Load only if a scheduling and interconnection agreement acceptable to NHT is in effect with the Control Area in which the load </w:t>
      </w:r>
      <w:r w:rsidRPr="001448F1">
        <w:rPr>
          <w:rFonts w:ascii="Times New Roman" w:hAnsi="Times New Roman"/>
          <w:sz w:val="22"/>
          <w:szCs w:val="22"/>
        </w:rPr>
        <w:lastRenderedPageBreak/>
        <w:t>is located.</w:t>
      </w:r>
    </w:p>
    <w:p w:rsidR="003A0A84" w:rsidRDefault="003A0A84" w:rsidP="003A0A84">
      <w:pPr>
        <w:spacing w:line="360" w:lineRule="auto"/>
        <w:rPr>
          <w:rFonts w:ascii="Times New Roman" w:hAnsi="Times New Roman"/>
          <w:sz w:val="22"/>
          <w:szCs w:val="22"/>
        </w:rPr>
      </w:pPr>
      <w:bookmarkStart w:id="88" w:name="_Toc74632244"/>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20. </w:t>
      </w:r>
      <w:r w:rsidRPr="00193A5E">
        <w:rPr>
          <w:rFonts w:ascii="Times New Roman" w:hAnsi="Times New Roman"/>
          <w:b/>
          <w:sz w:val="22"/>
          <w:szCs w:val="22"/>
        </w:rPr>
        <w:tab/>
        <w:t xml:space="preserve">Additional Study Procedures </w:t>
      </w:r>
      <w:proofErr w:type="gramStart"/>
      <w:r w:rsidRPr="00193A5E">
        <w:rPr>
          <w:rFonts w:ascii="Times New Roman" w:hAnsi="Times New Roman"/>
          <w:b/>
          <w:sz w:val="22"/>
          <w:szCs w:val="22"/>
        </w:rPr>
        <w:t>For</w:t>
      </w:r>
      <w:proofErr w:type="gramEnd"/>
      <w:r w:rsidRPr="00193A5E">
        <w:rPr>
          <w:rFonts w:ascii="Times New Roman" w:hAnsi="Times New Roman"/>
          <w:b/>
          <w:sz w:val="22"/>
          <w:szCs w:val="22"/>
        </w:rPr>
        <w:t xml:space="preserve"> Local Network Transmission Service Requests</w:t>
      </w:r>
      <w:bookmarkEnd w:id="88"/>
    </w:p>
    <w:p w:rsidR="003A0A84" w:rsidRDefault="003A0A84" w:rsidP="003A0A84">
      <w:pPr>
        <w:spacing w:line="360" w:lineRule="auto"/>
        <w:rPr>
          <w:rFonts w:ascii="Times New Roman" w:hAnsi="Times New Roman"/>
          <w:sz w:val="22"/>
          <w:szCs w:val="22"/>
        </w:rPr>
      </w:pPr>
      <w:bookmarkStart w:id="89" w:name="_Toc74632245"/>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20.1 </w:t>
      </w:r>
      <w:r w:rsidRPr="00193A5E">
        <w:rPr>
          <w:rFonts w:ascii="Times New Roman" w:hAnsi="Times New Roman"/>
          <w:b/>
          <w:sz w:val="22"/>
          <w:szCs w:val="22"/>
        </w:rPr>
        <w:tab/>
        <w:t>Notice of Need for System Impact Study:</w:t>
      </w:r>
      <w:bookmarkEnd w:id="89"/>
      <w:r w:rsidRPr="00193A5E">
        <w:rPr>
          <w:rFonts w:ascii="Times New Roman" w:hAnsi="Times New Roman"/>
          <w:b/>
          <w:sz w:val="22"/>
          <w:szCs w:val="22"/>
        </w:rPr>
        <w:t xml:space="preserve"> </w:t>
      </w:r>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When applicable, a description of NHT’s methodology for completing a System Impact Study is provided in Attachment D of this Schedule 21-NHT.  </w:t>
      </w:r>
    </w:p>
    <w:p w:rsidR="003A0A84" w:rsidRPr="001448F1" w:rsidRDefault="003A0A84" w:rsidP="003A0A84">
      <w:pPr>
        <w:spacing w:line="360" w:lineRule="auto"/>
        <w:ind w:left="720"/>
        <w:rPr>
          <w:rFonts w:ascii="Times New Roman" w:hAnsi="Times New Roman"/>
          <w:sz w:val="22"/>
          <w:szCs w:val="22"/>
        </w:rPr>
      </w:pPr>
    </w:p>
    <w:p w:rsidR="003A0A84" w:rsidRPr="00193A5E" w:rsidRDefault="00AF27BD" w:rsidP="003A0A84">
      <w:pPr>
        <w:spacing w:line="360" w:lineRule="auto"/>
        <w:rPr>
          <w:rFonts w:ascii="Times New Roman" w:hAnsi="Times New Roman"/>
          <w:b/>
          <w:sz w:val="22"/>
          <w:szCs w:val="22"/>
        </w:rPr>
      </w:pPr>
      <w:bookmarkStart w:id="90" w:name="_Toc74632249"/>
      <w:r w:rsidRPr="00193A5E">
        <w:rPr>
          <w:rFonts w:ascii="Times New Roman" w:hAnsi="Times New Roman"/>
          <w:b/>
          <w:sz w:val="22"/>
          <w:szCs w:val="22"/>
        </w:rPr>
        <w:t xml:space="preserve">21. </w:t>
      </w:r>
      <w:r w:rsidRPr="00193A5E">
        <w:rPr>
          <w:rFonts w:ascii="Times New Roman" w:hAnsi="Times New Roman"/>
          <w:b/>
          <w:sz w:val="22"/>
          <w:szCs w:val="22"/>
        </w:rPr>
        <w:tab/>
        <w:t>Load Shedding and Curtailments</w:t>
      </w:r>
      <w:bookmarkEnd w:id="90"/>
    </w:p>
    <w:p w:rsidR="003A0A84" w:rsidRDefault="003A0A84" w:rsidP="003A0A84">
      <w:pPr>
        <w:spacing w:line="360" w:lineRule="auto"/>
        <w:rPr>
          <w:rFonts w:ascii="Times New Roman" w:hAnsi="Times New Roman"/>
          <w:sz w:val="22"/>
          <w:szCs w:val="22"/>
        </w:rPr>
      </w:pPr>
      <w:bookmarkStart w:id="91" w:name="_Toc74632250"/>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21.1 </w:t>
      </w:r>
      <w:r w:rsidRPr="00193A5E">
        <w:rPr>
          <w:rFonts w:ascii="Times New Roman" w:hAnsi="Times New Roman"/>
          <w:b/>
          <w:sz w:val="22"/>
          <w:szCs w:val="22"/>
        </w:rPr>
        <w:tab/>
        <w:t>Procedures:</w:t>
      </w:r>
      <w:bookmarkEnd w:id="91"/>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Prior to the Service Commencement Date, NHT and the Local Network Customer shall establish Load Shedding and Curtailment procedures pursuant to the Local Network Operating Agreement with the objective of responding to contingencies on the Local Network Transmission System.  The Parties will implement such programs during any period when NHT determines that a system contingency exists and such procedures are necessary to alleviate such contingency.  NHT will notify all affected Local Network Customers in a timely manner of any scheduled Curtailment.</w:t>
      </w:r>
    </w:p>
    <w:p w:rsidR="003A0A84" w:rsidRDefault="003A0A84" w:rsidP="003A0A84">
      <w:pPr>
        <w:spacing w:line="360" w:lineRule="auto"/>
        <w:ind w:left="720"/>
        <w:rPr>
          <w:rFonts w:ascii="Times New Roman" w:hAnsi="Times New Roman"/>
          <w:sz w:val="22"/>
          <w:szCs w:val="22"/>
        </w:rPr>
      </w:pPr>
      <w:bookmarkStart w:id="92" w:name="_Toc74632251"/>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21.2 </w:t>
      </w:r>
      <w:r w:rsidRPr="00193A5E">
        <w:rPr>
          <w:rFonts w:ascii="Times New Roman" w:hAnsi="Times New Roman"/>
          <w:b/>
          <w:sz w:val="22"/>
          <w:szCs w:val="22"/>
        </w:rPr>
        <w:tab/>
        <w:t>Transmission Constraints:</w:t>
      </w:r>
      <w:bookmarkEnd w:id="92"/>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During any period when NHT determines that a transmission constraint exists on the Local Network Transmission System, and such constraint may impair the reliability of NHT’s system, NHT will take whatever actions, consistent with Good Utility Practice, </w:t>
      </w:r>
      <w:proofErr w:type="gramStart"/>
      <w:r w:rsidRPr="001448F1">
        <w:rPr>
          <w:rFonts w:ascii="Times New Roman" w:hAnsi="Times New Roman"/>
          <w:sz w:val="22"/>
          <w:szCs w:val="22"/>
        </w:rPr>
        <w:t>that are</w:t>
      </w:r>
      <w:proofErr w:type="gramEnd"/>
      <w:r w:rsidRPr="001448F1">
        <w:rPr>
          <w:rFonts w:ascii="Times New Roman" w:hAnsi="Times New Roman"/>
          <w:sz w:val="22"/>
          <w:szCs w:val="22"/>
        </w:rPr>
        <w:t xml:space="preserve"> reasonably necessary to maintain the reliability of NHT’s system.  To the extent either NHT or the Control Area Operator determine that the reliability of the Transmission System can be maintained by </w:t>
      </w:r>
      <w:proofErr w:type="spellStart"/>
      <w:r w:rsidRPr="001448F1">
        <w:rPr>
          <w:rFonts w:ascii="Times New Roman" w:hAnsi="Times New Roman"/>
          <w:sz w:val="22"/>
          <w:szCs w:val="22"/>
        </w:rPr>
        <w:t>redispatching</w:t>
      </w:r>
      <w:proofErr w:type="spellEnd"/>
      <w:r w:rsidRPr="001448F1">
        <w:rPr>
          <w:rFonts w:ascii="Times New Roman" w:hAnsi="Times New Roman"/>
          <w:sz w:val="22"/>
          <w:szCs w:val="22"/>
        </w:rPr>
        <w:t xml:space="preserve"> resources, NHT can initiate procedures pursuant to the Local Network Operating Agreement, the Tariff, and other Control Area Operator rules and procedures including, without limitation, the Market Rules.  Any </w:t>
      </w:r>
      <w:proofErr w:type="spellStart"/>
      <w:r w:rsidRPr="001448F1">
        <w:rPr>
          <w:rFonts w:ascii="Times New Roman" w:hAnsi="Times New Roman"/>
          <w:sz w:val="22"/>
          <w:szCs w:val="22"/>
        </w:rPr>
        <w:t>redispatch</w:t>
      </w:r>
      <w:proofErr w:type="spellEnd"/>
      <w:r w:rsidRPr="001448F1">
        <w:rPr>
          <w:rFonts w:ascii="Times New Roman" w:hAnsi="Times New Roman"/>
          <w:sz w:val="22"/>
          <w:szCs w:val="22"/>
        </w:rPr>
        <w:t xml:space="preserve"> under this Section may not unduly discriminate between NHT’s use of the Local Network Transmission System on behalf of its Native Load Customers and any Local Network Customer’s use of the Local Network Transmission System to serve its designated Local Network Load </w:t>
      </w:r>
    </w:p>
    <w:p w:rsidR="003A0A84" w:rsidRDefault="003A0A84" w:rsidP="003A0A84">
      <w:pPr>
        <w:spacing w:line="360" w:lineRule="auto"/>
        <w:ind w:left="720"/>
        <w:rPr>
          <w:rFonts w:ascii="Times New Roman" w:hAnsi="Times New Roman"/>
          <w:sz w:val="22"/>
          <w:szCs w:val="22"/>
        </w:rPr>
      </w:pPr>
      <w:bookmarkStart w:id="93" w:name="_Toc74632253"/>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21.3 </w:t>
      </w:r>
      <w:r w:rsidRPr="00193A5E">
        <w:rPr>
          <w:rFonts w:ascii="Times New Roman" w:hAnsi="Times New Roman"/>
          <w:b/>
          <w:sz w:val="22"/>
          <w:szCs w:val="22"/>
        </w:rPr>
        <w:tab/>
        <w:t>Curtailments of Scheduled Deliveries:</w:t>
      </w:r>
      <w:bookmarkEnd w:id="93"/>
      <w:r w:rsidRPr="00193A5E">
        <w:rPr>
          <w:rFonts w:ascii="Times New Roman" w:hAnsi="Times New Roman"/>
          <w:b/>
          <w:sz w:val="22"/>
          <w:szCs w:val="22"/>
        </w:rPr>
        <w:t xml:space="preserve"> </w:t>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If a transmission constraint on NHT’s Local Network Transmission System cannot be relieved through the implementation of </w:t>
      </w:r>
      <w:proofErr w:type="spellStart"/>
      <w:r w:rsidRPr="001448F1">
        <w:rPr>
          <w:rFonts w:ascii="Times New Roman" w:hAnsi="Times New Roman"/>
          <w:sz w:val="22"/>
          <w:szCs w:val="22"/>
        </w:rPr>
        <w:t>redispatch</w:t>
      </w:r>
      <w:proofErr w:type="spellEnd"/>
      <w:r w:rsidRPr="001448F1">
        <w:rPr>
          <w:rFonts w:ascii="Times New Roman" w:hAnsi="Times New Roman"/>
          <w:sz w:val="22"/>
          <w:szCs w:val="22"/>
        </w:rPr>
        <w:t xml:space="preserve"> procedures and the Control Area Operator determines </w:t>
      </w:r>
      <w:r w:rsidRPr="001448F1">
        <w:rPr>
          <w:rFonts w:ascii="Times New Roman" w:hAnsi="Times New Roman"/>
          <w:sz w:val="22"/>
          <w:szCs w:val="22"/>
        </w:rPr>
        <w:lastRenderedPageBreak/>
        <w:t>that it is necessary to Curtail scheduled deliveries, the Parties shall Curtail such schedules in accordance with any applicable provisions of the Local Network Operating Agreement, the Tariff and any Control Area Operator rules and procedures including, without limitation, the Market Rules.</w:t>
      </w:r>
    </w:p>
    <w:p w:rsidR="003A0A84" w:rsidRDefault="003A0A84" w:rsidP="003A0A84">
      <w:pPr>
        <w:spacing w:line="360" w:lineRule="auto"/>
        <w:ind w:left="720"/>
        <w:rPr>
          <w:rFonts w:ascii="Times New Roman" w:hAnsi="Times New Roman"/>
          <w:sz w:val="22"/>
          <w:szCs w:val="22"/>
        </w:rPr>
      </w:pPr>
      <w:bookmarkStart w:id="94" w:name="_Toc74632255"/>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21.4 </w:t>
      </w:r>
      <w:r w:rsidRPr="00193A5E">
        <w:rPr>
          <w:rFonts w:ascii="Times New Roman" w:hAnsi="Times New Roman"/>
          <w:b/>
          <w:sz w:val="22"/>
          <w:szCs w:val="22"/>
        </w:rPr>
        <w:tab/>
        <w:t>Load Shedding:</w:t>
      </w:r>
      <w:bookmarkEnd w:id="94"/>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To the extent that a system contingency exists on NHT’s or the New England Transmission System and NHT or the ISO determines that it is necessary for NHT and the Local Network Customer to shed load, the Parties shall shed load in accordance with previously established procedures under the Local Network Operating Agreement, or in accordance with other mutually agreed to provisions.</w:t>
      </w:r>
    </w:p>
    <w:p w:rsidR="003A0A84" w:rsidRDefault="003A0A84" w:rsidP="003A0A84">
      <w:pPr>
        <w:spacing w:line="360" w:lineRule="auto"/>
        <w:rPr>
          <w:rFonts w:ascii="Times New Roman" w:hAnsi="Times New Roman"/>
          <w:sz w:val="22"/>
          <w:szCs w:val="22"/>
        </w:rPr>
      </w:pPr>
      <w:bookmarkStart w:id="95" w:name="_Toc74632257"/>
    </w:p>
    <w:p w:rsidR="003A0A84" w:rsidRPr="00193A5E" w:rsidRDefault="00AF27BD" w:rsidP="003A0A84">
      <w:pPr>
        <w:spacing w:line="360" w:lineRule="auto"/>
        <w:rPr>
          <w:rFonts w:ascii="Times New Roman" w:hAnsi="Times New Roman"/>
          <w:b/>
          <w:sz w:val="22"/>
          <w:szCs w:val="22"/>
        </w:rPr>
      </w:pPr>
      <w:r w:rsidRPr="00193A5E">
        <w:rPr>
          <w:rFonts w:ascii="Times New Roman" w:hAnsi="Times New Roman"/>
          <w:b/>
          <w:sz w:val="22"/>
          <w:szCs w:val="22"/>
        </w:rPr>
        <w:t xml:space="preserve">22. </w:t>
      </w:r>
      <w:r w:rsidRPr="00193A5E">
        <w:rPr>
          <w:rFonts w:ascii="Times New Roman" w:hAnsi="Times New Roman"/>
          <w:b/>
          <w:sz w:val="22"/>
          <w:szCs w:val="22"/>
        </w:rPr>
        <w:tab/>
        <w:t>Rates and Charges</w:t>
      </w:r>
      <w:bookmarkEnd w:id="95"/>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The Local Network Customer shall pay NHT for any Direct Assignment Facilities and applicable study costs, consistent with Commission policy, along with the following:</w:t>
      </w:r>
    </w:p>
    <w:p w:rsidR="003A0A84" w:rsidRDefault="003A0A84" w:rsidP="003A0A84">
      <w:pPr>
        <w:spacing w:line="360" w:lineRule="auto"/>
        <w:rPr>
          <w:rFonts w:ascii="Times New Roman" w:hAnsi="Times New Roman"/>
          <w:sz w:val="22"/>
          <w:szCs w:val="22"/>
        </w:rPr>
      </w:pPr>
      <w:bookmarkStart w:id="96" w:name="_Toc74632258"/>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22.1 </w:t>
      </w:r>
      <w:r w:rsidRPr="00193A5E">
        <w:rPr>
          <w:rFonts w:ascii="Times New Roman" w:hAnsi="Times New Roman"/>
          <w:b/>
          <w:sz w:val="22"/>
          <w:szCs w:val="22"/>
        </w:rPr>
        <w:tab/>
        <w:t>Monthly Demand Charge:</w:t>
      </w:r>
      <w:bookmarkEnd w:id="96"/>
      <w:r w:rsidRPr="00193A5E">
        <w:rPr>
          <w:rFonts w:ascii="Times New Roman" w:hAnsi="Times New Roman"/>
          <w:b/>
          <w:sz w:val="22"/>
          <w:szCs w:val="22"/>
        </w:rPr>
        <w:t xml:space="preserve"> </w:t>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 shall pay a monthly Demand Charge, which shall be determined by multiplying its Load Ratio Share times one twelfth (1/12) of NHT’s Annual Transmission Revenue Requirement.  The Annual Transmission Revenue Requirement is calculated pursuant to Attachment G of this Schedule 21-NHT.</w:t>
      </w:r>
    </w:p>
    <w:p w:rsidR="003A0A84" w:rsidRDefault="003A0A84" w:rsidP="003A0A84">
      <w:pPr>
        <w:spacing w:line="360" w:lineRule="auto"/>
        <w:ind w:left="720"/>
        <w:rPr>
          <w:rFonts w:ascii="Times New Roman" w:hAnsi="Times New Roman"/>
          <w:sz w:val="22"/>
          <w:szCs w:val="22"/>
        </w:rPr>
      </w:pPr>
      <w:bookmarkStart w:id="97" w:name="_Toc74632259"/>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22.2 </w:t>
      </w:r>
      <w:r w:rsidRPr="00193A5E">
        <w:rPr>
          <w:rFonts w:ascii="Times New Roman" w:hAnsi="Times New Roman"/>
          <w:b/>
          <w:sz w:val="22"/>
          <w:szCs w:val="22"/>
        </w:rPr>
        <w:tab/>
        <w:t>Determination of Local Network Customer’s Monthly Local</w:t>
      </w:r>
      <w:bookmarkEnd w:id="97"/>
      <w:r w:rsidRPr="00193A5E">
        <w:rPr>
          <w:rFonts w:ascii="Times New Roman" w:hAnsi="Times New Roman"/>
          <w:b/>
          <w:sz w:val="22"/>
          <w:szCs w:val="22"/>
        </w:rPr>
        <w:t xml:space="preserve"> </w:t>
      </w:r>
      <w:bookmarkStart w:id="98" w:name="_Toc74632260"/>
      <w:r w:rsidRPr="00193A5E">
        <w:rPr>
          <w:rFonts w:ascii="Times New Roman" w:hAnsi="Times New Roman"/>
          <w:b/>
          <w:sz w:val="22"/>
          <w:szCs w:val="22"/>
        </w:rPr>
        <w:t>Network Load:</w:t>
      </w:r>
      <w:bookmarkEnd w:id="98"/>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Customer’s monthly Local Network Load is its hourly load (including its designated Local Network Load not physically interconnected with NHT’s Local Network under Section 19.1) coincident with NHT’s Monthly Local Network Transmission System Peak.</w:t>
      </w:r>
    </w:p>
    <w:p w:rsidR="003A0A84" w:rsidRDefault="003A0A84" w:rsidP="003A0A84">
      <w:pPr>
        <w:spacing w:line="360" w:lineRule="auto"/>
        <w:ind w:left="720"/>
        <w:rPr>
          <w:rFonts w:ascii="Times New Roman" w:hAnsi="Times New Roman"/>
          <w:sz w:val="22"/>
          <w:szCs w:val="22"/>
        </w:rPr>
      </w:pPr>
      <w:bookmarkStart w:id="99" w:name="_Toc74632261"/>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22.3 </w:t>
      </w:r>
      <w:r w:rsidRPr="00193A5E">
        <w:rPr>
          <w:rFonts w:ascii="Times New Roman" w:hAnsi="Times New Roman"/>
          <w:b/>
          <w:sz w:val="22"/>
          <w:szCs w:val="22"/>
        </w:rPr>
        <w:tab/>
        <w:t>Determination of NHT’s Monthly Local Network Transmission System Load:</w:t>
      </w:r>
      <w:bookmarkEnd w:id="99"/>
      <w:r w:rsidRPr="00193A5E">
        <w:rPr>
          <w:rFonts w:ascii="Times New Roman" w:hAnsi="Times New Roman"/>
          <w:b/>
          <w:sz w:val="22"/>
          <w:szCs w:val="22"/>
        </w:rPr>
        <w:tab/>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NHT’s monthly Local Network Transmission System load is NHT’s Monthly Local Network Transmission System Peak minus the coincident peak usage of all Firm Local Point-To-Point Transmission Service customers pursuant to Part II of this Schedule 21-NHT plus the Reserved Capacity of all Firm Local Point-To-Point Transmission Service customers.</w:t>
      </w:r>
    </w:p>
    <w:p w:rsidR="003A0A84" w:rsidRDefault="003A0A84" w:rsidP="003A0A84">
      <w:pPr>
        <w:spacing w:line="360" w:lineRule="auto"/>
        <w:ind w:left="720"/>
        <w:rPr>
          <w:rFonts w:ascii="Times New Roman" w:hAnsi="Times New Roman"/>
          <w:sz w:val="22"/>
          <w:szCs w:val="22"/>
        </w:rPr>
      </w:pPr>
      <w:bookmarkStart w:id="100" w:name="_Toc74632262"/>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22.4 </w:t>
      </w:r>
      <w:r w:rsidRPr="00193A5E">
        <w:rPr>
          <w:rFonts w:ascii="Times New Roman" w:hAnsi="Times New Roman"/>
          <w:b/>
          <w:sz w:val="22"/>
          <w:szCs w:val="22"/>
        </w:rPr>
        <w:tab/>
      </w:r>
      <w:proofErr w:type="spellStart"/>
      <w:r w:rsidRPr="00193A5E">
        <w:rPr>
          <w:rFonts w:ascii="Times New Roman" w:hAnsi="Times New Roman"/>
          <w:b/>
          <w:sz w:val="22"/>
          <w:szCs w:val="22"/>
        </w:rPr>
        <w:t>Redispatch</w:t>
      </w:r>
      <w:proofErr w:type="spellEnd"/>
      <w:r w:rsidRPr="00193A5E">
        <w:rPr>
          <w:rFonts w:ascii="Times New Roman" w:hAnsi="Times New Roman"/>
          <w:b/>
          <w:sz w:val="22"/>
          <w:szCs w:val="22"/>
        </w:rPr>
        <w:t xml:space="preserve"> Charge:</w:t>
      </w:r>
      <w:bookmarkEnd w:id="100"/>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lastRenderedPageBreak/>
        <w:t xml:space="preserve">All costs associated with </w:t>
      </w:r>
      <w:proofErr w:type="spellStart"/>
      <w:r w:rsidRPr="001448F1">
        <w:rPr>
          <w:rFonts w:ascii="Times New Roman" w:hAnsi="Times New Roman"/>
          <w:sz w:val="22"/>
          <w:szCs w:val="22"/>
        </w:rPr>
        <w:t>redispatch</w:t>
      </w:r>
      <w:proofErr w:type="spellEnd"/>
      <w:r w:rsidRPr="001448F1">
        <w:rPr>
          <w:rFonts w:ascii="Times New Roman" w:hAnsi="Times New Roman"/>
          <w:sz w:val="22"/>
          <w:szCs w:val="22"/>
        </w:rPr>
        <w:t xml:space="preserve"> of resources shall be charged and allocated in accordance with the Tariff and any Control Area Operator rules and procedures including, without limitation, the Market Rules.</w:t>
      </w:r>
    </w:p>
    <w:p w:rsidR="003A0A84" w:rsidRDefault="003A0A84" w:rsidP="003A0A84">
      <w:pPr>
        <w:spacing w:line="360" w:lineRule="auto"/>
        <w:ind w:left="720"/>
        <w:rPr>
          <w:rFonts w:ascii="Times New Roman" w:hAnsi="Times New Roman"/>
          <w:sz w:val="22"/>
          <w:szCs w:val="22"/>
        </w:rPr>
      </w:pPr>
      <w:bookmarkStart w:id="101" w:name="_Toc74632263"/>
    </w:p>
    <w:p w:rsidR="003A0A84" w:rsidRPr="00193A5E" w:rsidRDefault="00AF27BD" w:rsidP="003A0A84">
      <w:pPr>
        <w:spacing w:line="360" w:lineRule="auto"/>
        <w:ind w:left="720"/>
        <w:rPr>
          <w:rFonts w:ascii="Times New Roman" w:hAnsi="Times New Roman"/>
          <w:b/>
          <w:sz w:val="22"/>
          <w:szCs w:val="22"/>
        </w:rPr>
      </w:pPr>
      <w:r w:rsidRPr="00193A5E">
        <w:rPr>
          <w:rFonts w:ascii="Times New Roman" w:hAnsi="Times New Roman"/>
          <w:b/>
          <w:sz w:val="22"/>
          <w:szCs w:val="22"/>
        </w:rPr>
        <w:t xml:space="preserve">22.5 </w:t>
      </w:r>
      <w:r w:rsidRPr="00193A5E">
        <w:rPr>
          <w:rFonts w:ascii="Times New Roman" w:hAnsi="Times New Roman"/>
          <w:b/>
          <w:sz w:val="22"/>
          <w:szCs w:val="22"/>
        </w:rPr>
        <w:tab/>
        <w:t>Stranded Cost Recovery:</w:t>
      </w:r>
      <w:bookmarkEnd w:id="101"/>
    </w:p>
    <w:p w:rsidR="003A0A84"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NHT may seek to recover stranded costs from the Local Network Customer pursuant to this Schedule 21-NHT in accordance with the terms, conditions and procedures set forth in FERC Order No. 888.  However, NHT must separately file any proposal to recover stranded costs under Section 205 of the Federal Power Act.</w:t>
      </w:r>
      <w:bookmarkStart w:id="102" w:name="_Toc432949343"/>
      <w:r w:rsidRPr="001448F1">
        <w:rPr>
          <w:rFonts w:ascii="Times New Roman" w:hAnsi="Times New Roman"/>
          <w:sz w:val="22"/>
          <w:szCs w:val="22"/>
        </w:rPr>
        <w:t xml:space="preserve"> </w:t>
      </w:r>
    </w:p>
    <w:p w:rsidR="003A0A84" w:rsidRPr="001448F1" w:rsidRDefault="003A0A84" w:rsidP="003A0A84">
      <w:pPr>
        <w:spacing w:line="360" w:lineRule="auto"/>
        <w:ind w:left="720"/>
        <w:rPr>
          <w:rFonts w:ascii="Times New Roman" w:hAnsi="Times New Roman"/>
          <w:sz w:val="22"/>
          <w:szCs w:val="22"/>
        </w:rPr>
      </w:pPr>
    </w:p>
    <w:p w:rsidR="003A0A84" w:rsidRPr="00D44CBD" w:rsidRDefault="00AF27BD" w:rsidP="003A0A84">
      <w:pPr>
        <w:spacing w:line="360" w:lineRule="auto"/>
        <w:rPr>
          <w:rFonts w:ascii="Times New Roman" w:hAnsi="Times New Roman"/>
          <w:b/>
          <w:sz w:val="22"/>
          <w:szCs w:val="22"/>
        </w:rPr>
      </w:pPr>
      <w:bookmarkStart w:id="103" w:name="_Toc74632264"/>
      <w:bookmarkEnd w:id="102"/>
      <w:r w:rsidRPr="00D44CBD">
        <w:rPr>
          <w:rFonts w:ascii="Times New Roman" w:hAnsi="Times New Roman"/>
          <w:b/>
          <w:sz w:val="22"/>
          <w:szCs w:val="22"/>
        </w:rPr>
        <w:t xml:space="preserve">23. </w:t>
      </w:r>
      <w:r w:rsidRPr="00D44CBD">
        <w:rPr>
          <w:rFonts w:ascii="Times New Roman" w:hAnsi="Times New Roman"/>
          <w:b/>
          <w:sz w:val="22"/>
          <w:szCs w:val="22"/>
        </w:rPr>
        <w:tab/>
        <w:t>Operating Arrangements</w:t>
      </w:r>
      <w:bookmarkEnd w:id="103"/>
    </w:p>
    <w:p w:rsidR="003A0A84" w:rsidRDefault="003A0A84" w:rsidP="003A0A84">
      <w:pPr>
        <w:spacing w:line="360" w:lineRule="auto"/>
        <w:rPr>
          <w:rFonts w:ascii="Times New Roman" w:hAnsi="Times New Roman"/>
          <w:sz w:val="22"/>
          <w:szCs w:val="22"/>
        </w:rPr>
      </w:pPr>
      <w:bookmarkStart w:id="104" w:name="_Toc74632265"/>
    </w:p>
    <w:p w:rsidR="003A0A84" w:rsidRPr="00D44CBD" w:rsidRDefault="00AF27BD" w:rsidP="003A0A84">
      <w:pPr>
        <w:spacing w:line="360" w:lineRule="auto"/>
        <w:ind w:left="720"/>
        <w:rPr>
          <w:rFonts w:ascii="Times New Roman" w:hAnsi="Times New Roman"/>
          <w:b/>
          <w:sz w:val="22"/>
          <w:szCs w:val="22"/>
        </w:rPr>
      </w:pPr>
      <w:r w:rsidRPr="00D44CBD">
        <w:rPr>
          <w:rFonts w:ascii="Times New Roman" w:hAnsi="Times New Roman"/>
          <w:b/>
          <w:sz w:val="22"/>
          <w:szCs w:val="22"/>
        </w:rPr>
        <w:t xml:space="preserve">23.1 </w:t>
      </w:r>
      <w:r w:rsidRPr="00D44CBD">
        <w:rPr>
          <w:rFonts w:ascii="Times New Roman" w:hAnsi="Times New Roman"/>
          <w:b/>
          <w:sz w:val="22"/>
          <w:szCs w:val="22"/>
        </w:rPr>
        <w:tab/>
        <w:t xml:space="preserve">Operation under </w:t>
      </w:r>
      <w:proofErr w:type="gramStart"/>
      <w:r w:rsidRPr="00D44CBD">
        <w:rPr>
          <w:rFonts w:ascii="Times New Roman" w:hAnsi="Times New Roman"/>
          <w:b/>
          <w:sz w:val="22"/>
          <w:szCs w:val="22"/>
        </w:rPr>
        <w:t>The</w:t>
      </w:r>
      <w:proofErr w:type="gramEnd"/>
      <w:r w:rsidRPr="00D44CBD">
        <w:rPr>
          <w:rFonts w:ascii="Times New Roman" w:hAnsi="Times New Roman"/>
          <w:b/>
          <w:sz w:val="22"/>
          <w:szCs w:val="22"/>
        </w:rPr>
        <w:t xml:space="preserve"> Local Network Operating Agreement:</w:t>
      </w:r>
      <w:bookmarkEnd w:id="104"/>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Local Network Customer shall plan, construct, operate and maintain its facilities in accordance with Good Utility Practice and in conformance with the Local Network Operating Agreement.  If NHT and the Local Network Customer agree in the Interconnection Agreement, the Interconnection Agreement can serve as a Local Network Operating Agreement.</w:t>
      </w:r>
    </w:p>
    <w:p w:rsidR="003A0A84" w:rsidRDefault="003A0A84" w:rsidP="003A0A84">
      <w:pPr>
        <w:spacing w:line="360" w:lineRule="auto"/>
        <w:ind w:left="720"/>
        <w:rPr>
          <w:rFonts w:ascii="Times New Roman" w:hAnsi="Times New Roman"/>
          <w:sz w:val="22"/>
          <w:szCs w:val="22"/>
        </w:rPr>
      </w:pPr>
      <w:bookmarkStart w:id="105" w:name="_Toc74632266"/>
    </w:p>
    <w:p w:rsidR="003A0A84" w:rsidRPr="00D44CBD" w:rsidRDefault="00AF27BD" w:rsidP="003A0A84">
      <w:pPr>
        <w:spacing w:line="360" w:lineRule="auto"/>
        <w:ind w:left="720"/>
        <w:rPr>
          <w:rFonts w:ascii="Times New Roman" w:hAnsi="Times New Roman"/>
          <w:b/>
          <w:sz w:val="22"/>
          <w:szCs w:val="22"/>
        </w:rPr>
      </w:pPr>
      <w:r w:rsidRPr="00D44CBD">
        <w:rPr>
          <w:rFonts w:ascii="Times New Roman" w:hAnsi="Times New Roman"/>
          <w:b/>
          <w:sz w:val="22"/>
          <w:szCs w:val="22"/>
        </w:rPr>
        <w:t xml:space="preserve">23.2 </w:t>
      </w:r>
      <w:r w:rsidRPr="00D44CBD">
        <w:rPr>
          <w:rFonts w:ascii="Times New Roman" w:hAnsi="Times New Roman"/>
          <w:b/>
          <w:sz w:val="22"/>
          <w:szCs w:val="22"/>
        </w:rPr>
        <w:tab/>
        <w:t>Local Network Operating Agreement:</w:t>
      </w:r>
      <w:bookmarkEnd w:id="105"/>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The terms and conditions under which the Local Network Customer shall operate its facilities and the technical and operational matters associated with the implementation of Part III of this Schedule 21-NHT shall be specified in the Local Network Operating Agreement.  The Local Network Operating Agreement shall provide for the Parties to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xml:space="preserve">) operate and maintain equipment necessary for integrating the Local Network Customer within NHT’s Local Network Transmission System (including, but not limited to, remote terminal units, metering, communications equipment and relaying equipment), (ii) transfer data between NHT and the Local Network Customer (including, but not limited to, heat rates and operational characteristics of Network Resources, generation schedules for units outside NHT’s Local Network Transmission System, interchange schedules, unit outputs for </w:t>
      </w:r>
      <w:proofErr w:type="spellStart"/>
      <w:r w:rsidRPr="001448F1">
        <w:rPr>
          <w:rFonts w:ascii="Times New Roman" w:hAnsi="Times New Roman"/>
          <w:sz w:val="22"/>
          <w:szCs w:val="22"/>
        </w:rPr>
        <w:t>redispatch</w:t>
      </w:r>
      <w:proofErr w:type="spellEnd"/>
      <w:r w:rsidRPr="001448F1">
        <w:rPr>
          <w:rFonts w:ascii="Times New Roman" w:hAnsi="Times New Roman"/>
          <w:sz w:val="22"/>
          <w:szCs w:val="22"/>
        </w:rPr>
        <w:t xml:space="preserve"> required under Section 21, voltage schedules, loss factors and other real time data), (iii) use software programs required for data links and constraint dispatching, (iv) exchange data on forecasted loads and resources necessary for long-term planning, and (v) address any other technical and operational considerations required for implementation of Part III of this Schedule 21-NHT, including scheduling protocols.  The Local Network Operating Agreement will recognize that the Local </w:t>
      </w:r>
      <w:r w:rsidRPr="001448F1">
        <w:rPr>
          <w:rFonts w:ascii="Times New Roman" w:hAnsi="Times New Roman"/>
          <w:sz w:val="22"/>
          <w:szCs w:val="22"/>
        </w:rPr>
        <w:lastRenderedPageBreak/>
        <w:t>Network Customer shall either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xml:space="preserve">) operate as a Control Area under applicable guidelines of the North American Electric Reliability Council (NERC) and the  Northeast Power Coordinating Council (NPCC), (ii) satisfy its Control Area requirements, including all necessary Ancillary Services, by contracting with the Control Area Operator for all required Ancillary Services or (iii) satisfy its Control Area requirements, including all necessary Ancillary Services which may be provided by another entity, by contracting with another entity, consistent with Good Utility Practice, which satisfies any applicable requirements imposed by NERC, the NPCC, NHT or the Control Area Operator.  For those Ancillary Services that may be provided by another entity, NHT shall not unreasonably refuse to accept contractual arrangements with another entity for Ancillary Services. </w:t>
      </w:r>
    </w:p>
    <w:p w:rsidR="003A0A84" w:rsidRPr="00D44CBD" w:rsidRDefault="00AF27BD" w:rsidP="003A0A84">
      <w:pPr>
        <w:spacing w:line="360" w:lineRule="auto"/>
        <w:jc w:val="center"/>
        <w:rPr>
          <w:rFonts w:ascii="Times New Roman" w:hAnsi="Times New Roman"/>
          <w:b/>
          <w:sz w:val="22"/>
          <w:szCs w:val="22"/>
        </w:rPr>
      </w:pPr>
      <w:r w:rsidRPr="00D44CBD">
        <w:rPr>
          <w:rFonts w:ascii="Times New Roman" w:hAnsi="Times New Roman"/>
          <w:b/>
          <w:sz w:val="22"/>
          <w:szCs w:val="22"/>
        </w:rPr>
        <w:br w:type="page"/>
      </w:r>
      <w:bookmarkStart w:id="106" w:name="_Toc432949359"/>
      <w:bookmarkStart w:id="107" w:name="_Toc68419833"/>
      <w:bookmarkStart w:id="108" w:name="_Toc74632279"/>
      <w:r w:rsidRPr="00D44CBD">
        <w:rPr>
          <w:rFonts w:ascii="Times New Roman" w:hAnsi="Times New Roman"/>
          <w:b/>
          <w:sz w:val="22"/>
          <w:szCs w:val="22"/>
        </w:rPr>
        <w:lastRenderedPageBreak/>
        <w:t>SCHEDULE 7</w:t>
      </w:r>
      <w:bookmarkEnd w:id="106"/>
      <w:bookmarkEnd w:id="107"/>
      <w:bookmarkEnd w:id="108"/>
    </w:p>
    <w:p w:rsidR="003A0A84" w:rsidRDefault="00AF27BD" w:rsidP="003A0A84">
      <w:pPr>
        <w:spacing w:line="360" w:lineRule="auto"/>
        <w:jc w:val="center"/>
        <w:rPr>
          <w:rFonts w:ascii="Times New Roman" w:hAnsi="Times New Roman"/>
          <w:b/>
          <w:sz w:val="22"/>
          <w:szCs w:val="22"/>
        </w:rPr>
      </w:pPr>
      <w:bookmarkStart w:id="109" w:name="_Toc432949360"/>
      <w:bookmarkStart w:id="110" w:name="_Toc74632280"/>
      <w:r w:rsidRPr="00D44CBD">
        <w:rPr>
          <w:rFonts w:ascii="Times New Roman" w:hAnsi="Times New Roman"/>
          <w:b/>
          <w:sz w:val="22"/>
          <w:szCs w:val="22"/>
        </w:rPr>
        <w:t>Long and Short Term Firm Local Point-To-Point Transmission Service</w:t>
      </w:r>
      <w:bookmarkEnd w:id="109"/>
      <w:bookmarkEnd w:id="110"/>
    </w:p>
    <w:p w:rsidR="003A0A84" w:rsidRPr="00D44CBD" w:rsidRDefault="003A0A84" w:rsidP="003A0A84">
      <w:pPr>
        <w:spacing w:line="360" w:lineRule="auto"/>
        <w:jc w:val="center"/>
        <w:rPr>
          <w:rFonts w:ascii="Times New Roman" w:hAnsi="Times New Roman"/>
          <w:b/>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Each Transmission Customer who takes Firm Local Point-to-Point Transmission Service shall pay NHT each month on the basis of the highest amount of Reserved Capacity for each transaction reserved as Firm Local Point to Point Transmission Service.   Except as provided otherwise below, the charges will be re-determined annually on June 1 of each year, and shall be in effect for the succeeding twelve months.  The rate per kilowatt for each month is one-twelfth of the annual rate determined by dividing the Annual Transmission Revenue Requirement calculated pursuant to the Attachment G formula, by NHT’s average monthly Local Network Transmission System Load (as defined in Section 22.3) for the prior calendar year.</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Each Transmission Customer taking Firm Local Point to Point Transmission Service shall pay the firm local point-to-point rate on the basis of the highest amount of Reserved Capacity for each transaction reserved as Firm Local Point to Point Transmission Service as follows: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1)</w:t>
      </w:r>
      <w:r w:rsidRPr="001448F1">
        <w:rPr>
          <w:rFonts w:ascii="Times New Roman" w:hAnsi="Times New Roman"/>
          <w:sz w:val="22"/>
          <w:szCs w:val="22"/>
        </w:rPr>
        <w:t xml:space="preserve">  </w:t>
      </w:r>
      <w:r w:rsidRPr="00D44CBD">
        <w:rPr>
          <w:rFonts w:ascii="Times New Roman" w:hAnsi="Times New Roman"/>
          <w:b/>
          <w:sz w:val="22"/>
          <w:szCs w:val="22"/>
        </w:rPr>
        <w:t>Yearly reservation:</w:t>
      </w:r>
      <w:r w:rsidRPr="001448F1">
        <w:rPr>
          <w:rFonts w:ascii="Times New Roman" w:hAnsi="Times New Roman"/>
          <w:sz w:val="22"/>
          <w:szCs w:val="22"/>
        </w:rPr>
        <w:t xml:space="preserve"> one-twelfth of the annual rate per kilowatt of Reserved Capacity per year.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 xml:space="preserve">2)  Monthly reservation: </w:t>
      </w:r>
      <w:r w:rsidRPr="001448F1">
        <w:rPr>
          <w:rFonts w:ascii="Times New Roman" w:hAnsi="Times New Roman"/>
          <w:sz w:val="22"/>
          <w:szCs w:val="22"/>
        </w:rPr>
        <w:t>one-twelfth of the annual rate per kilowatt of Reserved Capacity per month</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3)  Weekly reservation:</w:t>
      </w:r>
      <w:r w:rsidRPr="001448F1">
        <w:rPr>
          <w:rFonts w:ascii="Times New Roman" w:hAnsi="Times New Roman"/>
          <w:sz w:val="22"/>
          <w:szCs w:val="22"/>
        </w:rPr>
        <w:t xml:space="preserve"> 1/52nd of the annual rate per kilowatt of Reserved Capacity per week.</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4)  Daily reservation:</w:t>
      </w:r>
      <w:r w:rsidRPr="001448F1">
        <w:rPr>
          <w:rFonts w:ascii="Times New Roman" w:hAnsi="Times New Roman"/>
          <w:sz w:val="22"/>
          <w:szCs w:val="22"/>
        </w:rPr>
        <w:t xml:space="preserve"> 1/7th of the weekly rate per kilowatt of Reserved Capacity per day.</w:t>
      </w: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Provided that the total demand charge in any week, pursuant to a reservation for Daily delivery,</w:t>
      </w:r>
      <w:r>
        <w:rPr>
          <w:rFonts w:ascii="Times New Roman" w:hAnsi="Times New Roman"/>
          <w:sz w:val="22"/>
          <w:szCs w:val="22"/>
        </w:rPr>
        <w:t xml:space="preserve"> </w:t>
      </w:r>
      <w:r w:rsidRPr="001448F1">
        <w:rPr>
          <w:rFonts w:ascii="Times New Roman" w:hAnsi="Times New Roman"/>
          <w:sz w:val="22"/>
          <w:szCs w:val="22"/>
        </w:rPr>
        <w:t>shall not exceed the rate specified in section (3) above times the highest amount in kilowatts of Reserved Capacity in any day during such week.</w:t>
      </w:r>
      <w:r w:rsidRPr="001448F1">
        <w:rPr>
          <w:rFonts w:ascii="Times New Roman" w:hAnsi="Times New Roman"/>
          <w:sz w:val="22"/>
          <w:szCs w:val="22"/>
        </w:rPr>
        <w:tab/>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5)  Discounts:</w:t>
      </w:r>
      <w:r w:rsidRPr="001448F1">
        <w:rPr>
          <w:rFonts w:ascii="Times New Roman" w:hAnsi="Times New Roman"/>
          <w:sz w:val="22"/>
          <w:szCs w:val="22"/>
        </w:rPr>
        <w:t xml:space="preserve">  Three principal requirements apply to discounts for transmission service as follows:  (1) any offer of a discount made by NHT must be announced to all Eligible Customers solely by posting on the OASIS; (2) any customer-initiated requests for discounts (including requests for use by NHT’s wholesale merchant or an Affiliate’s use) must occur solely by posting on the OASIS; and (3) once a discount is negotiated, details must be immediately posted on the OASIS.  For any discount agreed upon for service on a path, from Point(s) of Receipt to Point(s) of Delivery, NHT must offer the same discounted transmission service rate for the same time period to all Eligible Customers on all </w:t>
      </w:r>
      <w:r w:rsidRPr="001448F1">
        <w:rPr>
          <w:rFonts w:ascii="Times New Roman" w:hAnsi="Times New Roman"/>
          <w:sz w:val="22"/>
          <w:szCs w:val="22"/>
        </w:rPr>
        <w:lastRenderedPageBreak/>
        <w:t xml:space="preserve">unconstrained transmission paths that go to the same Point(s) of Delivery on the Transmission System.  </w:t>
      </w:r>
    </w:p>
    <w:p w:rsidR="003A0A84" w:rsidRDefault="003A0A84" w:rsidP="003A0A84">
      <w:pPr>
        <w:spacing w:line="360" w:lineRule="auto"/>
        <w:rPr>
          <w:rFonts w:ascii="Times New Roman" w:hAnsi="Times New Roman"/>
          <w:b/>
          <w:sz w:val="22"/>
          <w:szCs w:val="22"/>
        </w:rPr>
      </w:pPr>
      <w:bookmarkStart w:id="111" w:name="_Toc68419835"/>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6)  Exceeding Capacity Reservations and Unreserved Use:</w:t>
      </w:r>
      <w:r w:rsidRPr="001448F1">
        <w:rPr>
          <w:rFonts w:ascii="Times New Roman" w:hAnsi="Times New Roman"/>
          <w:sz w:val="22"/>
          <w:szCs w:val="22"/>
        </w:rPr>
        <w:t xml:space="preserve">  In the event the Transmission Customer exceeds the Capacity Reservation specified in the customer’s transmission Service Agreement as determined by NHT, the Transmission Customer shall be retroactively charged an amount equal to 200% of the rates specified above without any discount, if one is in place at the time, for any capacity exceeding the amount reserved.  Such charge shall apply for the length of the period of unreserved use of NHT’s transmission system, except that: </w:t>
      </w:r>
      <w:proofErr w:type="spellStart"/>
      <w:r w:rsidRPr="001448F1">
        <w:rPr>
          <w:rFonts w:ascii="Times New Roman" w:hAnsi="Times New Roman"/>
          <w:sz w:val="22"/>
          <w:szCs w:val="22"/>
        </w:rPr>
        <w:t>i</w:t>
      </w:r>
      <w:proofErr w:type="spellEnd"/>
      <w:r w:rsidRPr="001448F1">
        <w:rPr>
          <w:rFonts w:ascii="Times New Roman" w:hAnsi="Times New Roman"/>
          <w:sz w:val="22"/>
          <w:szCs w:val="22"/>
        </w:rPr>
        <w:t>) unreserved uses for any single hour period shall be based on 200% of the applicable rate for daily firm point-to-point transmission service, and ii) multiple unauthorized uses of any given duration (e.g., daily) occurring during any single billing month shall be subject to a penalty charge of 200% of the rate that is applicable to the next longest duration of service, (e.g. weekly).</w:t>
      </w:r>
      <w:bookmarkEnd w:id="111"/>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 xml:space="preserve">7)  Resale: </w:t>
      </w:r>
      <w:r w:rsidRPr="001448F1">
        <w:rPr>
          <w:rFonts w:ascii="Times New Roman" w:hAnsi="Times New Roman"/>
          <w:sz w:val="22"/>
          <w:szCs w:val="22"/>
        </w:rPr>
        <w:t xml:space="preserve"> The rates and rules governing charges and discounts stated above shall not apply to </w:t>
      </w:r>
      <w:proofErr w:type="spellStart"/>
      <w:r w:rsidRPr="001448F1">
        <w:rPr>
          <w:rFonts w:ascii="Times New Roman" w:hAnsi="Times New Roman"/>
          <w:sz w:val="22"/>
          <w:szCs w:val="22"/>
        </w:rPr>
        <w:t>resales</w:t>
      </w:r>
      <w:proofErr w:type="spellEnd"/>
      <w:r w:rsidRPr="001448F1">
        <w:rPr>
          <w:rFonts w:ascii="Times New Roman" w:hAnsi="Times New Roman"/>
          <w:sz w:val="22"/>
          <w:szCs w:val="22"/>
        </w:rPr>
        <w:t xml:space="preserve"> of transmission service, compensation for which shall be governed by Section I.11.a of Schedule 21.</w:t>
      </w:r>
    </w:p>
    <w:p w:rsidR="003A0A84" w:rsidRPr="00D44CBD"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bookmarkStart w:id="112" w:name="_Toc432949361"/>
      <w:bookmarkStart w:id="113" w:name="_Toc68419836"/>
      <w:bookmarkStart w:id="114" w:name="_Toc74632281"/>
      <w:r w:rsidRPr="00D44CBD">
        <w:rPr>
          <w:rFonts w:ascii="Times New Roman" w:hAnsi="Times New Roman"/>
          <w:b/>
          <w:sz w:val="22"/>
          <w:szCs w:val="22"/>
        </w:rPr>
        <w:lastRenderedPageBreak/>
        <w:t>SCHEDULE 8</w:t>
      </w:r>
      <w:bookmarkEnd w:id="112"/>
      <w:bookmarkEnd w:id="113"/>
      <w:bookmarkEnd w:id="114"/>
    </w:p>
    <w:p w:rsidR="003A0A84" w:rsidRPr="00D44CBD" w:rsidRDefault="00AF27BD" w:rsidP="003A0A84">
      <w:pPr>
        <w:spacing w:line="360" w:lineRule="auto"/>
        <w:jc w:val="center"/>
        <w:rPr>
          <w:rFonts w:ascii="Times New Roman" w:hAnsi="Times New Roman"/>
          <w:b/>
          <w:sz w:val="22"/>
          <w:szCs w:val="22"/>
        </w:rPr>
      </w:pPr>
      <w:bookmarkStart w:id="115" w:name="_Toc432949362"/>
      <w:bookmarkStart w:id="116" w:name="_Toc74632282"/>
      <w:r w:rsidRPr="00D44CBD">
        <w:rPr>
          <w:rFonts w:ascii="Times New Roman" w:hAnsi="Times New Roman"/>
          <w:b/>
          <w:sz w:val="22"/>
          <w:szCs w:val="22"/>
        </w:rPr>
        <w:t>Non-Firm Local Point-To-Point Transmission Service</w:t>
      </w:r>
      <w:bookmarkEnd w:id="115"/>
      <w:bookmarkEnd w:id="116"/>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Each Transmission Customer who takes Non-Firm Local Point-to-Point Transmission Service shall pay NHT each month on the basis of the highest amount of Reserved Capacity for each transaction reserved as Non-Firm Local Point to Point Transmission Service.   The charges will be re-determined annually on June 1 of each year, and shall be in effect for the succeeding twelve months.  The rate per kilowatt for each month is one-twelfth of the annual rate determined by dividing the Local Network Service Annual Transmission Revenue Requirement calculated pursuant to the Attachment G formula, by NHT’s average monthly Local Network Transmission System Load (as defined in Section 22.3) for the prior calendar year.</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Each Transmission Customer taking Non-Firm Local Point to Point Transmission Service shall pay the non-firm local point-to-point rate on the basis of the highest amount of Reserved Capacity for each transaction scheduled as Non-Firm Local Point to Point Transmission Service as follows:</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1)  Yearly reservation:</w:t>
      </w:r>
      <w:r w:rsidRPr="001448F1">
        <w:rPr>
          <w:rFonts w:ascii="Times New Roman" w:hAnsi="Times New Roman"/>
          <w:sz w:val="22"/>
          <w:szCs w:val="22"/>
        </w:rPr>
        <w:t xml:space="preserve"> one-twelfth of the annual rate per kilowatt of Reserved Capacity per year.</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2)  Monthly reservation:</w:t>
      </w:r>
      <w:r w:rsidRPr="001448F1">
        <w:rPr>
          <w:rFonts w:ascii="Times New Roman" w:hAnsi="Times New Roman"/>
          <w:sz w:val="22"/>
          <w:szCs w:val="22"/>
        </w:rPr>
        <w:t xml:space="preserve"> one-twelfth of the annual rate per kilowatt of Reserved Capacity per month.</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 xml:space="preserve">3)  Weekly reservation: </w:t>
      </w:r>
      <w:r w:rsidRPr="001448F1">
        <w:rPr>
          <w:rFonts w:ascii="Times New Roman" w:hAnsi="Times New Roman"/>
          <w:sz w:val="22"/>
          <w:szCs w:val="22"/>
        </w:rPr>
        <w:t>1/52nd of the annual rate per kilowatt of Reserved Capacity per week.</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4)  Daily reservation:</w:t>
      </w:r>
      <w:r w:rsidRPr="001448F1">
        <w:rPr>
          <w:rFonts w:ascii="Times New Roman" w:hAnsi="Times New Roman"/>
          <w:sz w:val="22"/>
          <w:szCs w:val="22"/>
        </w:rPr>
        <w:t xml:space="preserve"> 1/7th of the weekly rate per kilowatt of Reserved Capacity per day.</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sz w:val="22"/>
          <w:szCs w:val="22"/>
        </w:rPr>
      </w:pPr>
      <w:r w:rsidRPr="00D44CBD">
        <w:rPr>
          <w:rFonts w:ascii="Times New Roman" w:hAnsi="Times New Roman"/>
          <w:b/>
          <w:sz w:val="22"/>
          <w:szCs w:val="22"/>
        </w:rPr>
        <w:t>5)  Hourly reservation:</w:t>
      </w:r>
      <w:r w:rsidRPr="001448F1">
        <w:rPr>
          <w:rFonts w:ascii="Times New Roman" w:hAnsi="Times New Roman"/>
          <w:sz w:val="22"/>
          <w:szCs w:val="22"/>
        </w:rPr>
        <w:t xml:space="preserve"> 1/24th of the daily rate per kilowatt of Reserved Capacity per hour.</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The total demand charge in any week, pursuant to a reservation for Daily delivery, shall not exceed the rate specified in section (3) above times the highest amount in kilowatts of Reserved Capacity in any day during such week.</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The total demand charge in any day, pursuant to a reservation for Hourly delivery, shall not exceed the rate specified in section (4) above times the highest amount in kilowatts of Reserved Capacity in any hour during such day.  In addition, the total demand charge in any week, pursuant to a reservation for Hourly or Daily delivery, shall not exceed the rate specified in section (3) above times the highest amount in </w:t>
      </w:r>
      <w:r w:rsidRPr="001448F1">
        <w:rPr>
          <w:rFonts w:ascii="Times New Roman" w:hAnsi="Times New Roman"/>
          <w:sz w:val="22"/>
          <w:szCs w:val="22"/>
        </w:rPr>
        <w:lastRenderedPageBreak/>
        <w:t>kilowatts of Reserved Capacity in any hour during such week.</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 xml:space="preserve">6) </w:t>
      </w:r>
      <w:r w:rsidRPr="00D44CBD">
        <w:rPr>
          <w:rFonts w:ascii="Times New Roman" w:hAnsi="Times New Roman"/>
          <w:b/>
          <w:sz w:val="22"/>
          <w:szCs w:val="22"/>
        </w:rPr>
        <w:tab/>
        <w:t>Discounts:</w:t>
      </w:r>
      <w:r w:rsidRPr="001448F1">
        <w:rPr>
          <w:rFonts w:ascii="Times New Roman" w:hAnsi="Times New Roman"/>
          <w:sz w:val="22"/>
          <w:szCs w:val="22"/>
        </w:rPr>
        <w:t xml:space="preserve">  Three principal requirements apply to discounts for transmission service as follows:  (1) any offer of a discount made by NHT must be announced to all Eligible Customers solely by posting on the OASIS; (2) any customer-initiated requests for discounts (including requests for use by NHT’s wholesale merchant or an Affiliate’s use) must occur solely by posting on the OASIS; and (3) once a discount is negotiated, details must be immediately posted on the OASIS.  For any discount agreed upon for service on a path, from Point(s) of Receipt to Point(s) of Delivery, NHT must offer the same discounted transmission service rate for the same time period to all Eligible Customers on all unconstrained transmission paths that go to the same Point(s) of Delivery on the Transmission System.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7)</w:t>
      </w:r>
      <w:r w:rsidRPr="00D44CBD">
        <w:rPr>
          <w:rFonts w:ascii="Times New Roman" w:hAnsi="Times New Roman"/>
          <w:b/>
          <w:sz w:val="22"/>
          <w:szCs w:val="22"/>
        </w:rPr>
        <w:tab/>
      </w:r>
      <w:bookmarkStart w:id="117" w:name="_Toc68419838"/>
      <w:r w:rsidRPr="00D44CBD">
        <w:rPr>
          <w:rFonts w:ascii="Times New Roman" w:hAnsi="Times New Roman"/>
          <w:b/>
          <w:sz w:val="22"/>
          <w:szCs w:val="22"/>
        </w:rPr>
        <w:t>Exceeding Capacity Reservations and Unreserved Use:</w:t>
      </w:r>
      <w:r w:rsidRPr="001448F1">
        <w:rPr>
          <w:rFonts w:ascii="Times New Roman" w:hAnsi="Times New Roman"/>
          <w:sz w:val="22"/>
          <w:szCs w:val="22"/>
        </w:rPr>
        <w:t xml:space="preserve">  In the event the Transmission Customer exceeds the Capacity Reservation specified in the customer’s transmission Service Agreement as determined by NHT, the Transmission Customer shall be retroactively charged an amount equal to 200% of the rates specified for Long and Short Term Firm Point to Point Transmission Service as specified in Schedule 7 of this Schedule 21-NHT without any discount, if one is in place at the time, for any capacity exceeding the amount reserved.  </w:t>
      </w:r>
      <w:bookmarkEnd w:id="117"/>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44CBD">
        <w:rPr>
          <w:rFonts w:ascii="Times New Roman" w:hAnsi="Times New Roman"/>
          <w:b/>
          <w:sz w:val="22"/>
          <w:szCs w:val="22"/>
        </w:rPr>
        <w:t>8)</w:t>
      </w:r>
      <w:r w:rsidRPr="00D44CBD">
        <w:rPr>
          <w:rFonts w:ascii="Times New Roman" w:hAnsi="Times New Roman"/>
          <w:b/>
          <w:sz w:val="22"/>
          <w:szCs w:val="22"/>
        </w:rPr>
        <w:tab/>
        <w:t>Resale:</w:t>
      </w:r>
      <w:r w:rsidRPr="001448F1">
        <w:rPr>
          <w:rFonts w:ascii="Times New Roman" w:hAnsi="Times New Roman"/>
          <w:sz w:val="22"/>
          <w:szCs w:val="22"/>
        </w:rPr>
        <w:t xml:space="preserve">  The rates and rules governing charges and discounts stated above shall not apply to </w:t>
      </w:r>
      <w:proofErr w:type="spellStart"/>
      <w:r w:rsidRPr="001448F1">
        <w:rPr>
          <w:rFonts w:ascii="Times New Roman" w:hAnsi="Times New Roman"/>
          <w:sz w:val="22"/>
          <w:szCs w:val="22"/>
        </w:rPr>
        <w:t>resales</w:t>
      </w:r>
      <w:proofErr w:type="spellEnd"/>
      <w:r w:rsidRPr="001448F1">
        <w:rPr>
          <w:rFonts w:ascii="Times New Roman" w:hAnsi="Times New Roman"/>
          <w:sz w:val="22"/>
          <w:szCs w:val="22"/>
        </w:rPr>
        <w:t xml:space="preserve"> of transmission service, compensation for which shall be governed by Section I.11.a of Schedule 21.</w:t>
      </w:r>
    </w:p>
    <w:p w:rsidR="003A0A84" w:rsidRPr="00D44CBD"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bookmarkStart w:id="118" w:name="_Toc432949373"/>
      <w:bookmarkStart w:id="119" w:name="_Toc68419845"/>
      <w:bookmarkStart w:id="120" w:name="_Toc74632289"/>
      <w:r w:rsidRPr="00D44CBD">
        <w:rPr>
          <w:rFonts w:ascii="Times New Roman" w:hAnsi="Times New Roman"/>
          <w:b/>
          <w:sz w:val="22"/>
          <w:szCs w:val="22"/>
        </w:rPr>
        <w:lastRenderedPageBreak/>
        <w:t>ATTACHMENT C</w:t>
      </w:r>
      <w:bookmarkEnd w:id="118"/>
      <w:bookmarkEnd w:id="119"/>
      <w:bookmarkEnd w:id="120"/>
    </w:p>
    <w:p w:rsidR="003A0A84" w:rsidRPr="00D44CBD" w:rsidRDefault="00AF27BD" w:rsidP="003A0A84">
      <w:pPr>
        <w:spacing w:line="360" w:lineRule="auto"/>
        <w:jc w:val="center"/>
        <w:rPr>
          <w:rFonts w:ascii="Times New Roman" w:hAnsi="Times New Roman"/>
          <w:b/>
          <w:sz w:val="22"/>
          <w:szCs w:val="22"/>
        </w:rPr>
      </w:pPr>
      <w:bookmarkStart w:id="121" w:name="_Toc432949374"/>
      <w:bookmarkStart w:id="122" w:name="_Toc74632290"/>
      <w:r w:rsidRPr="00D44CBD">
        <w:rPr>
          <w:rFonts w:ascii="Times New Roman" w:hAnsi="Times New Roman"/>
          <w:b/>
          <w:sz w:val="22"/>
          <w:szCs w:val="22"/>
        </w:rPr>
        <w:t xml:space="preserve">Methodology </w:t>
      </w:r>
      <w:proofErr w:type="gramStart"/>
      <w:r w:rsidRPr="00D44CBD">
        <w:rPr>
          <w:rFonts w:ascii="Times New Roman" w:hAnsi="Times New Roman"/>
          <w:b/>
          <w:sz w:val="22"/>
          <w:szCs w:val="22"/>
        </w:rPr>
        <w:t>To</w:t>
      </w:r>
      <w:proofErr w:type="gramEnd"/>
      <w:r w:rsidRPr="00D44CBD">
        <w:rPr>
          <w:rFonts w:ascii="Times New Roman" w:hAnsi="Times New Roman"/>
          <w:b/>
          <w:sz w:val="22"/>
          <w:szCs w:val="22"/>
        </w:rPr>
        <w:t xml:space="preserve"> Assess Available Transmission Capability</w:t>
      </w:r>
      <w:bookmarkEnd w:id="121"/>
      <w:bookmarkEnd w:id="122"/>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NHT will respond to a valid request for Local Network and Local Point-To-Point Transmission Service by determining whether sufficient transfer capability is available to grant the request.  All valid requests will be assigned a priority as set forth in the OATT.  The Available Transmission Capability will be calculated based on a Contract Path Methodology, taking into account Total Transfer Capability, Transmission Reliability Margin, capacity reserved by NHT to serve projected native load, existing and confirmed long-term firm transactions and all other requests consistent with the Tariff.</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Total Transfer Capacity will be forecasted by NHT and/or the Control Area Operator for posted paths using system models, load flow analysis and other engineering analyses, and in accordance with the NHT Facilities Rating Methodology posted on the NHT OASIS.</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In determining Available Transmission Capacity NHT will use Good Utility Practice, comply with applicable Control Area Operator criteria, rules and </w:t>
      </w:r>
      <w:proofErr w:type="gramStart"/>
      <w:r w:rsidRPr="001448F1">
        <w:rPr>
          <w:rFonts w:ascii="Times New Roman" w:hAnsi="Times New Roman"/>
          <w:sz w:val="22"/>
          <w:szCs w:val="22"/>
        </w:rPr>
        <w:t>standards,</w:t>
      </w:r>
      <w:proofErr w:type="gramEnd"/>
      <w:r w:rsidRPr="001448F1">
        <w:rPr>
          <w:rFonts w:ascii="Times New Roman" w:hAnsi="Times New Roman"/>
          <w:sz w:val="22"/>
          <w:szCs w:val="22"/>
        </w:rPr>
        <w:t xml:space="preserve"> utilize NPCC and NERC criteria and guidelines, and guidelines established by NHT.    The process used by NHT to determine its Available Transmission Capacity is depicted by the following process flow diagram.</w:t>
      </w:r>
    </w:p>
    <w:p w:rsidR="003A0A84" w:rsidRDefault="00AF27BD" w:rsidP="003A0A84">
      <w:pPr>
        <w:spacing w:line="360" w:lineRule="auto"/>
        <w:rPr>
          <w:rFonts w:ascii="Times New Roman" w:hAnsi="Times New Roman"/>
          <w:sz w:val="22"/>
          <w:szCs w:val="22"/>
        </w:rPr>
      </w:pPr>
      <w:r>
        <w:rPr>
          <w:rFonts w:ascii="Times New Roman" w:hAnsi="Times New Roman"/>
          <w:sz w:val="22"/>
          <w:szCs w:val="22"/>
        </w:rPr>
        <w:br w:type="page"/>
      </w:r>
    </w:p>
    <w:p w:rsidR="003A0A84" w:rsidRDefault="00AF27BD" w:rsidP="003A0A84">
      <w:pPr>
        <w:spacing w:line="360" w:lineRule="auto"/>
        <w:jc w:val="center"/>
        <w:rPr>
          <w:rFonts w:ascii="Times New Roman" w:hAnsi="Times New Roman"/>
          <w:b/>
          <w:sz w:val="22"/>
          <w:szCs w:val="22"/>
        </w:rPr>
      </w:pPr>
      <w:r w:rsidRPr="005835CF">
        <w:rPr>
          <w:rFonts w:ascii="Times New Roman" w:hAnsi="Times New Roman"/>
          <w:b/>
          <w:sz w:val="22"/>
          <w:szCs w:val="22"/>
        </w:rPr>
        <w:lastRenderedPageBreak/>
        <w:t>Process Used by NHT to Calculate the TCC and ATC for Posted Paths</w:t>
      </w:r>
    </w:p>
    <w:p w:rsidR="00746F14" w:rsidRPr="005835CF" w:rsidRDefault="00746F14" w:rsidP="003A0A84">
      <w:pPr>
        <w:spacing w:line="360" w:lineRule="auto"/>
        <w:jc w:val="center"/>
        <w:rPr>
          <w:rFonts w:ascii="Times New Roman" w:hAnsi="Times New Roman"/>
          <w:b/>
          <w:sz w:val="22"/>
          <w:szCs w:val="22"/>
        </w:rPr>
      </w:pPr>
    </w:p>
    <w:p w:rsidR="003A0A84" w:rsidRDefault="00746F14" w:rsidP="003A0A84">
      <w:pPr>
        <w:spacing w:line="360" w:lineRule="auto"/>
        <w:rPr>
          <w:sz w:val="22"/>
          <w:szCs w:val="22"/>
        </w:rPr>
      </w:pPr>
      <w:r>
        <w:rPr>
          <w:noProof/>
          <w:sz w:val="22"/>
          <w:szCs w:val="22"/>
        </w:rPr>
        <w:pict>
          <v:group id="_x0000_s1047" style="position:absolute;margin-left:-21.35pt;margin-top:3.6pt;width:525.35pt;height:333.5pt;z-index:251658240" coordorigin="1455,8025" coordsize="9345,6240">
            <v:rect id="_x0000_s1048" style="position:absolute;left:1455;top:8025;width:9345;height:6240"/>
            <v:rect id="_x0000_s1049" style="position:absolute;left:4275;top:8025;width:3660;height:933" fillcolor="none" strokeweight="2pt">
              <v:fill opacity="39322f" color2="fill darken(220)" rotate="t" angle="-135" method="linear sigma" focus="100%" type="gradient"/>
              <v:textbox style="mso-next-textbox:#_x0000_s1049">
                <w:txbxContent>
                  <w:p w:rsidR="00B866BE" w:rsidRPr="00C05B92" w:rsidRDefault="00B866BE" w:rsidP="00746F14">
                    <w:pPr>
                      <w:jc w:val="center"/>
                      <w:rPr>
                        <w:rFonts w:ascii="Arial" w:hAnsi="Arial" w:cs="Arial"/>
                        <w:b/>
                        <w:sz w:val="18"/>
                        <w:szCs w:val="18"/>
                      </w:rPr>
                    </w:pPr>
                    <w:r w:rsidRPr="00C05B92">
                      <w:rPr>
                        <w:rFonts w:ascii="Arial" w:hAnsi="Arial" w:cs="Arial"/>
                        <w:b/>
                        <w:sz w:val="18"/>
                        <w:szCs w:val="18"/>
                      </w:rPr>
                      <w:t>T</w:t>
                    </w:r>
                    <w:r>
                      <w:rPr>
                        <w:rFonts w:ascii="Arial" w:hAnsi="Arial" w:cs="Arial"/>
                        <w:b/>
                        <w:sz w:val="18"/>
                        <w:szCs w:val="18"/>
                      </w:rPr>
                      <w:t>T</w:t>
                    </w:r>
                    <w:r w:rsidRPr="00C05B92">
                      <w:rPr>
                        <w:rFonts w:ascii="Arial" w:hAnsi="Arial" w:cs="Arial"/>
                        <w:b/>
                        <w:sz w:val="18"/>
                        <w:szCs w:val="18"/>
                      </w:rPr>
                      <w:t xml:space="preserve">C for each Posted Path equals the most limiting rating for equipment comprising </w:t>
                    </w:r>
                    <w:r w:rsidRPr="00746F14">
                      <w:rPr>
                        <w:rFonts w:ascii="Arial" w:hAnsi="Arial" w:cs="Arial"/>
                        <w:b/>
                        <w:sz w:val="18"/>
                        <w:szCs w:val="18"/>
                      </w:rPr>
                      <w:t>each</w:t>
                    </w:r>
                    <w:r w:rsidRPr="00C05B92">
                      <w:rPr>
                        <w:rFonts w:ascii="Arial" w:hAnsi="Arial" w:cs="Arial"/>
                        <w:b/>
                        <w:sz w:val="18"/>
                        <w:szCs w:val="18"/>
                      </w:rPr>
                      <w:t xml:space="preserve"> posted path</w:t>
                    </w:r>
                  </w:p>
                </w:txbxContent>
              </v:textbox>
            </v:rect>
            <v:rect id="_x0000_s1050" style="position:absolute;left:1455;top:10099;width:2445;height:761" fillcolor="none" strokeweight="2pt">
              <v:fill opacity="39322f" color2="fill darken(223)" rotate="t" angle="-45" method="linear sigma" type="gradient"/>
              <v:textbox style="mso-next-textbox:#_x0000_s1050">
                <w:txbxContent>
                  <w:p w:rsidR="00B866BE" w:rsidRDefault="00B866BE" w:rsidP="00746F14">
                    <w:pPr>
                      <w:jc w:val="center"/>
                      <w:rPr>
                        <w:rFonts w:ascii="Arial" w:hAnsi="Arial" w:cs="Arial"/>
                        <w:b/>
                        <w:sz w:val="18"/>
                        <w:szCs w:val="18"/>
                      </w:rPr>
                    </w:pPr>
                    <w:r w:rsidRPr="00CE7BCD">
                      <w:rPr>
                        <w:rFonts w:ascii="Arial" w:hAnsi="Arial" w:cs="Arial"/>
                        <w:b/>
                        <w:sz w:val="18"/>
                        <w:szCs w:val="18"/>
                      </w:rPr>
                      <w:t>Firm ATC</w:t>
                    </w:r>
                  </w:p>
                  <w:p w:rsidR="00B866BE" w:rsidRPr="00CE7BCD" w:rsidRDefault="00B866BE" w:rsidP="00746F14">
                    <w:pPr>
                      <w:jc w:val="center"/>
                      <w:rPr>
                        <w:rFonts w:ascii="Arial" w:hAnsi="Arial" w:cs="Arial"/>
                        <w:b/>
                        <w:sz w:val="18"/>
                        <w:szCs w:val="18"/>
                      </w:rPr>
                    </w:pPr>
                    <w:r w:rsidRPr="00CE7BCD">
                      <w:rPr>
                        <w:rFonts w:ascii="Arial" w:hAnsi="Arial" w:cs="Arial"/>
                        <w:b/>
                        <w:sz w:val="18"/>
                        <w:szCs w:val="18"/>
                      </w:rPr>
                      <w:t xml:space="preserve"> (</w:t>
                    </w:r>
                    <w:proofErr w:type="gramStart"/>
                    <w:r>
                      <w:rPr>
                        <w:rFonts w:ascii="Arial" w:hAnsi="Arial" w:cs="Arial"/>
                        <w:b/>
                        <w:sz w:val="18"/>
                        <w:szCs w:val="18"/>
                      </w:rPr>
                      <w:t>p</w:t>
                    </w:r>
                    <w:r w:rsidRPr="00CE7BCD">
                      <w:rPr>
                        <w:rFonts w:ascii="Arial" w:hAnsi="Arial" w:cs="Arial"/>
                        <w:b/>
                        <w:sz w:val="18"/>
                        <w:szCs w:val="18"/>
                      </w:rPr>
                      <w:t>lanning</w:t>
                    </w:r>
                    <w:proofErr w:type="gramEnd"/>
                    <w:r w:rsidRPr="00CE7BCD">
                      <w:rPr>
                        <w:rFonts w:ascii="Arial" w:hAnsi="Arial" w:cs="Arial"/>
                        <w:b/>
                        <w:sz w:val="18"/>
                        <w:szCs w:val="18"/>
                      </w:rPr>
                      <w:t xml:space="preserve"> and </w:t>
                    </w:r>
                    <w:r>
                      <w:rPr>
                        <w:rFonts w:ascii="Arial" w:hAnsi="Arial" w:cs="Arial"/>
                        <w:b/>
                        <w:sz w:val="18"/>
                        <w:szCs w:val="18"/>
                      </w:rPr>
                      <w:t>o</w:t>
                    </w:r>
                    <w:r w:rsidRPr="00CE7BCD">
                      <w:rPr>
                        <w:rFonts w:ascii="Arial" w:hAnsi="Arial" w:cs="Arial"/>
                        <w:b/>
                        <w:sz w:val="18"/>
                        <w:szCs w:val="18"/>
                      </w:rPr>
                      <w:t>p</w:t>
                    </w:r>
                    <w:r>
                      <w:rPr>
                        <w:rFonts w:ascii="Arial" w:hAnsi="Arial" w:cs="Arial"/>
                        <w:b/>
                        <w:sz w:val="18"/>
                        <w:szCs w:val="18"/>
                      </w:rPr>
                      <w:t>e</w:t>
                    </w:r>
                    <w:r w:rsidRPr="00CE7BCD">
                      <w:rPr>
                        <w:rFonts w:ascii="Arial" w:hAnsi="Arial" w:cs="Arial"/>
                        <w:b/>
                        <w:sz w:val="18"/>
                        <w:szCs w:val="18"/>
                      </w:rPr>
                      <w:t xml:space="preserve">rating </w:t>
                    </w:r>
                    <w:r>
                      <w:rPr>
                        <w:rFonts w:ascii="Arial" w:hAnsi="Arial" w:cs="Arial"/>
                        <w:b/>
                        <w:sz w:val="18"/>
                        <w:szCs w:val="18"/>
                      </w:rPr>
                      <w:t>h</w:t>
                    </w:r>
                    <w:r w:rsidRPr="00CE7BCD">
                      <w:rPr>
                        <w:rFonts w:ascii="Arial" w:hAnsi="Arial" w:cs="Arial"/>
                        <w:b/>
                        <w:sz w:val="18"/>
                        <w:szCs w:val="18"/>
                      </w:rPr>
                      <w:t>orizon)</w:t>
                    </w:r>
                  </w:p>
                </w:txbxContent>
              </v:textbox>
            </v:rect>
            <v:rect id="_x0000_s1051" style="position:absolute;left:4785;top:10099;width:2445;height:761" fillcolor="none" strokeweight="2pt">
              <v:fill opacity="39322f" color2="fill darken(223)" rotate="t" angle="-45" method="linear sigma" type="gradient"/>
              <v:textbox style="mso-next-textbox:#_x0000_s1051">
                <w:txbxContent>
                  <w:p w:rsidR="00B866BE" w:rsidRDefault="00B866BE" w:rsidP="00746F14">
                    <w:pPr>
                      <w:jc w:val="center"/>
                      <w:rPr>
                        <w:rFonts w:ascii="Arial" w:hAnsi="Arial" w:cs="Arial"/>
                        <w:b/>
                        <w:sz w:val="18"/>
                        <w:szCs w:val="18"/>
                      </w:rPr>
                    </w:pPr>
                    <w:r>
                      <w:rPr>
                        <w:rFonts w:ascii="Arial" w:hAnsi="Arial" w:cs="Arial"/>
                        <w:b/>
                        <w:sz w:val="18"/>
                        <w:szCs w:val="18"/>
                      </w:rPr>
                      <w:t>Non-</w:t>
                    </w:r>
                    <w:r w:rsidRPr="00CE7BCD">
                      <w:rPr>
                        <w:rFonts w:ascii="Arial" w:hAnsi="Arial" w:cs="Arial"/>
                        <w:b/>
                        <w:sz w:val="18"/>
                        <w:szCs w:val="18"/>
                      </w:rPr>
                      <w:t xml:space="preserve">Firm ATC </w:t>
                    </w:r>
                  </w:p>
                  <w:p w:rsidR="00B866BE" w:rsidRPr="00CE7BCD" w:rsidRDefault="00B866BE" w:rsidP="00746F14">
                    <w:pPr>
                      <w:jc w:val="center"/>
                      <w:rPr>
                        <w:rFonts w:ascii="Arial" w:hAnsi="Arial" w:cs="Arial"/>
                        <w:b/>
                        <w:sz w:val="18"/>
                        <w:szCs w:val="18"/>
                      </w:rPr>
                    </w:pPr>
                    <w:r w:rsidRPr="00CE7BCD">
                      <w:rPr>
                        <w:rFonts w:ascii="Arial" w:hAnsi="Arial" w:cs="Arial"/>
                        <w:b/>
                        <w:sz w:val="18"/>
                        <w:szCs w:val="18"/>
                      </w:rPr>
                      <w:t>(</w:t>
                    </w:r>
                    <w:proofErr w:type="gramStart"/>
                    <w:r>
                      <w:rPr>
                        <w:rFonts w:ascii="Arial" w:hAnsi="Arial" w:cs="Arial"/>
                        <w:b/>
                        <w:sz w:val="18"/>
                        <w:szCs w:val="18"/>
                      </w:rPr>
                      <w:t>p</w:t>
                    </w:r>
                    <w:r w:rsidRPr="00CE7BCD">
                      <w:rPr>
                        <w:rFonts w:ascii="Arial" w:hAnsi="Arial" w:cs="Arial"/>
                        <w:b/>
                        <w:sz w:val="18"/>
                        <w:szCs w:val="18"/>
                      </w:rPr>
                      <w:t>lanning</w:t>
                    </w:r>
                    <w:proofErr w:type="gramEnd"/>
                    <w:r w:rsidRPr="00CE7BCD">
                      <w:rPr>
                        <w:rFonts w:ascii="Arial" w:hAnsi="Arial" w:cs="Arial"/>
                        <w:b/>
                        <w:sz w:val="18"/>
                        <w:szCs w:val="18"/>
                      </w:rPr>
                      <w:t xml:space="preserve"> </w:t>
                    </w:r>
                    <w:r>
                      <w:rPr>
                        <w:rFonts w:ascii="Arial" w:hAnsi="Arial" w:cs="Arial"/>
                        <w:b/>
                        <w:sz w:val="18"/>
                        <w:szCs w:val="18"/>
                      </w:rPr>
                      <w:t>h</w:t>
                    </w:r>
                    <w:r w:rsidRPr="00CE7BCD">
                      <w:rPr>
                        <w:rFonts w:ascii="Arial" w:hAnsi="Arial" w:cs="Arial"/>
                        <w:b/>
                        <w:sz w:val="18"/>
                        <w:szCs w:val="18"/>
                      </w:rPr>
                      <w:t>orizon)</w:t>
                    </w:r>
                  </w:p>
                </w:txbxContent>
              </v:textbox>
            </v:rect>
            <v:rect id="_x0000_s1052" style="position:absolute;left:8355;top:10099;width:2445;height:761" fillcolor="none" strokeweight="2pt">
              <v:fill opacity="39322f" color2="fill darken(223)" rotate="t" angle="-45" method="linear sigma" type="gradient"/>
              <v:textbox style="mso-next-textbox:#_x0000_s1052">
                <w:txbxContent>
                  <w:p w:rsidR="00B866BE" w:rsidRDefault="00B866BE" w:rsidP="00746F14">
                    <w:pPr>
                      <w:jc w:val="center"/>
                      <w:rPr>
                        <w:rFonts w:ascii="Arial" w:hAnsi="Arial" w:cs="Arial"/>
                        <w:b/>
                        <w:sz w:val="18"/>
                        <w:szCs w:val="18"/>
                      </w:rPr>
                    </w:pPr>
                    <w:r>
                      <w:rPr>
                        <w:rFonts w:ascii="Arial" w:hAnsi="Arial" w:cs="Arial"/>
                        <w:b/>
                        <w:sz w:val="18"/>
                        <w:szCs w:val="18"/>
                      </w:rPr>
                      <w:t>Non-</w:t>
                    </w:r>
                    <w:r w:rsidRPr="00CE7BCD">
                      <w:rPr>
                        <w:rFonts w:ascii="Arial" w:hAnsi="Arial" w:cs="Arial"/>
                        <w:b/>
                        <w:sz w:val="18"/>
                        <w:szCs w:val="18"/>
                      </w:rPr>
                      <w:t xml:space="preserve">Firm ATC </w:t>
                    </w:r>
                  </w:p>
                  <w:p w:rsidR="00B866BE" w:rsidRPr="00CE7BCD" w:rsidRDefault="00B866BE" w:rsidP="00746F14">
                    <w:pPr>
                      <w:jc w:val="center"/>
                      <w:rPr>
                        <w:rFonts w:ascii="Arial" w:hAnsi="Arial" w:cs="Arial"/>
                        <w:b/>
                        <w:sz w:val="18"/>
                        <w:szCs w:val="18"/>
                      </w:rPr>
                    </w:pPr>
                    <w:r w:rsidRPr="00CE7BCD">
                      <w:rPr>
                        <w:rFonts w:ascii="Arial" w:hAnsi="Arial" w:cs="Arial"/>
                        <w:b/>
                        <w:sz w:val="18"/>
                        <w:szCs w:val="18"/>
                      </w:rPr>
                      <w:t>(</w:t>
                    </w:r>
                    <w:proofErr w:type="gramStart"/>
                    <w:r>
                      <w:rPr>
                        <w:rFonts w:ascii="Arial" w:hAnsi="Arial" w:cs="Arial"/>
                        <w:b/>
                        <w:sz w:val="18"/>
                        <w:szCs w:val="18"/>
                      </w:rPr>
                      <w:t>o</w:t>
                    </w:r>
                    <w:r w:rsidRPr="00CE7BCD">
                      <w:rPr>
                        <w:rFonts w:ascii="Arial" w:hAnsi="Arial" w:cs="Arial"/>
                        <w:b/>
                        <w:sz w:val="18"/>
                        <w:szCs w:val="18"/>
                      </w:rPr>
                      <w:t>p</w:t>
                    </w:r>
                    <w:r>
                      <w:rPr>
                        <w:rFonts w:ascii="Arial" w:hAnsi="Arial" w:cs="Arial"/>
                        <w:b/>
                        <w:sz w:val="18"/>
                        <w:szCs w:val="18"/>
                      </w:rPr>
                      <w:t>e</w:t>
                    </w:r>
                    <w:r w:rsidRPr="00CE7BCD">
                      <w:rPr>
                        <w:rFonts w:ascii="Arial" w:hAnsi="Arial" w:cs="Arial"/>
                        <w:b/>
                        <w:sz w:val="18"/>
                        <w:szCs w:val="18"/>
                      </w:rPr>
                      <w:t>rating</w:t>
                    </w:r>
                    <w:proofErr w:type="gramEnd"/>
                    <w:r w:rsidRPr="00CE7BCD">
                      <w:rPr>
                        <w:rFonts w:ascii="Arial" w:hAnsi="Arial" w:cs="Arial"/>
                        <w:b/>
                        <w:sz w:val="18"/>
                        <w:szCs w:val="18"/>
                      </w:rPr>
                      <w:t xml:space="preserve"> </w:t>
                    </w:r>
                    <w:r>
                      <w:rPr>
                        <w:rFonts w:ascii="Arial" w:hAnsi="Arial" w:cs="Arial"/>
                        <w:b/>
                        <w:sz w:val="18"/>
                        <w:szCs w:val="18"/>
                      </w:rPr>
                      <w:t>h</w:t>
                    </w:r>
                    <w:r w:rsidRPr="00CE7BCD">
                      <w:rPr>
                        <w:rFonts w:ascii="Arial" w:hAnsi="Arial" w:cs="Arial"/>
                        <w:b/>
                        <w:sz w:val="18"/>
                        <w:szCs w:val="18"/>
                      </w:rPr>
                      <w:t>orizon)</w:t>
                    </w:r>
                  </w:p>
                </w:txbxContent>
              </v:textbox>
            </v:rect>
            <v:rect id="_x0000_s1053" style="position:absolute;left:1455;top:11462;width:2445;height:2053;mso-position-horizontal:center;mso-position-horizontal-relative:margin" fillcolor="none" strokeweight="2pt">
              <v:fill opacity="39322f" color2="fill darken(223)" rotate="t" angle="-45" method="linear sigma" type="gradient"/>
              <v:textbox style="mso-next-textbox:#_x0000_s1053">
                <w:txbxContent>
                  <w:p w:rsidR="00B866BE" w:rsidRPr="001D1222" w:rsidRDefault="00B866BE" w:rsidP="00746F14">
                    <w:pPr>
                      <w:jc w:val="center"/>
                      <w:rPr>
                        <w:rFonts w:ascii="Arial" w:hAnsi="Arial" w:cs="Arial"/>
                        <w:b/>
                        <w:sz w:val="16"/>
                        <w:szCs w:val="16"/>
                      </w:rPr>
                    </w:pPr>
                    <w:r w:rsidRPr="001D1222">
                      <w:rPr>
                        <w:rFonts w:ascii="Arial" w:hAnsi="Arial" w:cs="Arial"/>
                        <w:b/>
                        <w:sz w:val="16"/>
                        <w:szCs w:val="16"/>
                      </w:rPr>
                      <w:t>Determine ATC for each Posted Path by deducting Firm Point to Point Reservations from T</w:t>
                    </w:r>
                    <w:r>
                      <w:rPr>
                        <w:rFonts w:ascii="Arial" w:hAnsi="Arial" w:cs="Arial"/>
                        <w:b/>
                        <w:sz w:val="16"/>
                        <w:szCs w:val="16"/>
                      </w:rPr>
                      <w:t>T</w:t>
                    </w:r>
                    <w:r w:rsidRPr="001D1222">
                      <w:rPr>
                        <w:rFonts w:ascii="Arial" w:hAnsi="Arial" w:cs="Arial"/>
                        <w:b/>
                        <w:sz w:val="16"/>
                        <w:szCs w:val="16"/>
                      </w:rPr>
                      <w:t>C for each respective Posted Path</w:t>
                    </w:r>
                  </w:p>
                </w:txbxContent>
              </v:textbox>
            </v:rect>
            <v:rect id="_x0000_s1054" style="position:absolute;left:4785;top:11462;width:2535;height:2053" fillcolor="none" strokeweight="2pt">
              <v:fill opacity="39322f" color2="fill darken(223)" rotate="t" angle="-45" method="linear sigma" type="gradient"/>
              <v:textbox style="mso-next-textbox:#_x0000_s1054">
                <w:txbxContent>
                  <w:p w:rsidR="00B866BE" w:rsidRPr="001D1222" w:rsidRDefault="00B866BE" w:rsidP="00746F14">
                    <w:pPr>
                      <w:jc w:val="center"/>
                      <w:rPr>
                        <w:rFonts w:ascii="Arial" w:hAnsi="Arial" w:cs="Arial"/>
                        <w:b/>
                        <w:sz w:val="16"/>
                        <w:szCs w:val="16"/>
                      </w:rPr>
                    </w:pPr>
                    <w:r w:rsidRPr="001D1222">
                      <w:rPr>
                        <w:rFonts w:ascii="Arial" w:hAnsi="Arial" w:cs="Arial"/>
                        <w:b/>
                        <w:sz w:val="16"/>
                        <w:szCs w:val="16"/>
                      </w:rPr>
                      <w:t>Determine ATC for each Posted Path by deducting Firm Point to Point Reservations and superior Non-Firm Point to Point Reservations from T</w:t>
                    </w:r>
                    <w:r>
                      <w:rPr>
                        <w:rFonts w:ascii="Arial" w:hAnsi="Arial" w:cs="Arial"/>
                        <w:b/>
                        <w:sz w:val="16"/>
                        <w:szCs w:val="16"/>
                      </w:rPr>
                      <w:t>T</w:t>
                    </w:r>
                    <w:r w:rsidRPr="001D1222">
                      <w:rPr>
                        <w:rFonts w:ascii="Arial" w:hAnsi="Arial" w:cs="Arial"/>
                        <w:b/>
                        <w:sz w:val="16"/>
                        <w:szCs w:val="16"/>
                      </w:rPr>
                      <w:t>C for each respective Posted Path</w:t>
                    </w:r>
                  </w:p>
                  <w:p w:rsidR="00B866BE" w:rsidRPr="0035441B" w:rsidRDefault="00B866BE" w:rsidP="00746F14"/>
                </w:txbxContent>
              </v:textbox>
            </v:rect>
            <v:rect id="_x0000_s1055" style="position:absolute;left:8355;top:11462;width:2445;height:2053" fillcolor="none" strokeweight="2pt">
              <v:fill opacity="39322f" color2="fill darken(223)" rotate="t" angle="-45" method="linear sigma" type="gradient"/>
              <v:textbox style="mso-next-textbox:#_x0000_s1055">
                <w:txbxContent>
                  <w:p w:rsidR="00B866BE" w:rsidRPr="001D1222" w:rsidRDefault="00B866BE" w:rsidP="00746F14">
                    <w:pPr>
                      <w:jc w:val="center"/>
                      <w:rPr>
                        <w:rFonts w:ascii="Arial" w:hAnsi="Arial" w:cs="Arial"/>
                        <w:b/>
                        <w:sz w:val="16"/>
                        <w:szCs w:val="16"/>
                      </w:rPr>
                    </w:pPr>
                    <w:r w:rsidRPr="001D1222">
                      <w:rPr>
                        <w:rFonts w:ascii="Arial" w:hAnsi="Arial" w:cs="Arial"/>
                        <w:b/>
                        <w:sz w:val="16"/>
                        <w:szCs w:val="16"/>
                      </w:rPr>
                      <w:t xml:space="preserve">Determine ATC for each Posted Path by deducting scheduled </w:t>
                    </w:r>
                    <w:r>
                      <w:rPr>
                        <w:rFonts w:ascii="Arial" w:hAnsi="Arial" w:cs="Arial"/>
                        <w:b/>
                        <w:sz w:val="16"/>
                        <w:szCs w:val="16"/>
                      </w:rPr>
                      <w:t xml:space="preserve">hourly </w:t>
                    </w:r>
                    <w:r w:rsidRPr="001D1222">
                      <w:rPr>
                        <w:rFonts w:ascii="Arial" w:hAnsi="Arial" w:cs="Arial"/>
                        <w:b/>
                        <w:sz w:val="16"/>
                        <w:szCs w:val="16"/>
                      </w:rPr>
                      <w:t>quantities associated with each Firm Point-to-Point Reservation and superior Non-Firm Point to Point Reservations from T</w:t>
                    </w:r>
                    <w:r>
                      <w:rPr>
                        <w:rFonts w:ascii="Arial" w:hAnsi="Arial" w:cs="Arial"/>
                        <w:b/>
                        <w:sz w:val="16"/>
                        <w:szCs w:val="16"/>
                      </w:rPr>
                      <w:t>TC</w:t>
                    </w:r>
                    <w:r w:rsidRPr="001D1222">
                      <w:rPr>
                        <w:rFonts w:ascii="Arial" w:hAnsi="Arial" w:cs="Arial"/>
                        <w:b/>
                        <w:sz w:val="16"/>
                        <w:szCs w:val="16"/>
                      </w:rPr>
                      <w:t xml:space="preserve"> for each respective Posted Path</w:t>
                    </w:r>
                  </w:p>
                  <w:p w:rsidR="00B866BE" w:rsidRPr="0035441B" w:rsidRDefault="00B866BE" w:rsidP="00746F14"/>
                </w:txbxContent>
              </v:textbox>
            </v:rect>
            <v:shapetype id="_x0000_t32" coordsize="21600,21600" o:spt="32" o:oned="t" path="m,l21600,21600e" filled="f">
              <v:path arrowok="t" fillok="f" o:connecttype="none"/>
              <o:lock v:ext="edit" shapetype="t"/>
            </v:shapetype>
            <v:shape id="_x0000_s1056" type="#_x0000_t32" style="position:absolute;left:5970;top:8958;width:0;height:1141" o:connectortype="straight" strokecolor="#4f81bd" strokeweight="2pt">
              <v:stroke endarrow="block"/>
            </v:shape>
            <v:shape id="_x0000_s1057" type="#_x0000_t32" style="position:absolute;left:2625;top:9521;width:1;height:578" o:connectortype="straight" strokecolor="#4f81bd" strokeweight="2pt">
              <v:stroke endarrow="block"/>
            </v:shape>
            <v:shape id="_x0000_s1058" type="#_x0000_t32" style="position:absolute;left:9570;top:9521;width:1;height:578" o:connectortype="straight" strokecolor="#4f81bd" strokeweight="2pt">
              <v:stroke endarrow="block"/>
            </v:shape>
            <v:shape id="_x0000_s1059" type="#_x0000_t32" style="position:absolute;left:2625;top:9521;width:6945;height:0" o:connectortype="straight" strokecolor="#4f81bd" strokeweight="1.75pt"/>
            <v:shape id="_x0000_s1060" type="#_x0000_t32" style="position:absolute;left:2625;top:10860;width:1;height:602;flip:x" o:connectortype="straight" strokecolor="#4f81bd" strokeweight="2pt">
              <v:stroke endarrow="block"/>
            </v:shape>
            <v:shape id="_x0000_s1061" type="#_x0000_t32" style="position:absolute;left:5970;top:10860;width:0;height:602" o:connectortype="straight" strokecolor="#4f81bd" strokeweight="2pt">
              <v:stroke endarrow="block"/>
            </v:shape>
            <v:shape id="_x0000_s1062" type="#_x0000_t32" style="position:absolute;left:9570;top:10860;width:0;height:602" o:connectortype="straight" strokecolor="#4f81bd" strokeweight="2pt">
              <v:stroke endarrow="block"/>
            </v:shape>
            <w10:wrap anchorx="margin"/>
          </v:group>
        </w:pict>
      </w:r>
    </w:p>
    <w:p w:rsidR="003A0A84" w:rsidRPr="001448F1" w:rsidRDefault="003A0A84" w:rsidP="003A0A84">
      <w:pPr>
        <w:spacing w:line="360" w:lineRule="auto"/>
        <w:rPr>
          <w:sz w:val="22"/>
          <w:szCs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746F14" w:rsidRDefault="00746F14" w:rsidP="003A0A84">
      <w:pPr>
        <w:pStyle w:val="Normal7"/>
        <w:spacing w:after="0" w:line="360" w:lineRule="auto"/>
        <w:rPr>
          <w:rFonts w:ascii="Times New Roman" w:hAnsi="Times New Roman"/>
          <w:sz w:val="22"/>
        </w:rPr>
      </w:pPr>
    </w:p>
    <w:p w:rsidR="00B866BE" w:rsidRDefault="00B866BE" w:rsidP="003A0A84">
      <w:pPr>
        <w:pStyle w:val="Normal7"/>
        <w:spacing w:after="0" w:line="360" w:lineRule="auto"/>
        <w:rPr>
          <w:rFonts w:ascii="Times New Roman" w:hAnsi="Times New Roman"/>
          <w:sz w:val="22"/>
        </w:rPr>
      </w:pPr>
    </w:p>
    <w:p w:rsidR="00B866BE" w:rsidRDefault="00B866BE" w:rsidP="003A0A84">
      <w:pPr>
        <w:pStyle w:val="Normal7"/>
        <w:spacing w:after="0" w:line="360" w:lineRule="auto"/>
        <w:rPr>
          <w:rFonts w:ascii="Times New Roman" w:hAnsi="Times New Roman"/>
          <w:sz w:val="22"/>
        </w:rPr>
      </w:pPr>
    </w:p>
    <w:p w:rsidR="003A0A84" w:rsidRPr="00561684" w:rsidRDefault="00AF27BD" w:rsidP="003A0A84">
      <w:pPr>
        <w:pStyle w:val="Normal7"/>
        <w:spacing w:after="0" w:line="360" w:lineRule="auto"/>
        <w:rPr>
          <w:rFonts w:ascii="Times New Roman" w:hAnsi="Times New Roman"/>
          <w:sz w:val="22"/>
        </w:rPr>
      </w:pPr>
      <w:r w:rsidRPr="00561684">
        <w:rPr>
          <w:rFonts w:ascii="Times New Roman" w:hAnsi="Times New Roman"/>
          <w:sz w:val="22"/>
        </w:rPr>
        <w:t>Notes:</w:t>
      </w:r>
    </w:p>
    <w:p w:rsidR="003A0A84" w:rsidRPr="00561684" w:rsidRDefault="00AF27BD" w:rsidP="003A0A84">
      <w:pPr>
        <w:pStyle w:val="Normal7"/>
        <w:numPr>
          <w:ilvl w:val="0"/>
          <w:numId w:val="28"/>
        </w:numPr>
        <w:spacing w:after="120"/>
        <w:rPr>
          <w:rFonts w:ascii="Times New Roman" w:hAnsi="Times New Roman"/>
          <w:sz w:val="22"/>
        </w:rPr>
      </w:pPr>
      <w:r w:rsidRPr="00561684">
        <w:rPr>
          <w:rFonts w:ascii="Times New Roman" w:hAnsi="Times New Roman"/>
          <w:sz w:val="22"/>
        </w:rPr>
        <w:t>TCC and ATC are calculated in accordance with NHT’s Facilities Ratings Methodology as posted on NHT’s OASIS.</w:t>
      </w:r>
    </w:p>
    <w:p w:rsidR="003A0A84" w:rsidRPr="00561684" w:rsidRDefault="00AF27BD" w:rsidP="003A0A84">
      <w:pPr>
        <w:pStyle w:val="Normal7"/>
        <w:numPr>
          <w:ilvl w:val="0"/>
          <w:numId w:val="28"/>
        </w:numPr>
        <w:spacing w:after="120"/>
        <w:rPr>
          <w:rFonts w:ascii="Times New Roman" w:hAnsi="Times New Roman"/>
          <w:sz w:val="22"/>
        </w:rPr>
      </w:pPr>
      <w:r w:rsidRPr="00561684">
        <w:rPr>
          <w:rFonts w:ascii="Times New Roman" w:hAnsi="Times New Roman"/>
          <w:sz w:val="22"/>
        </w:rPr>
        <w:t>NHT has provided its Facilities Ratings Methodology and Facilities Ratings to ISO-NE.</w:t>
      </w:r>
    </w:p>
    <w:p w:rsidR="003A0A84" w:rsidRPr="00561684" w:rsidRDefault="00AF27BD" w:rsidP="003A0A84">
      <w:pPr>
        <w:pStyle w:val="Normal7"/>
        <w:numPr>
          <w:ilvl w:val="0"/>
          <w:numId w:val="28"/>
        </w:numPr>
        <w:spacing w:after="120"/>
        <w:rPr>
          <w:rFonts w:ascii="Times New Roman" w:hAnsi="Times New Roman"/>
          <w:sz w:val="22"/>
        </w:rPr>
      </w:pPr>
      <w:r w:rsidRPr="00561684">
        <w:rPr>
          <w:rFonts w:ascii="Times New Roman" w:hAnsi="Times New Roman"/>
          <w:sz w:val="22"/>
        </w:rPr>
        <w:t>TCC and ATC for Posted Paths relate to Point to Point Transmission Service taken over NHT’s Non-Pool Transmission Facilities.</w:t>
      </w:r>
    </w:p>
    <w:p w:rsidR="003A0A84" w:rsidRPr="00561684" w:rsidRDefault="00AF27BD" w:rsidP="003A0A84">
      <w:pPr>
        <w:pStyle w:val="Normal7"/>
        <w:numPr>
          <w:ilvl w:val="0"/>
          <w:numId w:val="28"/>
        </w:numPr>
        <w:spacing w:after="120"/>
        <w:rPr>
          <w:rFonts w:ascii="Times New Roman" w:hAnsi="Times New Roman"/>
          <w:sz w:val="22"/>
        </w:rPr>
      </w:pPr>
      <w:r w:rsidRPr="00561684">
        <w:rPr>
          <w:rFonts w:ascii="Times New Roman" w:hAnsi="Times New Roman"/>
          <w:sz w:val="22"/>
        </w:rPr>
        <w:t>TCC and ATC are not calculated and posted over Pool Transmission Facilities because Point-to-Point Transmission Service internal to New England is part of Regional Network Service and was eliminated from the ISO-NE Tariff as a stand-along distinct service</w:t>
      </w:r>
    </w:p>
    <w:p w:rsidR="003A0A84" w:rsidRPr="00561684" w:rsidRDefault="00AF27BD" w:rsidP="003A0A84">
      <w:pPr>
        <w:pStyle w:val="Normal7"/>
        <w:numPr>
          <w:ilvl w:val="0"/>
          <w:numId w:val="28"/>
        </w:numPr>
        <w:spacing w:after="120"/>
        <w:rPr>
          <w:rFonts w:ascii="Times New Roman" w:hAnsi="Times New Roman"/>
          <w:sz w:val="22"/>
        </w:rPr>
      </w:pPr>
      <w:r w:rsidRPr="00561684">
        <w:rPr>
          <w:rFonts w:ascii="Times New Roman" w:hAnsi="Times New Roman"/>
          <w:sz w:val="22"/>
        </w:rPr>
        <w:t>ISO-NE administers transmission service over all Pool Transmission Facilities.</w:t>
      </w:r>
    </w:p>
    <w:p w:rsidR="003A0A84" w:rsidRPr="00561684" w:rsidRDefault="003A0A84" w:rsidP="003A0A84">
      <w:pPr>
        <w:tabs>
          <w:tab w:val="left" w:pos="720"/>
          <w:tab w:val="left" w:pos="1440"/>
          <w:tab w:val="right" w:pos="8640"/>
        </w:tabs>
        <w:spacing w:after="120"/>
        <w:rPr>
          <w:sz w:val="22"/>
          <w:szCs w:val="22"/>
        </w:rPr>
      </w:pPr>
    </w:p>
    <w:p w:rsidR="003A0A84" w:rsidRPr="001448F1" w:rsidRDefault="00AF27BD" w:rsidP="003A0A84">
      <w:pPr>
        <w:spacing w:after="120"/>
        <w:rPr>
          <w:rFonts w:ascii="Times New Roman" w:hAnsi="Times New Roman"/>
          <w:sz w:val="22"/>
          <w:szCs w:val="22"/>
        </w:rPr>
      </w:pPr>
      <w:r>
        <w:br w:type="page"/>
      </w:r>
      <w:r w:rsidRPr="001448F1">
        <w:rPr>
          <w:rFonts w:ascii="Times New Roman" w:hAnsi="Times New Roman"/>
          <w:sz w:val="22"/>
          <w:szCs w:val="22"/>
        </w:rPr>
        <w:lastRenderedPageBreak/>
        <w:t>The algorithm used by NHT to calculate its Available Transmission Capacity is as follows:</w:t>
      </w:r>
    </w:p>
    <w:p w:rsidR="003A0A84" w:rsidRPr="001448F1" w:rsidRDefault="003A0A84" w:rsidP="003A0A84">
      <w:pPr>
        <w:spacing w:line="360" w:lineRule="auto"/>
        <w:rPr>
          <w:rFonts w:ascii="Times New Roman" w:hAnsi="Times New Roman"/>
          <w:sz w:val="22"/>
          <w:szCs w:val="22"/>
        </w:rPr>
      </w:pPr>
    </w:p>
    <w:p w:rsidR="003A0A84" w:rsidRPr="000A54C9" w:rsidRDefault="00AF27BD" w:rsidP="003A0A84">
      <w:pPr>
        <w:spacing w:line="360" w:lineRule="auto"/>
        <w:rPr>
          <w:rFonts w:ascii="Times New Roman" w:hAnsi="Times New Roman"/>
          <w:b/>
          <w:sz w:val="22"/>
          <w:szCs w:val="22"/>
        </w:rPr>
      </w:pPr>
      <w:r w:rsidRPr="00181E4C">
        <w:rPr>
          <w:rFonts w:ascii="Times New Roman" w:hAnsi="Times New Roman"/>
          <w:b/>
          <w:sz w:val="22"/>
          <w:szCs w:val="22"/>
        </w:rPr>
        <w:t>NHT Local Service Available Transfer Capability (ATC)</w:t>
      </w: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Firm/Non-Firm ATC = TTC (Total Transfer Capability); minus CBM (Capacity Benefit Margin); minus TRM (Transmission Reliability Margin); minus Transmission Service Capacity Reservation(s).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Calculation of TTC shall equal</w:t>
      </w:r>
      <w:proofErr w:type="gramStart"/>
      <w:r w:rsidRPr="001448F1">
        <w:rPr>
          <w:rFonts w:ascii="Times New Roman" w:hAnsi="Times New Roman"/>
          <w:sz w:val="22"/>
          <w:szCs w:val="22"/>
        </w:rPr>
        <w:t xml:space="preserve">:  </w:t>
      </w:r>
      <w:proofErr w:type="gramEnd"/>
      <w:r w:rsidR="00942127" w:rsidRPr="00942127">
        <w:rPr>
          <w:rFonts w:ascii="Times New Roman" w:hAnsi="Times New Roman"/>
          <w:position w:val="-8"/>
          <w:sz w:val="22"/>
          <w:szCs w:val="2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8" o:title=""/>
          </v:shape>
          <o:OLEObject Type="Embed" ProgID="Equation.3" ShapeID="_x0000_i1025" DrawAspect="Content" ObjectID="_1491213592" r:id="rId9"/>
        </w:object>
      </w:r>
      <w:r w:rsidRPr="001448F1">
        <w:rPr>
          <w:rFonts w:ascii="Times New Roman" w:hAnsi="Times New Roman"/>
          <w:sz w:val="22"/>
          <w:szCs w:val="22"/>
        </w:rPr>
        <w:t>; times (operating voltage); times (ampere rating of the transmission facility).</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No Local Service capacity reservation is set aside on any non-PTF path for CBM or TRM.</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Local Service on non-Pool Transmission Facilities is currently provided for Seabrook Station Service only when there is no net generation out of the Seabrook Plant or upon failure of Generation Step Up Transformer (GSU).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Total Existing Local Service Capacity Reservations for Seabrook Station Service:  </w:t>
      </w:r>
      <w:smartTag w:uri="urn:schemas-microsoft-com:office:smarttags" w:element="date">
        <w:smartTagPr>
          <w:attr w:name="Day" w:val="1"/>
          <w:attr w:name="Month" w:val="6"/>
          <w:attr w:name="Year" w:val="04"/>
          <w:attr w:name="ls" w:val="trans"/>
        </w:smartTagPr>
        <w:r w:rsidRPr="001448F1">
          <w:rPr>
            <w:rFonts w:ascii="Times New Roman" w:hAnsi="Times New Roman"/>
            <w:sz w:val="22"/>
            <w:szCs w:val="22"/>
          </w:rPr>
          <w:t>6/1/04</w:t>
        </w:r>
      </w:smartTag>
      <w:r w:rsidRPr="001448F1">
        <w:rPr>
          <w:rFonts w:ascii="Times New Roman" w:hAnsi="Times New Roman"/>
          <w:sz w:val="22"/>
          <w:szCs w:val="22"/>
        </w:rPr>
        <w:t xml:space="preserve"> through current = 50 MW.  Such Local Service is provided over non-PTF paths:  Path 1) Seabrook 345 kV Bus No. 5 to Seabrook Station Service; and Path 2) Seabrook 345 kV Bus No. 3 to 345 kV-GSU.  These non-PTF paths are not available for additional Point-to-Point Service Requests, except to meet the needs of the Seabrook Station (e.g., increase in Station Service Requirements) due to the physical limitations of access to these specific 345 kV transmission facilities.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Firm TTC (Total Transfer Capability)/Non-Firm TTC (hourly, daily, weekly, monthly, yearly) over each Path 1 and Path 2, respectively, is:  1793 MWA/1793 MW [TTC = </w:t>
      </w:r>
      <w:r w:rsidR="00942127" w:rsidRPr="00942127">
        <w:rPr>
          <w:rFonts w:ascii="Times New Roman" w:hAnsi="Times New Roman"/>
          <w:position w:val="-8"/>
          <w:sz w:val="22"/>
          <w:szCs w:val="22"/>
        </w:rPr>
        <w:object w:dxaOrig="360" w:dyaOrig="360">
          <v:shape id="_x0000_i1026" type="#_x0000_t75" style="width:31.5pt;height:18pt" o:ole="">
            <v:imagedata r:id="rId10" o:title=""/>
          </v:shape>
          <o:OLEObject Type="Embed" ProgID="Equation.3" ShapeID="_x0000_i1026" DrawAspect="Content" ObjectID="_1491213593" r:id="rId11"/>
        </w:object>
      </w:r>
      <w:r w:rsidRPr="001448F1">
        <w:rPr>
          <w:rFonts w:ascii="Times New Roman" w:hAnsi="Times New Roman"/>
          <w:sz w:val="22"/>
          <w:szCs w:val="22"/>
        </w:rPr>
        <w:t xml:space="preserve"> X 345 </w:t>
      </w:r>
      <w:proofErr w:type="spellStart"/>
      <w:r w:rsidRPr="001448F1">
        <w:rPr>
          <w:rFonts w:ascii="Times New Roman" w:hAnsi="Times New Roman"/>
          <w:sz w:val="22"/>
          <w:szCs w:val="22"/>
        </w:rPr>
        <w:t>kVX</w:t>
      </w:r>
      <w:proofErr w:type="spellEnd"/>
      <w:r w:rsidRPr="001448F1">
        <w:rPr>
          <w:rFonts w:ascii="Times New Roman" w:hAnsi="Times New Roman"/>
          <w:sz w:val="22"/>
          <w:szCs w:val="22"/>
        </w:rPr>
        <w:t xml:space="preserve">  3000A]</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Firm ATC/Non-Firm ATC (hourly, daily, weekly, monthly, yearly) over each Path 1 and Path 2, respectively, is:  1743 MVA/1743 MW [ATC = TTC (</w:t>
      </w:r>
      <w:r w:rsidR="00942127" w:rsidRPr="00942127">
        <w:rPr>
          <w:rFonts w:ascii="Times New Roman" w:hAnsi="Times New Roman"/>
          <w:position w:val="-8"/>
          <w:sz w:val="22"/>
          <w:szCs w:val="22"/>
        </w:rPr>
        <w:object w:dxaOrig="360" w:dyaOrig="360">
          <v:shape id="_x0000_i1027" type="#_x0000_t75" style="width:31.5pt;height:18pt" o:ole="">
            <v:imagedata r:id="rId10" o:title=""/>
          </v:shape>
          <o:OLEObject Type="Embed" ProgID="Equation.3" ShapeID="_x0000_i1027" DrawAspect="Content" ObjectID="_1491213594" r:id="rId12"/>
        </w:object>
      </w:r>
      <w:r w:rsidRPr="001448F1">
        <w:rPr>
          <w:rFonts w:ascii="Times New Roman" w:hAnsi="Times New Roman"/>
          <w:sz w:val="22"/>
          <w:szCs w:val="22"/>
        </w:rPr>
        <w:t xml:space="preserve"> X 345 kV X 3000A); minus CBM (0); minus TRM (0); minus Transmission Service Capacity Reservations (50 MW)]</w:t>
      </w:r>
    </w:p>
    <w:p w:rsidR="003A0A84" w:rsidRPr="00181E4C" w:rsidRDefault="00AF27BD" w:rsidP="003A0A84">
      <w:pPr>
        <w:spacing w:line="360" w:lineRule="auto"/>
        <w:rPr>
          <w:rFonts w:ascii="Times New Roman" w:hAnsi="Times New Roman"/>
          <w:b/>
          <w:sz w:val="22"/>
          <w:szCs w:val="22"/>
        </w:rPr>
      </w:pPr>
      <w:r w:rsidRPr="00181E4C">
        <w:rPr>
          <w:rFonts w:ascii="Times New Roman" w:hAnsi="Times New Roman"/>
          <w:b/>
          <w:sz w:val="22"/>
          <w:szCs w:val="22"/>
        </w:rPr>
        <w:br w:type="page"/>
      </w:r>
      <w:r w:rsidRPr="00181E4C">
        <w:rPr>
          <w:rFonts w:ascii="Times New Roman" w:hAnsi="Times New Roman"/>
          <w:b/>
          <w:sz w:val="22"/>
          <w:szCs w:val="22"/>
        </w:rPr>
        <w:lastRenderedPageBreak/>
        <w:t>Paths available for non-PTF Point-to-Point Service are:</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rPr>
          <w:rFonts w:ascii="Times New Roman" w:hAnsi="Times New Roman"/>
          <w:sz w:val="22"/>
          <w:szCs w:val="22"/>
        </w:rPr>
      </w:pPr>
      <w:r w:rsidRPr="001448F1">
        <w:rPr>
          <w:rFonts w:ascii="Times New Roman" w:hAnsi="Times New Roman"/>
          <w:sz w:val="22"/>
          <w:szCs w:val="22"/>
        </w:rPr>
        <w:t>Path 3)</w:t>
      </w:r>
      <w:r w:rsidRPr="001448F1">
        <w:rPr>
          <w:rFonts w:ascii="Times New Roman" w:hAnsi="Times New Roman"/>
          <w:sz w:val="22"/>
          <w:szCs w:val="22"/>
        </w:rPr>
        <w:tab/>
        <w:t>Seabrook 345 kV Switch Nos. 2201-2901 to Future Unit #2; and</w:t>
      </w: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Path 4)</w:t>
      </w:r>
      <w:r w:rsidRPr="001448F1">
        <w:rPr>
          <w:rFonts w:ascii="Times New Roman" w:hAnsi="Times New Roman"/>
          <w:sz w:val="22"/>
          <w:szCs w:val="22"/>
        </w:rPr>
        <w:tab/>
        <w:t>Seabrook Sub. 345 kV Bus 1 to Future Tie – RAT Transformer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81E4C">
        <w:rPr>
          <w:rFonts w:ascii="Times New Roman" w:hAnsi="Times New Roman"/>
          <w:b/>
          <w:sz w:val="22"/>
          <w:szCs w:val="22"/>
        </w:rPr>
        <w:t xml:space="preserve">Firm TTC/Non-Firm TTC over each </w:t>
      </w:r>
      <w:proofErr w:type="gramStart"/>
      <w:r w:rsidRPr="00181E4C">
        <w:rPr>
          <w:rFonts w:ascii="Times New Roman" w:hAnsi="Times New Roman"/>
          <w:b/>
          <w:sz w:val="22"/>
          <w:szCs w:val="22"/>
        </w:rPr>
        <w:t>path ,</w:t>
      </w:r>
      <w:proofErr w:type="gramEnd"/>
      <w:r w:rsidRPr="00181E4C">
        <w:rPr>
          <w:rFonts w:ascii="Times New Roman" w:hAnsi="Times New Roman"/>
          <w:b/>
          <w:sz w:val="22"/>
          <w:szCs w:val="22"/>
        </w:rPr>
        <w:t xml:space="preserve"> respectively, (3 &amp; 4, above)</w:t>
      </w:r>
      <w:r w:rsidRPr="001448F1">
        <w:rPr>
          <w:rFonts w:ascii="Times New Roman" w:hAnsi="Times New Roman"/>
          <w:sz w:val="22"/>
          <w:szCs w:val="22"/>
        </w:rPr>
        <w:t xml:space="preserve"> (hourly, daily, weekly, monthly, yearly) is:  1793 MVA/1793 MW [TTC = </w:t>
      </w:r>
      <w:r w:rsidR="00942127" w:rsidRPr="00942127">
        <w:rPr>
          <w:rFonts w:ascii="Times New Roman" w:hAnsi="Times New Roman"/>
          <w:position w:val="-8"/>
          <w:sz w:val="22"/>
          <w:szCs w:val="22"/>
        </w:rPr>
        <w:object w:dxaOrig="360" w:dyaOrig="360">
          <v:shape id="_x0000_i1028" type="#_x0000_t75" style="width:18pt;height:18pt" o:ole="">
            <v:imagedata r:id="rId13" o:title=""/>
          </v:shape>
          <o:OLEObject Type="Embed" ProgID="Equation.3" ShapeID="_x0000_i1028" DrawAspect="Content" ObjectID="_1491213595" r:id="rId14"/>
        </w:object>
      </w:r>
      <w:r w:rsidRPr="001448F1">
        <w:rPr>
          <w:rFonts w:ascii="Times New Roman" w:hAnsi="Times New Roman"/>
          <w:sz w:val="22"/>
          <w:szCs w:val="22"/>
        </w:rPr>
        <w:t xml:space="preserve"> X 345 kV X 3000A]</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634A2D">
        <w:rPr>
          <w:rFonts w:ascii="Times New Roman" w:hAnsi="Times New Roman"/>
          <w:b/>
          <w:sz w:val="22"/>
          <w:szCs w:val="22"/>
        </w:rPr>
        <w:t>Firm ATC/Non-Firm ATC</w:t>
      </w:r>
      <w:r w:rsidRPr="001448F1">
        <w:rPr>
          <w:rFonts w:ascii="Times New Roman" w:hAnsi="Times New Roman"/>
          <w:sz w:val="22"/>
          <w:szCs w:val="22"/>
        </w:rPr>
        <w:t xml:space="preserve"> (hourly, daily, weekly, monthly, yearly) over each path, respectively, (3 &amp; 4, above) is:  1793 MVA/1793 MW [ATC = TTC </w:t>
      </w:r>
      <w:proofErr w:type="gramStart"/>
      <w:r w:rsidRPr="001448F1">
        <w:rPr>
          <w:rFonts w:ascii="Times New Roman" w:hAnsi="Times New Roman"/>
          <w:sz w:val="22"/>
          <w:szCs w:val="22"/>
        </w:rPr>
        <w:t xml:space="preserve">( </w:t>
      </w:r>
      <w:r w:rsidR="00942127" w:rsidRPr="00942127">
        <w:rPr>
          <w:rFonts w:ascii="Times New Roman" w:hAnsi="Times New Roman"/>
          <w:position w:val="-8"/>
          <w:sz w:val="22"/>
          <w:szCs w:val="22"/>
        </w:rPr>
        <w:object w:dxaOrig="360" w:dyaOrig="360">
          <v:shape id="_x0000_i1029" type="#_x0000_t75" style="width:18pt;height:18pt" o:ole="">
            <v:imagedata r:id="rId15" o:title=""/>
          </v:shape>
          <o:OLEObject Type="Embed" ProgID="Equation.3" ShapeID="_x0000_i1029" DrawAspect="Content" ObjectID="_1491213596" r:id="rId16"/>
        </w:object>
      </w:r>
      <w:r w:rsidRPr="001448F1">
        <w:rPr>
          <w:rFonts w:ascii="Times New Roman" w:hAnsi="Times New Roman"/>
          <w:sz w:val="22"/>
          <w:szCs w:val="22"/>
        </w:rPr>
        <w:t xml:space="preserve"> X 345 kV X 3000A) – CBM (0) – TRM (0) – Transmission Service Capacity Reservations (0)]</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Note:  At present, there are no Transmission Service Capacity Reservations over Path 3) or Path 4).</w:t>
      </w:r>
    </w:p>
    <w:p w:rsidR="003A0A84" w:rsidRPr="00181E4C"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bookmarkStart w:id="123" w:name="_Toc432949375"/>
      <w:bookmarkStart w:id="124" w:name="_Toc68419847"/>
      <w:bookmarkStart w:id="125" w:name="_Toc74632291"/>
      <w:r w:rsidRPr="00181E4C">
        <w:rPr>
          <w:rFonts w:ascii="Times New Roman" w:hAnsi="Times New Roman"/>
          <w:b/>
          <w:sz w:val="22"/>
          <w:szCs w:val="22"/>
        </w:rPr>
        <w:lastRenderedPageBreak/>
        <w:t>ATTACHMENT D</w:t>
      </w:r>
      <w:bookmarkEnd w:id="123"/>
      <w:bookmarkEnd w:id="124"/>
      <w:bookmarkEnd w:id="125"/>
    </w:p>
    <w:p w:rsidR="003A0A84" w:rsidRPr="00181E4C" w:rsidRDefault="003A0A84" w:rsidP="003A0A84">
      <w:pPr>
        <w:spacing w:line="360" w:lineRule="auto"/>
        <w:jc w:val="center"/>
        <w:rPr>
          <w:rFonts w:ascii="Times New Roman" w:hAnsi="Times New Roman"/>
          <w:b/>
          <w:sz w:val="22"/>
          <w:szCs w:val="22"/>
        </w:rPr>
      </w:pPr>
    </w:p>
    <w:p w:rsidR="003A0A84" w:rsidRPr="00181E4C" w:rsidRDefault="00AF27BD" w:rsidP="003A0A84">
      <w:pPr>
        <w:spacing w:line="360" w:lineRule="auto"/>
        <w:jc w:val="center"/>
        <w:rPr>
          <w:rFonts w:ascii="Times New Roman" w:hAnsi="Times New Roman"/>
          <w:b/>
          <w:sz w:val="22"/>
          <w:szCs w:val="22"/>
        </w:rPr>
      </w:pPr>
      <w:bookmarkStart w:id="126" w:name="_Toc432949376"/>
      <w:bookmarkStart w:id="127" w:name="_Toc74632292"/>
      <w:r w:rsidRPr="00181E4C">
        <w:rPr>
          <w:rFonts w:ascii="Times New Roman" w:hAnsi="Times New Roman"/>
          <w:b/>
          <w:sz w:val="22"/>
          <w:szCs w:val="22"/>
        </w:rPr>
        <w:t>Methodology for Completing a System Impact Study</w:t>
      </w:r>
      <w:bookmarkEnd w:id="126"/>
      <w:bookmarkEnd w:id="127"/>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NHT (or its designated agent) may require System Impact Studies for the purpose of determining the feasibility of providing Transmission Service under this Tariff.  All System Impact Studies will be coordinated with the Control Area Operator and completed using the same method employed by NHT to provide Transmission Service to its affiliated customers.  System Impact Studies associated with a request from an Eligible Customer for Interconnection Service shall be performed at the direction of the Control Area Operator pursuant to Schedule 22 of the ISO Tariff for generators with generating capacity of more than 20MW, and Schedule 23 of the ISO Tariff for generators with generating capacity of 20MW or less.   System Impact Studies will be performed by applying NPCC Criteria and the “Reliability Standards of the New England Power Pool,” or its successor, while assuring that NHT’s Native Load Customers and those loads directly interconnected to the Local Network Transmission System that are receiving transmission service can be served economically and reliably.  All of the criteria, standards, and guidelines referenced above are included as part of the annual FERC Form 715 filing.</w:t>
      </w:r>
    </w:p>
    <w:p w:rsidR="003A0A84" w:rsidRPr="00181E4C"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r w:rsidRPr="00181E4C">
        <w:rPr>
          <w:rFonts w:ascii="Times New Roman" w:hAnsi="Times New Roman"/>
          <w:b/>
          <w:sz w:val="22"/>
          <w:szCs w:val="22"/>
        </w:rPr>
        <w:lastRenderedPageBreak/>
        <w:t>ATTACHMENTS E AND F</w:t>
      </w:r>
    </w:p>
    <w:p w:rsidR="003A0A84" w:rsidRPr="00181E4C" w:rsidRDefault="003A0A84" w:rsidP="003A0A84">
      <w:pPr>
        <w:spacing w:line="360" w:lineRule="auto"/>
        <w:jc w:val="center"/>
        <w:rPr>
          <w:rFonts w:ascii="Times New Roman" w:hAnsi="Times New Roman"/>
          <w:b/>
          <w:sz w:val="22"/>
          <w:szCs w:val="22"/>
        </w:rPr>
      </w:pPr>
    </w:p>
    <w:p w:rsidR="003A0A84" w:rsidRPr="00181E4C" w:rsidRDefault="00AF27BD" w:rsidP="003A0A84">
      <w:pPr>
        <w:spacing w:line="360" w:lineRule="auto"/>
        <w:jc w:val="center"/>
        <w:rPr>
          <w:rFonts w:ascii="Times New Roman" w:hAnsi="Times New Roman"/>
          <w:b/>
          <w:sz w:val="22"/>
          <w:szCs w:val="22"/>
        </w:rPr>
      </w:pPr>
      <w:r w:rsidRPr="00181E4C">
        <w:rPr>
          <w:rFonts w:ascii="Times New Roman" w:hAnsi="Times New Roman"/>
          <w:b/>
          <w:sz w:val="22"/>
          <w:szCs w:val="22"/>
        </w:rPr>
        <w:t>[RESERVED FOR FUTURE USE]</w:t>
      </w:r>
    </w:p>
    <w:p w:rsidR="003A0A84" w:rsidRPr="00181E4C"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bookmarkStart w:id="128" w:name="_Toc74632297"/>
      <w:r w:rsidRPr="00181E4C">
        <w:rPr>
          <w:rFonts w:ascii="Times New Roman" w:hAnsi="Times New Roman"/>
          <w:b/>
          <w:sz w:val="22"/>
          <w:szCs w:val="22"/>
        </w:rPr>
        <w:lastRenderedPageBreak/>
        <w:t>ATTACHMENT G</w:t>
      </w:r>
      <w:bookmarkEnd w:id="128"/>
    </w:p>
    <w:p w:rsidR="003A0A84" w:rsidRPr="00181E4C" w:rsidRDefault="003A0A84" w:rsidP="003A0A84">
      <w:pPr>
        <w:spacing w:line="360" w:lineRule="auto"/>
        <w:jc w:val="center"/>
        <w:rPr>
          <w:rFonts w:ascii="Times New Roman" w:hAnsi="Times New Roman"/>
          <w:b/>
          <w:sz w:val="22"/>
          <w:szCs w:val="22"/>
        </w:rPr>
      </w:pPr>
    </w:p>
    <w:p w:rsidR="003A0A84" w:rsidRPr="00181E4C" w:rsidRDefault="00AF27BD" w:rsidP="003A0A84">
      <w:pPr>
        <w:spacing w:line="360" w:lineRule="auto"/>
        <w:jc w:val="center"/>
        <w:rPr>
          <w:rFonts w:ascii="Times New Roman" w:hAnsi="Times New Roman"/>
          <w:b/>
          <w:sz w:val="22"/>
          <w:szCs w:val="22"/>
        </w:rPr>
      </w:pPr>
      <w:bookmarkStart w:id="129" w:name="_Toc74632298"/>
      <w:r w:rsidRPr="00181E4C">
        <w:rPr>
          <w:rFonts w:ascii="Times New Roman" w:hAnsi="Times New Roman"/>
          <w:b/>
          <w:sz w:val="22"/>
          <w:szCs w:val="22"/>
        </w:rPr>
        <w:t>FORMULA FOR CALCULATING ANNUAL WHOLESALE TRANSMISSION REVENUE REQUIREMENTS</w:t>
      </w:r>
      <w:bookmarkEnd w:id="129"/>
    </w:p>
    <w:p w:rsidR="003A0A84" w:rsidRPr="00181E4C" w:rsidRDefault="00AF27BD" w:rsidP="003A0A84">
      <w:pPr>
        <w:spacing w:line="360" w:lineRule="auto"/>
        <w:jc w:val="center"/>
        <w:rPr>
          <w:rFonts w:ascii="Times New Roman" w:hAnsi="Times New Roman"/>
          <w:b/>
          <w:sz w:val="22"/>
          <w:szCs w:val="22"/>
        </w:rPr>
      </w:pPr>
      <w:r w:rsidRPr="00181E4C">
        <w:rPr>
          <w:rFonts w:ascii="Times New Roman" w:hAnsi="Times New Roman"/>
          <w:b/>
          <w:sz w:val="22"/>
          <w:szCs w:val="22"/>
        </w:rPr>
        <w:t>UNDER NEW HAMPSHIRE TRANSMISSION LLC’S SCHEDULE 21</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This formula sets forth the details for determining each year’s Annual Transmission Revenue Requirement for New Hampshire Transmission, LLC (“NHT”).  The Transmission Revenue Requirement reflects NHT’s cost to own, operate and maintain the transmission facilities used for providing Open Access Transmission Service to wholesale transmission customers in the New England Control Area under this Schedule 21-NHT and the OATT.  The Transmission Revenue Requirement will be an annual formula rate calculation. Initially, cost data reflecting costs as incurred by NHT’S Affiliate, FPL-NED, for owning, operating and maintaining the transmission facilities located in the New England Control Area for </w:t>
      </w:r>
      <w:smartTag w:uri="urn:schemas-microsoft-com:office:smarttags" w:element="date">
        <w:smartTagPr>
          <w:attr w:name="Day" w:val="1"/>
          <w:attr w:name="Month" w:val="1"/>
          <w:attr w:name="Year" w:val="2009"/>
          <w:attr w:name="ls" w:val="trans"/>
        </w:smartTagPr>
        <w:r w:rsidRPr="001448F1">
          <w:rPr>
            <w:rFonts w:ascii="Times New Roman" w:hAnsi="Times New Roman"/>
            <w:sz w:val="22"/>
            <w:szCs w:val="22"/>
          </w:rPr>
          <w:t>January 1, 2009</w:t>
        </w:r>
      </w:smartTag>
      <w:r w:rsidRPr="001448F1">
        <w:rPr>
          <w:rFonts w:ascii="Times New Roman" w:hAnsi="Times New Roman"/>
          <w:sz w:val="22"/>
          <w:szCs w:val="22"/>
        </w:rPr>
        <w:t xml:space="preserve"> through </w:t>
      </w:r>
      <w:smartTag w:uri="urn:schemas-microsoft-com:office:smarttags" w:element="date">
        <w:smartTagPr>
          <w:attr w:name="Day" w:val="31"/>
          <w:attr w:name="Month" w:val="5"/>
          <w:attr w:name="Year" w:val="2010"/>
          <w:attr w:name="ls" w:val="trans"/>
        </w:smartTagPr>
        <w:r w:rsidRPr="001448F1">
          <w:rPr>
            <w:rFonts w:ascii="Times New Roman" w:hAnsi="Times New Roman"/>
            <w:sz w:val="22"/>
            <w:szCs w:val="22"/>
          </w:rPr>
          <w:t>May 31, 2010</w:t>
        </w:r>
      </w:smartTag>
      <w:r w:rsidRPr="001448F1">
        <w:rPr>
          <w:rFonts w:ascii="Times New Roman" w:hAnsi="Times New Roman"/>
          <w:sz w:val="22"/>
          <w:szCs w:val="22"/>
        </w:rPr>
        <w:t xml:space="preserve"> shall be used, and NHT’s costs will be used for </w:t>
      </w:r>
      <w:smartTag w:uri="urn:schemas-microsoft-com:office:smarttags" w:element="date">
        <w:smartTagPr>
          <w:attr w:name="Day" w:val="1"/>
          <w:attr w:name="Month" w:val="6"/>
          <w:attr w:name="Year" w:val="2010"/>
          <w:attr w:name="ls" w:val="trans"/>
        </w:smartTagPr>
        <w:r w:rsidRPr="001448F1">
          <w:rPr>
            <w:rFonts w:ascii="Times New Roman" w:hAnsi="Times New Roman"/>
            <w:sz w:val="22"/>
            <w:szCs w:val="22"/>
          </w:rPr>
          <w:t>June 1, 2010</w:t>
        </w:r>
      </w:smartTag>
      <w:r w:rsidRPr="001448F1">
        <w:rPr>
          <w:rFonts w:ascii="Times New Roman" w:hAnsi="Times New Roman"/>
          <w:sz w:val="22"/>
          <w:szCs w:val="22"/>
        </w:rPr>
        <w:t xml:space="preserve"> through </w:t>
      </w:r>
      <w:smartTag w:uri="urn:schemas-microsoft-com:office:smarttags" w:element="date">
        <w:smartTagPr>
          <w:attr w:name="Day" w:val="31"/>
          <w:attr w:name="Month" w:val="12"/>
          <w:attr w:name="Year" w:val="2010"/>
          <w:attr w:name="ls" w:val="trans"/>
        </w:smartTagPr>
        <w:r w:rsidRPr="001448F1">
          <w:rPr>
            <w:rFonts w:ascii="Times New Roman" w:hAnsi="Times New Roman"/>
            <w:sz w:val="22"/>
            <w:szCs w:val="22"/>
          </w:rPr>
          <w:t>December 31, 2010</w:t>
        </w:r>
      </w:smartTag>
      <w:r w:rsidRPr="001448F1">
        <w:rPr>
          <w:rFonts w:ascii="Times New Roman" w:hAnsi="Times New Roman"/>
          <w:sz w:val="22"/>
          <w:szCs w:val="22"/>
        </w:rPr>
        <w:t>. Thereafter, NHT’s ATRR will be updated each June 1, based on NHT’s costs incurred during the previous calendar year as recorded in NHT’s FERC Form 1, data, and based on actual data in lieu of allocated data, if specifically identified in FERC Form 1, using end-of-year balances for each rate base item, as further set forth below.</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Notwithstanding the aforementioned, until such time as FPL-NED has completed the transfer of the transmission facilities to NHT for which this Schedule 21-NHT pertains, NHT’s ATRR shall continue to be based on the cost incurred by FPL-NED for owning, operating and maintaining the transmission facilities located in the New England Control Area. As such, all references to costs, expenses and investments attributable to NHT contained in this formula, shall be deemed to refer to costs, expenses and investments attributable to NHT or FPL-NED, as applicable, to coincide with the date of such transfer. To facilitate the use of FPL-NED’s costs, expenses and investments for the purpose of deriving NHT’s ATRR pursuant to this Attachment G, all such FPL-NED costs used in the determination of NHT’s ATRR shall be recorded in a format consistent with the FERC Uniform System of Accounts.</w:t>
      </w:r>
    </w:p>
    <w:p w:rsidR="003A0A84" w:rsidRPr="001448F1" w:rsidRDefault="003A0A84" w:rsidP="003A0A84">
      <w:pPr>
        <w:spacing w:line="360" w:lineRule="auto"/>
        <w:rPr>
          <w:rFonts w:ascii="Times New Roman" w:hAnsi="Times New Roman"/>
          <w:sz w:val="22"/>
          <w:szCs w:val="22"/>
        </w:rPr>
      </w:pPr>
    </w:p>
    <w:p w:rsidR="003A0A84" w:rsidRPr="00181E4C" w:rsidRDefault="00AF27BD" w:rsidP="003A0A84">
      <w:pPr>
        <w:spacing w:line="360" w:lineRule="auto"/>
        <w:rPr>
          <w:rFonts w:ascii="Times New Roman" w:hAnsi="Times New Roman"/>
          <w:b/>
          <w:sz w:val="22"/>
          <w:szCs w:val="22"/>
        </w:rPr>
      </w:pPr>
      <w:r w:rsidRPr="00181E4C">
        <w:rPr>
          <w:rFonts w:ascii="Times New Roman" w:hAnsi="Times New Roman"/>
          <w:b/>
          <w:sz w:val="22"/>
          <w:szCs w:val="22"/>
        </w:rPr>
        <w:t>I.</w:t>
      </w:r>
      <w:r w:rsidRPr="00181E4C">
        <w:rPr>
          <w:rFonts w:ascii="Times New Roman" w:hAnsi="Times New Roman"/>
          <w:b/>
          <w:sz w:val="22"/>
          <w:szCs w:val="22"/>
        </w:rPr>
        <w:tab/>
        <w:t>DEFINITIONS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ab/>
        <w:t>Capitalized terms not otherwise defined in Section 1 of this Schedule 21- NHT have the following definitions:</w:t>
      </w:r>
    </w:p>
    <w:p w:rsidR="003A0A84" w:rsidRPr="001448F1" w:rsidRDefault="003A0A84" w:rsidP="003A0A84">
      <w:pPr>
        <w:spacing w:line="360" w:lineRule="auto"/>
        <w:rPr>
          <w:rFonts w:ascii="Times New Roman" w:hAnsi="Times New Roman"/>
          <w:sz w:val="22"/>
          <w:szCs w:val="22"/>
        </w:rPr>
      </w:pPr>
    </w:p>
    <w:p w:rsidR="003A0A84" w:rsidRPr="00181E4C" w:rsidRDefault="00AF27BD" w:rsidP="003A0A84">
      <w:pPr>
        <w:spacing w:line="360" w:lineRule="auto"/>
        <w:rPr>
          <w:rFonts w:ascii="Times New Roman" w:hAnsi="Times New Roman"/>
          <w:b/>
          <w:sz w:val="22"/>
          <w:szCs w:val="22"/>
        </w:rPr>
      </w:pPr>
      <w:r w:rsidRPr="00181E4C">
        <w:rPr>
          <w:rFonts w:ascii="Times New Roman" w:hAnsi="Times New Roman"/>
          <w:b/>
          <w:sz w:val="22"/>
          <w:szCs w:val="22"/>
        </w:rPr>
        <w:lastRenderedPageBreak/>
        <w:t xml:space="preserve">A. </w:t>
      </w:r>
      <w:r w:rsidRPr="00181E4C">
        <w:rPr>
          <w:rFonts w:ascii="Times New Roman" w:hAnsi="Times New Roman"/>
          <w:b/>
          <w:sz w:val="22"/>
          <w:szCs w:val="22"/>
        </w:rPr>
        <w:tab/>
        <w:t>ALLOCATION FACTORS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181E4C">
        <w:rPr>
          <w:rFonts w:ascii="Times New Roman" w:hAnsi="Times New Roman"/>
          <w:b/>
          <w:sz w:val="22"/>
          <w:szCs w:val="22"/>
        </w:rPr>
        <w:t>1.</w:t>
      </w:r>
      <w:r w:rsidRPr="00181E4C">
        <w:rPr>
          <w:rFonts w:ascii="Times New Roman" w:hAnsi="Times New Roman"/>
          <w:b/>
          <w:sz w:val="22"/>
          <w:szCs w:val="22"/>
        </w:rPr>
        <w:tab/>
        <w:t>Transmission Wages and Salaries Allocation Factor</w:t>
      </w:r>
      <w:r w:rsidRPr="001448F1">
        <w:rPr>
          <w:rFonts w:ascii="Times New Roman" w:hAnsi="Times New Roman"/>
          <w:sz w:val="22"/>
          <w:szCs w:val="22"/>
        </w:rPr>
        <w:t xml:space="preserve"> shall equal the ratio of NHT’s Transmission-related direct wages and salaries not otherwise assigned under this tariff, to NHT’s total direct wages and salaries excluding administrative and general wages and salaries.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2. </w:t>
      </w:r>
      <w:r w:rsidRPr="00077BE8">
        <w:rPr>
          <w:rFonts w:ascii="Times New Roman" w:hAnsi="Times New Roman"/>
          <w:b/>
          <w:sz w:val="22"/>
          <w:szCs w:val="22"/>
        </w:rPr>
        <w:tab/>
        <w:t>Transmission Plant Allocation Factor</w:t>
      </w:r>
      <w:r w:rsidRPr="001448F1">
        <w:rPr>
          <w:rFonts w:ascii="Times New Roman" w:hAnsi="Times New Roman"/>
          <w:sz w:val="22"/>
          <w:szCs w:val="22"/>
        </w:rPr>
        <w:t xml:space="preserve"> shall be designed to ensure that no costs associated with the Seabrook Nuclear Generating Station properly functionalized as production costs or expenses are included in NHT’s ATRR, and therefore, prior to the Asset Transfer Date, shall equal the ratio of the sum of (1) Total Investment in Transmission Plant attributable to NHT including the investment in the Generator Step-up Transformer, recorded in such Transmission Plant accounts, and (2) the balance of Transmission Related General and Intangible Plant attributable to NHT, to Total Plant in Service attributable to NHT, including the investment in the Generator Step-up Transformer. After the Asset Transfer Date, this Transmission Plant Allocation Factor shall be 1.00</w:t>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 </w:t>
      </w: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3. </w:t>
      </w:r>
      <w:r w:rsidRPr="00077BE8">
        <w:rPr>
          <w:rFonts w:ascii="Times New Roman" w:hAnsi="Times New Roman"/>
          <w:b/>
          <w:sz w:val="22"/>
          <w:szCs w:val="22"/>
        </w:rPr>
        <w:tab/>
        <w:t>LNS Plant Allocation Factor</w:t>
      </w:r>
      <w:r w:rsidRPr="001448F1">
        <w:rPr>
          <w:rFonts w:ascii="Times New Roman" w:hAnsi="Times New Roman"/>
          <w:sz w:val="22"/>
          <w:szCs w:val="22"/>
        </w:rPr>
        <w:t xml:space="preserve"> shall be designed to ensure that no costs associated with the Generator Step-up Transformer are included in NHT’s ATRR and shall equal the ratio of the sum of Total Investment in Transmission Plant attributable to NHT, excluding the investment in the Generator Step-up Transformers, and the balance of Transmission Related General and Intangible Plant attributable to NHT, to Total Transmission Plant in Service attributable to NHT, including the investment in the Generator Step-up Transformer. </w:t>
      </w:r>
    </w:p>
    <w:p w:rsidR="003A0A84" w:rsidRPr="001448F1" w:rsidRDefault="003A0A84" w:rsidP="003A0A84">
      <w:pPr>
        <w:spacing w:line="360" w:lineRule="auto"/>
        <w:rPr>
          <w:rFonts w:ascii="Times New Roman" w:hAnsi="Times New Roman"/>
          <w:sz w:val="22"/>
          <w:szCs w:val="22"/>
        </w:rPr>
      </w:pPr>
    </w:p>
    <w:p w:rsidR="003A0A84" w:rsidRPr="00077BE8" w:rsidRDefault="00AF27BD" w:rsidP="003A0A84">
      <w:pPr>
        <w:spacing w:line="360" w:lineRule="auto"/>
        <w:rPr>
          <w:rFonts w:ascii="Times New Roman" w:hAnsi="Times New Roman"/>
          <w:b/>
          <w:sz w:val="22"/>
          <w:szCs w:val="22"/>
        </w:rPr>
      </w:pPr>
      <w:r w:rsidRPr="00077BE8">
        <w:rPr>
          <w:rFonts w:ascii="Times New Roman" w:hAnsi="Times New Roman"/>
          <w:b/>
          <w:sz w:val="22"/>
          <w:szCs w:val="22"/>
        </w:rPr>
        <w:t>B.</w:t>
      </w:r>
      <w:r w:rsidRPr="00077BE8">
        <w:rPr>
          <w:rFonts w:ascii="Times New Roman" w:hAnsi="Times New Roman"/>
          <w:b/>
          <w:sz w:val="22"/>
          <w:szCs w:val="22"/>
        </w:rPr>
        <w:tab/>
        <w:t>GENERAL TERMS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 </w:t>
      </w:r>
      <w:r w:rsidRPr="00077BE8">
        <w:rPr>
          <w:rFonts w:ascii="Times New Roman" w:hAnsi="Times New Roman"/>
          <w:b/>
          <w:sz w:val="22"/>
          <w:szCs w:val="22"/>
        </w:rPr>
        <w:tab/>
        <w:t xml:space="preserve">Administrative and General Expense </w:t>
      </w:r>
      <w:r w:rsidRPr="001448F1">
        <w:rPr>
          <w:rFonts w:ascii="Times New Roman" w:hAnsi="Times New Roman"/>
          <w:sz w:val="22"/>
          <w:szCs w:val="22"/>
        </w:rPr>
        <w:t xml:space="preserve"> shall equal expenses attributable to NHT as recorded in FERC Account  Nos. 920-935, excluding Property Insurance recorded in FERC Account No. 924, Regulatory Commission Expense recorded in FERC Account No. 928 and General Advertising Expense recorded in FERC Account No. 930.1.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sectPr w:rsidR="003A0A84" w:rsidRPr="001448F1" w:rsidSect="003A0A8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547" w:gutter="0"/>
          <w:cols w:space="720"/>
          <w:docGrid w:linePitch="326"/>
        </w:sectPr>
      </w:pPr>
      <w:r w:rsidRPr="00077BE8">
        <w:rPr>
          <w:rFonts w:ascii="Times New Roman" w:hAnsi="Times New Roman"/>
          <w:b/>
          <w:sz w:val="22"/>
          <w:szCs w:val="22"/>
        </w:rPr>
        <w:t>2.</w:t>
      </w:r>
      <w:r w:rsidRPr="00077BE8">
        <w:rPr>
          <w:rFonts w:ascii="Times New Roman" w:hAnsi="Times New Roman"/>
          <w:b/>
          <w:sz w:val="22"/>
          <w:szCs w:val="22"/>
        </w:rPr>
        <w:tab/>
        <w:t>Amortization of Investment Tax Credits</w:t>
      </w:r>
      <w:r w:rsidRPr="001448F1">
        <w:rPr>
          <w:rFonts w:ascii="Times New Roman" w:hAnsi="Times New Roman"/>
          <w:sz w:val="22"/>
          <w:szCs w:val="22"/>
        </w:rPr>
        <w:t xml:space="preserve"> shall equal any credits attributable to </w:t>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lastRenderedPageBreak/>
        <w:t>NHT as recorded in FERC Account No. 411.4.</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3. </w:t>
      </w:r>
      <w:r w:rsidRPr="00077BE8">
        <w:rPr>
          <w:rFonts w:ascii="Times New Roman" w:hAnsi="Times New Roman"/>
          <w:b/>
          <w:sz w:val="22"/>
          <w:szCs w:val="22"/>
        </w:rPr>
        <w:tab/>
        <w:t>Asset Transfer Date</w:t>
      </w:r>
      <w:r w:rsidRPr="001448F1">
        <w:rPr>
          <w:rFonts w:ascii="Times New Roman" w:hAnsi="Times New Roman"/>
          <w:sz w:val="22"/>
          <w:szCs w:val="22"/>
        </w:rPr>
        <w:t xml:space="preserve"> shall be the date upon which FPL-NED transfers its ownership in the Seabrook Transmission Substation to NHT.</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4. </w:t>
      </w:r>
      <w:r w:rsidRPr="00077BE8">
        <w:rPr>
          <w:rFonts w:ascii="Times New Roman" w:hAnsi="Times New Roman"/>
          <w:b/>
          <w:sz w:val="22"/>
          <w:szCs w:val="22"/>
        </w:rPr>
        <w:tab/>
        <w:t>Depreciation Expense for Transmission Plant</w:t>
      </w:r>
      <w:r w:rsidRPr="001448F1">
        <w:rPr>
          <w:rFonts w:ascii="Times New Roman" w:hAnsi="Times New Roman"/>
          <w:sz w:val="22"/>
          <w:szCs w:val="22"/>
        </w:rPr>
        <w:t xml:space="preserve"> shall equal the transmission depreciation expense attributable to NHT as recorded in FERC Account No. 403.  Annual Depreciation Expense for Transmission Plant shall be based on an annual rate of 3.12 percent per year for its initial year’s revenue requirements and any change shall require Commission acceptance or approval.</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5. </w:t>
      </w:r>
      <w:r w:rsidRPr="00077BE8">
        <w:rPr>
          <w:rFonts w:ascii="Times New Roman" w:hAnsi="Times New Roman"/>
          <w:b/>
          <w:sz w:val="22"/>
          <w:szCs w:val="22"/>
        </w:rPr>
        <w:tab/>
        <w:t>Generator Step-up Transformers</w:t>
      </w:r>
      <w:r w:rsidRPr="001448F1">
        <w:rPr>
          <w:rFonts w:ascii="Times New Roman" w:hAnsi="Times New Roman"/>
          <w:sz w:val="22"/>
          <w:szCs w:val="22"/>
        </w:rPr>
        <w:t xml:space="preserve"> shall equal the investment in the generator step-up transformers used to interconnect the Seabrook Nuclear Generating Station to the Local Network Transmission System.  Notwithstanding the transfer of said Generator Step-up Transformers from FPL-NED to NHT reflecting that a contribution of capital was paid to FPL-NED by NextEra Energy Seabrook, LLC (formerly FPL Energy Seabrook, LLC) resulting in NHT recording such at zero cost net book basis, for purposes of deriving the Transmission Plant Allocation Factor and the LNS Plant Allocation Factor, the investment in the Generator Step-up Transformers shall be equal to the original cost of said Generator Step-up Transformers as recorded by NextEra Seabrook, LLC and shall reflect any changes in that investment (i.e. retirements, replacements, additions, etc.) on a going-forward basis. Any future additional investment in the Generator Step-up Transformers shall be paid for as a direct assignment charge to NextEra Seabrook, LLC or its successors such that the net investment basis as recorded by NHT shall continue to be zero.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6. </w:t>
      </w:r>
      <w:r w:rsidRPr="00077BE8">
        <w:rPr>
          <w:rFonts w:ascii="Times New Roman" w:hAnsi="Times New Roman"/>
          <w:b/>
          <w:sz w:val="22"/>
          <w:szCs w:val="22"/>
        </w:rPr>
        <w:tab/>
        <w:t>Intangible and General Plant</w:t>
      </w:r>
      <w:r w:rsidRPr="001448F1">
        <w:rPr>
          <w:rFonts w:ascii="Times New Roman" w:hAnsi="Times New Roman"/>
          <w:sz w:val="22"/>
          <w:szCs w:val="22"/>
        </w:rPr>
        <w:t xml:space="preserve"> shall equal the gross plant balances attributable to NHT as recorded in FERC Account Nos. 301-303 and 389-399.</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7. </w:t>
      </w:r>
      <w:r w:rsidRPr="00077BE8">
        <w:rPr>
          <w:rFonts w:ascii="Times New Roman" w:hAnsi="Times New Roman"/>
          <w:b/>
          <w:sz w:val="22"/>
          <w:szCs w:val="22"/>
        </w:rPr>
        <w:tab/>
        <w:t>Intangible and General Plant Amortization and Depreciation Expense</w:t>
      </w:r>
      <w:r w:rsidRPr="001448F1">
        <w:rPr>
          <w:rFonts w:ascii="Times New Roman" w:hAnsi="Times New Roman"/>
          <w:sz w:val="22"/>
          <w:szCs w:val="22"/>
        </w:rPr>
        <w:t xml:space="preserve"> shall equal any intangible and general plant amortization and depreciation expenses attributable to NHT as recorded in FERC Account Nos. 404 and 403.</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8. </w:t>
      </w:r>
      <w:r w:rsidRPr="00077BE8">
        <w:rPr>
          <w:rFonts w:ascii="Times New Roman" w:hAnsi="Times New Roman"/>
          <w:b/>
          <w:sz w:val="22"/>
          <w:szCs w:val="22"/>
        </w:rPr>
        <w:tab/>
        <w:t>Intangible and General Plant Depreciation Reserve</w:t>
      </w:r>
      <w:r w:rsidRPr="001448F1">
        <w:rPr>
          <w:rFonts w:ascii="Times New Roman" w:hAnsi="Times New Roman"/>
          <w:sz w:val="22"/>
          <w:szCs w:val="22"/>
        </w:rPr>
        <w:t xml:space="preserve"> shall equal any intangible and general plant reserve balances attributable to NHT as recorded in FERC Account Nos. 111 and 108.</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9. </w:t>
      </w:r>
      <w:r w:rsidRPr="00077BE8">
        <w:rPr>
          <w:rFonts w:ascii="Times New Roman" w:hAnsi="Times New Roman"/>
          <w:b/>
          <w:sz w:val="22"/>
          <w:szCs w:val="22"/>
        </w:rPr>
        <w:tab/>
        <w:t>Other Regulatory Assets/Liabilities</w:t>
      </w:r>
      <w:r w:rsidRPr="001448F1">
        <w:rPr>
          <w:rFonts w:ascii="Times New Roman" w:hAnsi="Times New Roman"/>
          <w:sz w:val="22"/>
          <w:szCs w:val="22"/>
        </w:rPr>
        <w:t xml:space="preserve"> - FAS 106 shall equal the net of FAS106 balance attributable to NHT as recorded in FERC Account 182.3 and any FAS 106 balance attributable to NHT as recorded in FERC Account No. 254.</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10. </w:t>
      </w:r>
      <w:r w:rsidRPr="00077BE8">
        <w:rPr>
          <w:rFonts w:ascii="Times New Roman" w:hAnsi="Times New Roman"/>
          <w:b/>
          <w:sz w:val="22"/>
          <w:szCs w:val="22"/>
        </w:rPr>
        <w:tab/>
        <w:t>Other Regulatory Assets/Liabilities</w:t>
      </w:r>
      <w:r w:rsidRPr="001448F1">
        <w:rPr>
          <w:rFonts w:ascii="Times New Roman" w:hAnsi="Times New Roman"/>
          <w:sz w:val="22"/>
          <w:szCs w:val="22"/>
        </w:rPr>
        <w:t xml:space="preserve"> - FAS 109 shall equal the net of FAS 109 balance in FERC Account No. 182.3 and any FAS 109 balance in FERC Account 254 attributable to NHT.</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11. </w:t>
      </w:r>
      <w:r w:rsidRPr="00077BE8">
        <w:rPr>
          <w:rFonts w:ascii="Times New Roman" w:hAnsi="Times New Roman"/>
          <w:b/>
          <w:sz w:val="22"/>
          <w:szCs w:val="22"/>
        </w:rPr>
        <w:tab/>
        <w:t>Payroll Taxes</w:t>
      </w:r>
      <w:r w:rsidRPr="001448F1">
        <w:rPr>
          <w:rFonts w:ascii="Times New Roman" w:hAnsi="Times New Roman"/>
          <w:sz w:val="22"/>
          <w:szCs w:val="22"/>
        </w:rPr>
        <w:t xml:space="preserve"> shall equal those payroll expenses attributable to NHT as recorded in FERC Account Nos. 408.1.</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12. </w:t>
      </w:r>
      <w:r w:rsidRPr="00077BE8">
        <w:rPr>
          <w:rFonts w:ascii="Times New Roman" w:hAnsi="Times New Roman"/>
          <w:b/>
          <w:sz w:val="22"/>
          <w:szCs w:val="22"/>
        </w:rPr>
        <w:tab/>
        <w:t>Plant Held for Future Use</w:t>
      </w:r>
      <w:r w:rsidRPr="001448F1">
        <w:rPr>
          <w:rFonts w:ascii="Times New Roman" w:hAnsi="Times New Roman"/>
          <w:sz w:val="22"/>
          <w:szCs w:val="22"/>
        </w:rPr>
        <w:t xml:space="preserve"> shall equal the balance recorded in FERC Account No.105 attributable to NHT.</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13.</w:t>
      </w:r>
      <w:r w:rsidRPr="00077BE8">
        <w:rPr>
          <w:rFonts w:ascii="Times New Roman" w:hAnsi="Times New Roman"/>
          <w:b/>
          <w:sz w:val="22"/>
          <w:szCs w:val="22"/>
        </w:rPr>
        <w:tab/>
        <w:t>Prepayments</w:t>
      </w:r>
      <w:r w:rsidRPr="001448F1">
        <w:rPr>
          <w:rFonts w:ascii="Times New Roman" w:hAnsi="Times New Roman"/>
          <w:sz w:val="22"/>
          <w:szCs w:val="22"/>
        </w:rPr>
        <w:t xml:space="preserve"> shall equal any prepayment balance attributable to NHT as recorded in FERC Account No. 165.</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14. </w:t>
      </w:r>
      <w:r w:rsidRPr="00077BE8">
        <w:rPr>
          <w:rFonts w:ascii="Times New Roman" w:hAnsi="Times New Roman"/>
          <w:b/>
          <w:sz w:val="22"/>
          <w:szCs w:val="22"/>
        </w:rPr>
        <w:tab/>
        <w:t>Property Insurance</w:t>
      </w:r>
      <w:r w:rsidRPr="001448F1">
        <w:rPr>
          <w:rFonts w:ascii="Times New Roman" w:hAnsi="Times New Roman"/>
          <w:sz w:val="22"/>
          <w:szCs w:val="22"/>
        </w:rPr>
        <w:t xml:space="preserve"> shall equal expenses attributable to NHT as recorded in FERC Account No. 924.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15. </w:t>
      </w:r>
      <w:r w:rsidRPr="00077BE8">
        <w:rPr>
          <w:rFonts w:ascii="Times New Roman" w:hAnsi="Times New Roman"/>
          <w:b/>
          <w:sz w:val="22"/>
          <w:szCs w:val="22"/>
        </w:rPr>
        <w:tab/>
        <w:t>Total Accumulated Deferred Income Taxes</w:t>
      </w:r>
      <w:r w:rsidRPr="001448F1">
        <w:rPr>
          <w:rFonts w:ascii="Times New Roman" w:hAnsi="Times New Roman"/>
          <w:sz w:val="22"/>
          <w:szCs w:val="22"/>
        </w:rPr>
        <w:t xml:space="preserve"> shall equal the net of deferred tax balance attributable to NHT as recorded in FERC Account Nos. 281-283 and the deferred tax balance attributable to NHT as recorded in FERC Account No. 190.</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16. </w:t>
      </w:r>
      <w:r w:rsidRPr="00077BE8">
        <w:rPr>
          <w:rFonts w:ascii="Times New Roman" w:hAnsi="Times New Roman"/>
          <w:b/>
          <w:sz w:val="22"/>
          <w:szCs w:val="22"/>
        </w:rPr>
        <w:tab/>
        <w:t>Total Municipal Tax Expense</w:t>
      </w:r>
      <w:r w:rsidRPr="001448F1">
        <w:rPr>
          <w:rFonts w:ascii="Times New Roman" w:hAnsi="Times New Roman"/>
          <w:sz w:val="22"/>
          <w:szCs w:val="22"/>
        </w:rPr>
        <w:t xml:space="preserve"> shall equal the municipal tax expenses attributable to NHT as recorded in FERC Account No. 408.1.</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17. </w:t>
      </w:r>
      <w:r w:rsidRPr="00077BE8">
        <w:rPr>
          <w:rFonts w:ascii="Times New Roman" w:hAnsi="Times New Roman"/>
          <w:b/>
          <w:sz w:val="22"/>
          <w:szCs w:val="22"/>
        </w:rPr>
        <w:tab/>
        <w:t>Total Plant in Service</w:t>
      </w:r>
      <w:r w:rsidRPr="001448F1">
        <w:rPr>
          <w:rFonts w:ascii="Times New Roman" w:hAnsi="Times New Roman"/>
          <w:sz w:val="22"/>
          <w:szCs w:val="22"/>
        </w:rPr>
        <w:t xml:space="preserve"> shall equal the total gross plant balance attributable to NHT as recorded in FERC Account Nos. 301-399.</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 xml:space="preserve">18. </w:t>
      </w:r>
      <w:r w:rsidRPr="00077BE8">
        <w:rPr>
          <w:rFonts w:ascii="Times New Roman" w:hAnsi="Times New Roman"/>
          <w:b/>
          <w:sz w:val="22"/>
          <w:szCs w:val="22"/>
        </w:rPr>
        <w:tab/>
        <w:t>Total Transmission Depreciation Reserve</w:t>
      </w:r>
      <w:r w:rsidRPr="001448F1">
        <w:rPr>
          <w:rFonts w:ascii="Times New Roman" w:hAnsi="Times New Roman"/>
          <w:sz w:val="22"/>
          <w:szCs w:val="22"/>
        </w:rPr>
        <w:t xml:space="preserve"> shall equal the transmission reserve balance attributable to NHT as recorded in FERC Account 108</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lastRenderedPageBreak/>
        <w:t>19.</w:t>
      </w:r>
      <w:r w:rsidRPr="00077BE8">
        <w:rPr>
          <w:rFonts w:ascii="Times New Roman" w:hAnsi="Times New Roman"/>
          <w:b/>
          <w:sz w:val="22"/>
          <w:szCs w:val="22"/>
        </w:rPr>
        <w:tab/>
        <w:t>Transmission Operation and Maintenance Expense</w:t>
      </w:r>
      <w:r w:rsidRPr="001448F1">
        <w:rPr>
          <w:rFonts w:ascii="Times New Roman" w:hAnsi="Times New Roman"/>
          <w:sz w:val="22"/>
          <w:szCs w:val="22"/>
        </w:rPr>
        <w:t xml:space="preserve"> shall equal the expenses attributable to NHT as recorded in FERC Account Nos. 560 through 576.5, excluding those expenses for Load Dispatching in FERC Account 561 and excluding any amounts recorded in FERC Account No. 565 relating solely to NEPOOL &amp; ISO Expense, and amounts recorded in FERC Account Nos. 566-576.5, excluding any expenses in support of other utilities’ transmission facilities, i.e. Transmission Support Expenses, and excluding any operation and maintenance expenses associated with the Generator Step-up Transformers, which may be included in FERC Account Nos. 560-576.5.</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20.</w:t>
      </w:r>
      <w:r w:rsidRPr="00077BE8">
        <w:rPr>
          <w:rFonts w:ascii="Times New Roman" w:hAnsi="Times New Roman"/>
          <w:b/>
          <w:sz w:val="22"/>
          <w:szCs w:val="22"/>
        </w:rPr>
        <w:tab/>
        <w:t>Transmission Plant</w:t>
      </w:r>
      <w:r w:rsidRPr="001448F1">
        <w:rPr>
          <w:rFonts w:ascii="Times New Roman" w:hAnsi="Times New Roman"/>
          <w:sz w:val="22"/>
          <w:szCs w:val="22"/>
        </w:rPr>
        <w:t xml:space="preserve"> shall equal the Gross Plant balance attributable to NHT as recorded in FERC Account Nos. 350-359.</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077BE8">
        <w:rPr>
          <w:rFonts w:ascii="Times New Roman" w:hAnsi="Times New Roman"/>
          <w:b/>
          <w:sz w:val="22"/>
          <w:szCs w:val="22"/>
        </w:rPr>
        <w:t>21.</w:t>
      </w:r>
      <w:r w:rsidRPr="00077BE8">
        <w:rPr>
          <w:rFonts w:ascii="Times New Roman" w:hAnsi="Times New Roman"/>
          <w:b/>
          <w:sz w:val="22"/>
          <w:szCs w:val="22"/>
        </w:rPr>
        <w:tab/>
        <w:t>Transmission Plant Materials and Supplies</w:t>
      </w:r>
      <w:r w:rsidRPr="001448F1">
        <w:rPr>
          <w:rFonts w:ascii="Times New Roman" w:hAnsi="Times New Roman"/>
          <w:sz w:val="22"/>
          <w:szCs w:val="22"/>
        </w:rPr>
        <w:t xml:space="preserve"> shall equal the balance as assigned to transmission and that is attributable to NHT, as recorded in FERC Account No. 154.</w:t>
      </w:r>
    </w:p>
    <w:p w:rsidR="003A0A84" w:rsidRPr="001448F1" w:rsidRDefault="003A0A84" w:rsidP="003A0A84">
      <w:pPr>
        <w:spacing w:line="360" w:lineRule="auto"/>
        <w:rPr>
          <w:rFonts w:ascii="Times New Roman" w:hAnsi="Times New Roman"/>
          <w:sz w:val="22"/>
          <w:szCs w:val="22"/>
        </w:rPr>
      </w:pPr>
    </w:p>
    <w:p w:rsidR="003A0A84" w:rsidRPr="00077BE8" w:rsidRDefault="00AF27BD" w:rsidP="003A0A84">
      <w:pPr>
        <w:spacing w:line="360" w:lineRule="auto"/>
        <w:rPr>
          <w:rFonts w:ascii="Times New Roman" w:hAnsi="Times New Roman"/>
          <w:b/>
          <w:sz w:val="22"/>
          <w:szCs w:val="22"/>
        </w:rPr>
      </w:pPr>
      <w:r w:rsidRPr="00077BE8">
        <w:rPr>
          <w:rFonts w:ascii="Times New Roman" w:hAnsi="Times New Roman"/>
          <w:b/>
          <w:sz w:val="22"/>
          <w:szCs w:val="22"/>
        </w:rPr>
        <w:t>II.</w:t>
      </w:r>
      <w:r w:rsidRPr="00077BE8">
        <w:rPr>
          <w:rFonts w:ascii="Times New Roman" w:hAnsi="Times New Roman"/>
          <w:b/>
          <w:sz w:val="22"/>
          <w:szCs w:val="22"/>
        </w:rPr>
        <w:tab/>
        <w:t>CALCULATION OF TRANSMISSION REVENUE REQUIREMENTS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The Transmission Revenue Requirement shall equal the sum of the following cost components attributable to NHT: (A) Investment Return and Associated Income Taxes, plus (B) Transmission Depreciation Expense, plus (C) Transmission Related Amortization of Investment Tax Credits, plus (D) Transmission Related Municipal Tax Expense, plus (E) Transmission Related Payroll Tax Expense, plus (F) Transmission Operation and Maintenance Expense, plus (G) Transmission Related Administrative and General Expenses, plus (H) Transmission Related Regulatory Assessments, plus (I) Transmission Support Expense, plus (J) NEPOOL &amp; ISO Expense minus  (K) Transmission Support Revenue, minus (L) ISO Revenues, minus (M) Other Wheeling Revenue, and minus (N) Transmission Rents Received from Electric Property.</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077BE8">
        <w:rPr>
          <w:rFonts w:ascii="Times New Roman" w:hAnsi="Times New Roman"/>
          <w:b/>
          <w:sz w:val="22"/>
          <w:szCs w:val="22"/>
        </w:rPr>
        <w:t>A.</w:t>
      </w:r>
      <w:r w:rsidRPr="00077BE8">
        <w:rPr>
          <w:rFonts w:ascii="Times New Roman" w:hAnsi="Times New Roman"/>
          <w:b/>
          <w:sz w:val="22"/>
          <w:szCs w:val="22"/>
        </w:rPr>
        <w:tab/>
        <w:t>Investment Return and Associated Income Taxes</w:t>
      </w:r>
      <w:r w:rsidRPr="001448F1">
        <w:rPr>
          <w:rFonts w:ascii="Times New Roman" w:hAnsi="Times New Roman"/>
          <w:sz w:val="22"/>
          <w:szCs w:val="22"/>
        </w:rPr>
        <w:t xml:space="preserve"> shall equal the product of the Transmission Investment Base and the Cost of Capital Rate.</w:t>
      </w:r>
    </w:p>
    <w:p w:rsidR="003A0A84" w:rsidRPr="001448F1" w:rsidRDefault="003A0A84" w:rsidP="003A0A84">
      <w:pPr>
        <w:spacing w:line="360" w:lineRule="auto"/>
        <w:rPr>
          <w:rFonts w:ascii="Times New Roman" w:hAnsi="Times New Roman"/>
          <w:sz w:val="22"/>
          <w:szCs w:val="22"/>
        </w:rPr>
      </w:pPr>
    </w:p>
    <w:p w:rsidR="003A0A84" w:rsidRPr="000A54C9" w:rsidRDefault="00AF27BD" w:rsidP="003A0A84">
      <w:pPr>
        <w:spacing w:line="360" w:lineRule="auto"/>
        <w:ind w:left="720"/>
        <w:rPr>
          <w:rFonts w:ascii="Times New Roman" w:hAnsi="Times New Roman"/>
          <w:b/>
          <w:sz w:val="22"/>
          <w:szCs w:val="22"/>
        </w:rPr>
      </w:pPr>
      <w:r w:rsidRPr="00077BE8">
        <w:rPr>
          <w:rFonts w:ascii="Times New Roman" w:hAnsi="Times New Roman"/>
          <w:b/>
          <w:sz w:val="22"/>
          <w:szCs w:val="22"/>
        </w:rPr>
        <w:t>1.</w:t>
      </w:r>
      <w:r w:rsidRPr="00077BE8">
        <w:rPr>
          <w:rFonts w:ascii="Times New Roman" w:hAnsi="Times New Roman"/>
          <w:b/>
          <w:sz w:val="22"/>
          <w:szCs w:val="22"/>
        </w:rPr>
        <w:tab/>
        <w:t>Transmission Investment Base</w:t>
      </w: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The Transmission Investment Base will be the year end balances of  (a) Transmission Plant, plus (b) Transmission Related Intangible and General Plant, plus (c) Transmission Plant Held for Future Use, less (d) Transmission Related Depreciation Reserve, less (e) Transmission Related </w:t>
      </w:r>
      <w:r w:rsidRPr="001448F1">
        <w:rPr>
          <w:rFonts w:ascii="Times New Roman" w:hAnsi="Times New Roman"/>
          <w:sz w:val="22"/>
          <w:szCs w:val="22"/>
        </w:rPr>
        <w:lastRenderedPageBreak/>
        <w:t>Accumulated Deferred Taxes, plus (f) Other Regulatory Assets/Liabilities, plus (g) Transmission Prepayments, plus (h) Transmission Materials and Supplies, plus (i) Transmission Related Cash Working Capital.</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(a)</w:t>
      </w:r>
      <w:r w:rsidRPr="00077BE8">
        <w:rPr>
          <w:rFonts w:ascii="Times New Roman" w:hAnsi="Times New Roman"/>
          <w:b/>
          <w:sz w:val="22"/>
          <w:szCs w:val="22"/>
        </w:rPr>
        <w:tab/>
        <w:t>Transmission Plant</w:t>
      </w:r>
      <w:r w:rsidRPr="001448F1">
        <w:rPr>
          <w:rFonts w:ascii="Times New Roman" w:hAnsi="Times New Roman"/>
          <w:sz w:val="22"/>
          <w:szCs w:val="22"/>
        </w:rPr>
        <w:t xml:space="preserve"> will equal the balance of the Investment in Transmission Plant attributable to NHT less any investment in the Generator Step-up Transformers.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Transmission Plant balance is $28,195,111.</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(b)</w:t>
      </w:r>
      <w:r w:rsidRPr="00077BE8">
        <w:rPr>
          <w:rFonts w:ascii="Times New Roman" w:hAnsi="Times New Roman"/>
          <w:b/>
          <w:sz w:val="22"/>
          <w:szCs w:val="22"/>
        </w:rPr>
        <w:tab/>
        <w:t>Transmission Related Intangible and General Plant</w:t>
      </w:r>
      <w:r w:rsidRPr="001448F1">
        <w:rPr>
          <w:rFonts w:ascii="Times New Roman" w:hAnsi="Times New Roman"/>
          <w:sz w:val="22"/>
          <w:szCs w:val="22"/>
        </w:rPr>
        <w:t xml:space="preserve"> shall equal the sum of the investment in Intangible and General Plant attributable to NHT multiplied by the Transmission Wages and Salaries Allocation Factor and further multiplied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Transmission Related Intangibles and General Plant Balances are zero.</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(c)</w:t>
      </w:r>
      <w:r w:rsidRPr="00077BE8">
        <w:rPr>
          <w:rFonts w:ascii="Times New Roman" w:hAnsi="Times New Roman"/>
          <w:b/>
          <w:sz w:val="22"/>
          <w:szCs w:val="22"/>
        </w:rPr>
        <w:tab/>
        <w:t>Transmission Plant Held for Future Use</w:t>
      </w:r>
      <w:r w:rsidRPr="001448F1">
        <w:rPr>
          <w:rFonts w:ascii="Times New Roman" w:hAnsi="Times New Roman"/>
          <w:sz w:val="22"/>
          <w:szCs w:val="22"/>
        </w:rPr>
        <w:t xml:space="preserve"> shall equal the balance of Transmission-related Plant Held for Future Use attributable to NHT. To the extent any such amount relating to the Generator Step-up Transformers exist in said balance of Total Plant Held for Future Use, such amounts shall be excluded by further multiplying said balance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the balance of Transmission Plant Held For Future Use is zero.</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(d)</w:t>
      </w:r>
      <w:r w:rsidRPr="00077BE8">
        <w:rPr>
          <w:rFonts w:ascii="Times New Roman" w:hAnsi="Times New Roman"/>
          <w:b/>
          <w:sz w:val="22"/>
          <w:szCs w:val="22"/>
        </w:rPr>
        <w:tab/>
        <w:t>Transmission Related Depreciation Reserve</w:t>
      </w:r>
      <w:r w:rsidRPr="001448F1">
        <w:rPr>
          <w:rFonts w:ascii="Times New Roman" w:hAnsi="Times New Roman"/>
          <w:sz w:val="22"/>
          <w:szCs w:val="22"/>
        </w:rPr>
        <w:t xml:space="preserve"> shall equal the balance of Total Transmission Depreciation Reserve, plus the sum of the balance of Transmission Related Intangible and General Plant Depreciation Reserve, that are attributable to NHT. To the extent any such amount relating to the Generator Step-up Transformers exists in said balance of Total Transmission Depreciation Reserve, such amounts shall be excluded by further multiplying said balance by the LNS Plant Allocation Factor. Transmission Related Intangible and General Plant Depreciation Reserve shall equal the product of Intangible and General Plant Depreciation Reserve attributable to NHT multiplied by the Transmission Wages and Salaries Allocation Factor and further multiplied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xml:space="preserve">, Transmission Related Depreciation Reserve Balance is $8,249,858.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(e)</w:t>
      </w:r>
      <w:r w:rsidRPr="00077BE8">
        <w:rPr>
          <w:rFonts w:ascii="Times New Roman" w:hAnsi="Times New Roman"/>
          <w:b/>
          <w:sz w:val="22"/>
          <w:szCs w:val="22"/>
        </w:rPr>
        <w:tab/>
        <w:t>Transmission Related Accumulated Deferred Taxes</w:t>
      </w:r>
      <w:r w:rsidRPr="001448F1">
        <w:rPr>
          <w:rFonts w:ascii="Times New Roman" w:hAnsi="Times New Roman"/>
          <w:sz w:val="22"/>
          <w:szCs w:val="22"/>
        </w:rPr>
        <w:t xml:space="preserve"> shall equal the balance of Total </w:t>
      </w:r>
      <w:r w:rsidRPr="001448F1">
        <w:rPr>
          <w:rFonts w:ascii="Times New Roman" w:hAnsi="Times New Roman"/>
          <w:sz w:val="22"/>
          <w:szCs w:val="22"/>
        </w:rPr>
        <w:lastRenderedPageBreak/>
        <w:t xml:space="preserve">Accumulated Deferred Income Taxes attributable to NHT. To the extent any such amount relating to the Generator Step-up Transformer exist in said balance of Total Accumulated Deferred Income Taxes, such amounts shall be excluded by further multiplying said balance of Transmission Related Accumulated Deferred Taxes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Transmission Related Accumulated Deferred Taxes is $295,398.</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(f)</w:t>
      </w:r>
      <w:r w:rsidRPr="00077BE8">
        <w:rPr>
          <w:rFonts w:ascii="Times New Roman" w:hAnsi="Times New Roman"/>
          <w:b/>
          <w:sz w:val="22"/>
          <w:szCs w:val="22"/>
        </w:rPr>
        <w:tab/>
        <w:t>Other Regulatory Assets/Liabilities</w:t>
      </w:r>
      <w:r w:rsidRPr="001448F1">
        <w:rPr>
          <w:rFonts w:ascii="Times New Roman" w:hAnsi="Times New Roman"/>
          <w:sz w:val="22"/>
          <w:szCs w:val="22"/>
        </w:rPr>
        <w:t xml:space="preserve"> shall equal the balance of any deferred rate recovery of FAS 106 expenses attributable to NHT multiplied by the Transmission Wages and Salaries Allocation Factor and further multiplied by the LNS Allocation Factor, plus the balance of FAS 109 attributable to NHT multiplied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Other Regulatory Assets/Liability is zero.</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(g)</w:t>
      </w:r>
      <w:r w:rsidRPr="00077BE8">
        <w:rPr>
          <w:rFonts w:ascii="Times New Roman" w:hAnsi="Times New Roman"/>
          <w:b/>
          <w:sz w:val="22"/>
          <w:szCs w:val="22"/>
        </w:rPr>
        <w:tab/>
        <w:t>Transmission Prepayments</w:t>
      </w:r>
      <w:r w:rsidRPr="001448F1">
        <w:rPr>
          <w:rFonts w:ascii="Times New Roman" w:hAnsi="Times New Roman"/>
          <w:sz w:val="22"/>
          <w:szCs w:val="22"/>
        </w:rPr>
        <w:t xml:space="preserve"> shall equal the electric balance of prepayments attributable to NHT multiplied by the</w:t>
      </w:r>
      <w:r>
        <w:rPr>
          <w:rFonts w:ascii="Times New Roman" w:hAnsi="Times New Roman"/>
          <w:sz w:val="22"/>
          <w:szCs w:val="22"/>
        </w:rPr>
        <w:t xml:space="preserve"> </w:t>
      </w:r>
      <w:r w:rsidRPr="001448F1">
        <w:rPr>
          <w:rFonts w:ascii="Times New Roman" w:hAnsi="Times New Roman"/>
          <w:sz w:val="22"/>
          <w:szCs w:val="22"/>
        </w:rPr>
        <w:t xml:space="preserve">Transmission Wages and Salaries Allocation Factor and further multiplied by the LNS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Transmission Prepayments is $1,374.</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(h)</w:t>
      </w:r>
      <w:r w:rsidRPr="00077BE8">
        <w:rPr>
          <w:rFonts w:ascii="Times New Roman" w:hAnsi="Times New Roman"/>
          <w:b/>
          <w:sz w:val="22"/>
          <w:szCs w:val="22"/>
        </w:rPr>
        <w:tab/>
        <w:t>Transmission Materials and Supplies</w:t>
      </w:r>
      <w:r w:rsidRPr="001448F1">
        <w:rPr>
          <w:rFonts w:ascii="Times New Roman" w:hAnsi="Times New Roman"/>
          <w:sz w:val="22"/>
          <w:szCs w:val="22"/>
        </w:rPr>
        <w:t xml:space="preserve"> shall equal the electric balance of Plant Materials and Supplies attributable to NHT multiplied by the Transmission Plant Allocation Factor. To the extent any such amount relating to the Generator Step-up Transformers exist in said balance of Transmission Materials and Supplies, such amounts shall be excluded by further multiplying said balance of Transmission Materials and Supplies by the LNS Plant Allocation Factor.  At </w:t>
      </w:r>
      <w:smartTag w:uri="urn:schemas-microsoft-com:office:smarttags" w:element="date">
        <w:smartTagPr>
          <w:attr w:name="Day" w:val="31"/>
          <w:attr w:name="Month" w:val="12"/>
          <w:attr w:name="Year" w:val="2003"/>
          <w:attr w:name="ls" w:val="trans"/>
        </w:smartTagPr>
        <w:r w:rsidRPr="001448F1">
          <w:rPr>
            <w:rFonts w:ascii="Times New Roman" w:hAnsi="Times New Roman"/>
            <w:sz w:val="22"/>
            <w:szCs w:val="22"/>
          </w:rPr>
          <w:t>December 31, 2003</w:t>
        </w:r>
      </w:smartTag>
      <w:r w:rsidRPr="001448F1">
        <w:rPr>
          <w:rFonts w:ascii="Times New Roman" w:hAnsi="Times New Roman"/>
          <w:sz w:val="22"/>
          <w:szCs w:val="22"/>
        </w:rPr>
        <w:t>, Transmission Materials and Supplies balance is zero.</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1440" w:hanging="720"/>
        <w:rPr>
          <w:rFonts w:ascii="Times New Roman" w:hAnsi="Times New Roman"/>
          <w:sz w:val="22"/>
          <w:szCs w:val="22"/>
        </w:rPr>
      </w:pPr>
      <w:r w:rsidRPr="00077BE8">
        <w:rPr>
          <w:rFonts w:ascii="Times New Roman" w:hAnsi="Times New Roman"/>
          <w:b/>
          <w:sz w:val="22"/>
          <w:szCs w:val="22"/>
        </w:rPr>
        <w:t>(i)</w:t>
      </w:r>
      <w:r w:rsidRPr="00077BE8">
        <w:rPr>
          <w:rFonts w:ascii="Times New Roman" w:hAnsi="Times New Roman"/>
          <w:b/>
          <w:sz w:val="22"/>
          <w:szCs w:val="22"/>
        </w:rPr>
        <w:tab/>
        <w:t>Transmission Related Cash Working Capital</w:t>
      </w:r>
      <w:r w:rsidRPr="001448F1">
        <w:rPr>
          <w:rFonts w:ascii="Times New Roman" w:hAnsi="Times New Roman"/>
          <w:sz w:val="22"/>
          <w:szCs w:val="22"/>
        </w:rPr>
        <w:t xml:space="preserve"> shall be a 12.5% allowance (45 days/360 days) of Transmission Operation and Maintenance Expense, Transmission Related Administrative and General Expense and Transmission Support Expense, to the extent that Transmission Support Expense exceeds Transmission Support Revenue included in Paragraph K of the formula, as such expenses and revenues are attributable to NHT.</w:t>
      </w:r>
    </w:p>
    <w:p w:rsidR="003A0A84" w:rsidRDefault="003A0A84" w:rsidP="003A0A84">
      <w:pPr>
        <w:spacing w:line="360" w:lineRule="auto"/>
        <w:rPr>
          <w:rFonts w:ascii="Times New Roman" w:hAnsi="Times New Roman"/>
          <w:sz w:val="22"/>
          <w:szCs w:val="22"/>
        </w:rPr>
      </w:pPr>
    </w:p>
    <w:p w:rsidR="003A0A84" w:rsidRPr="00077BE8" w:rsidRDefault="00AF27BD" w:rsidP="003A0A84">
      <w:pPr>
        <w:spacing w:line="360" w:lineRule="auto"/>
        <w:rPr>
          <w:rFonts w:ascii="Times New Roman" w:hAnsi="Times New Roman"/>
          <w:b/>
          <w:sz w:val="22"/>
          <w:szCs w:val="22"/>
        </w:rPr>
      </w:pPr>
      <w:r w:rsidRPr="00077BE8">
        <w:rPr>
          <w:rFonts w:ascii="Times New Roman" w:hAnsi="Times New Roman"/>
          <w:b/>
          <w:sz w:val="22"/>
          <w:szCs w:val="22"/>
        </w:rPr>
        <w:t>2.</w:t>
      </w:r>
      <w:r w:rsidRPr="00077BE8">
        <w:rPr>
          <w:rFonts w:ascii="Times New Roman" w:hAnsi="Times New Roman"/>
          <w:b/>
          <w:sz w:val="22"/>
          <w:szCs w:val="22"/>
        </w:rPr>
        <w:tab/>
        <w:t>Cost of Capital Rate</w:t>
      </w:r>
    </w:p>
    <w:p w:rsidR="003A0A84" w:rsidRPr="001448F1" w:rsidRDefault="00AF27BD" w:rsidP="003A0A84">
      <w:pPr>
        <w:spacing w:line="360" w:lineRule="auto"/>
        <w:ind w:left="1440"/>
        <w:rPr>
          <w:rFonts w:ascii="Times New Roman" w:hAnsi="Times New Roman"/>
          <w:sz w:val="22"/>
          <w:szCs w:val="22"/>
        </w:rPr>
      </w:pPr>
      <w:r w:rsidRPr="001448F1">
        <w:rPr>
          <w:rFonts w:ascii="Times New Roman" w:hAnsi="Times New Roman"/>
          <w:sz w:val="22"/>
          <w:szCs w:val="22"/>
        </w:rPr>
        <w:t xml:space="preserve">The Cost of Capital Rate will equal (a) FPL’s Weighted Cost of Capital, plus (b) Federal </w:t>
      </w:r>
      <w:r w:rsidRPr="001448F1">
        <w:rPr>
          <w:rFonts w:ascii="Times New Roman" w:hAnsi="Times New Roman"/>
          <w:sz w:val="22"/>
          <w:szCs w:val="22"/>
        </w:rPr>
        <w:lastRenderedPageBreak/>
        <w:t xml:space="preserve">Income Tax plus (c) State Income Tax.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ab/>
      </w:r>
      <w:r w:rsidRPr="00077BE8">
        <w:rPr>
          <w:rFonts w:ascii="Times New Roman" w:hAnsi="Times New Roman"/>
          <w:b/>
          <w:sz w:val="22"/>
          <w:szCs w:val="22"/>
        </w:rPr>
        <w:t>(a)</w:t>
      </w:r>
      <w:r w:rsidRPr="00077BE8">
        <w:rPr>
          <w:rFonts w:ascii="Times New Roman" w:hAnsi="Times New Roman"/>
          <w:b/>
          <w:sz w:val="22"/>
          <w:szCs w:val="22"/>
        </w:rPr>
        <w:tab/>
        <w:t>The Weighted Cost of Capital</w:t>
      </w:r>
      <w:r w:rsidRPr="001448F1">
        <w:rPr>
          <w:rFonts w:ascii="Times New Roman" w:hAnsi="Times New Roman"/>
          <w:sz w:val="22"/>
          <w:szCs w:val="22"/>
        </w:rPr>
        <w:t xml:space="preserve"> will be calculated in accordance with the methodology specified in Section 35.13(h)(22) of Part 18 of the Code of Federal Regulations, i.e. Statement AV, based upon the capital structure for FPL at the end of each year and will equal the sum of:</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Pr>
          <w:rFonts w:ascii="Times New Roman" w:hAnsi="Times New Roman"/>
          <w:sz w:val="22"/>
          <w:szCs w:val="22"/>
        </w:rPr>
        <w:tab/>
      </w:r>
      <w:r w:rsidRPr="00571322">
        <w:rPr>
          <w:rFonts w:ascii="Times New Roman" w:hAnsi="Times New Roman"/>
          <w:b/>
          <w:sz w:val="22"/>
          <w:szCs w:val="22"/>
        </w:rPr>
        <w:t>(i)</w:t>
      </w:r>
      <w:r w:rsidRPr="00571322">
        <w:rPr>
          <w:rFonts w:ascii="Times New Roman" w:hAnsi="Times New Roman"/>
          <w:b/>
          <w:sz w:val="22"/>
          <w:szCs w:val="22"/>
        </w:rPr>
        <w:tab/>
        <w:t>the long-term debt component</w:t>
      </w:r>
      <w:r w:rsidRPr="001448F1">
        <w:rPr>
          <w:rFonts w:ascii="Times New Roman" w:hAnsi="Times New Roman"/>
          <w:sz w:val="22"/>
          <w:szCs w:val="22"/>
        </w:rPr>
        <w:t>, which equals the product of the actual weighted average embedded cost to maturity, including any unamortized discounts and premiums, and unamortized losses and gains on reacquired debt, and the ratio that long-term debt is to FPL’s total capital.</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ab/>
      </w:r>
      <w:r w:rsidRPr="00571322">
        <w:rPr>
          <w:rFonts w:ascii="Times New Roman" w:hAnsi="Times New Roman"/>
          <w:b/>
          <w:sz w:val="22"/>
          <w:szCs w:val="22"/>
        </w:rPr>
        <w:t>(ii)</w:t>
      </w:r>
      <w:r w:rsidRPr="00571322">
        <w:rPr>
          <w:rFonts w:ascii="Times New Roman" w:hAnsi="Times New Roman"/>
          <w:b/>
          <w:sz w:val="22"/>
          <w:szCs w:val="22"/>
        </w:rPr>
        <w:tab/>
        <w:t>the preferred stock component</w:t>
      </w:r>
      <w:r w:rsidRPr="001448F1">
        <w:rPr>
          <w:rFonts w:ascii="Times New Roman" w:hAnsi="Times New Roman"/>
          <w:sz w:val="22"/>
          <w:szCs w:val="22"/>
        </w:rPr>
        <w:t xml:space="preserve">, which equals the product of the actual weighted average embedded cost to maturity of FPL’s preferred stock then outstanding and the ratio that </w:t>
      </w: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preferred stock is to FPL’s total capital.</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Pr>
          <w:rFonts w:ascii="Times New Roman" w:hAnsi="Times New Roman"/>
          <w:sz w:val="22"/>
          <w:szCs w:val="22"/>
        </w:rPr>
        <w:tab/>
      </w:r>
      <w:r w:rsidRPr="001448F1">
        <w:rPr>
          <w:rFonts w:ascii="Times New Roman" w:hAnsi="Times New Roman"/>
          <w:sz w:val="22"/>
          <w:szCs w:val="22"/>
        </w:rPr>
        <w:t xml:space="preserve"> </w:t>
      </w:r>
      <w:r w:rsidRPr="00571322">
        <w:rPr>
          <w:rFonts w:ascii="Times New Roman" w:hAnsi="Times New Roman"/>
          <w:b/>
          <w:sz w:val="22"/>
          <w:szCs w:val="22"/>
        </w:rPr>
        <w:t>(iii)</w:t>
      </w:r>
      <w:r w:rsidRPr="00571322">
        <w:rPr>
          <w:rFonts w:ascii="Times New Roman" w:hAnsi="Times New Roman"/>
          <w:b/>
          <w:sz w:val="22"/>
          <w:szCs w:val="22"/>
        </w:rPr>
        <w:tab/>
        <w:t>the return on equity component</w:t>
      </w:r>
      <w:r w:rsidRPr="001448F1">
        <w:rPr>
          <w:rFonts w:ascii="Times New Roman" w:hAnsi="Times New Roman"/>
          <w:sz w:val="22"/>
          <w:szCs w:val="22"/>
        </w:rPr>
        <w:t xml:space="preserve">, which equals the product of the Return on Equity </w:t>
      </w:r>
      <w:r w:rsidR="003A0A84">
        <w:rPr>
          <w:rFonts w:ascii="Times New Roman" w:hAnsi="Times New Roman"/>
          <w:sz w:val="22"/>
          <w:szCs w:val="22"/>
        </w:rPr>
        <w:t xml:space="preserve">(“ROE”) </w:t>
      </w:r>
      <w:r w:rsidRPr="001448F1">
        <w:rPr>
          <w:rFonts w:ascii="Times New Roman" w:hAnsi="Times New Roman"/>
          <w:sz w:val="22"/>
          <w:szCs w:val="22"/>
        </w:rPr>
        <w:t xml:space="preserve">of  </w:t>
      </w:r>
      <w:r w:rsidR="003A0A84">
        <w:rPr>
          <w:rFonts w:ascii="Times New Roman" w:hAnsi="Times New Roman"/>
          <w:sz w:val="22"/>
          <w:szCs w:val="22"/>
        </w:rPr>
        <w:t xml:space="preserve">10.57 </w:t>
      </w:r>
      <w:r w:rsidRPr="001448F1">
        <w:rPr>
          <w:rFonts w:ascii="Times New Roman" w:hAnsi="Times New Roman"/>
          <w:sz w:val="22"/>
          <w:szCs w:val="22"/>
        </w:rPr>
        <w:t xml:space="preserve">  percent </w:t>
      </w:r>
      <w:r w:rsidR="003A0A84">
        <w:rPr>
          <w:rFonts w:ascii="Times New Roman" w:hAnsi="Times New Roman"/>
          <w:sz w:val="22"/>
          <w:szCs w:val="22"/>
        </w:rPr>
        <w:t>(which is the base ROE exclusive of any incentive ROE adder(s) per FERC Opinion No. 531-A issued October 16, 2014 in Docket No. EL11-66-001</w:t>
      </w:r>
      <w:r w:rsidR="006342E7">
        <w:rPr>
          <w:rFonts w:ascii="Times New Roman" w:hAnsi="Times New Roman"/>
          <w:sz w:val="22"/>
          <w:szCs w:val="22"/>
        </w:rPr>
        <w:t xml:space="preserve">, and FERC Opinion 531-B issued March 3, 2015 in Docket No. </w:t>
      </w:r>
      <w:proofErr w:type="gramStart"/>
      <w:r w:rsidR="006342E7">
        <w:rPr>
          <w:rFonts w:ascii="Times New Roman" w:hAnsi="Times New Roman"/>
          <w:sz w:val="22"/>
          <w:szCs w:val="22"/>
        </w:rPr>
        <w:t>EL11-66-002 and EL11-66-003</w:t>
      </w:r>
      <w:r w:rsidR="003A0A84">
        <w:rPr>
          <w:rFonts w:ascii="Times New Roman" w:hAnsi="Times New Roman"/>
          <w:sz w:val="22"/>
          <w:szCs w:val="22"/>
        </w:rPr>
        <w:t xml:space="preserve">) </w:t>
      </w:r>
      <w:r w:rsidRPr="001448F1">
        <w:rPr>
          <w:rFonts w:ascii="Times New Roman" w:hAnsi="Times New Roman"/>
          <w:sz w:val="22"/>
          <w:szCs w:val="22"/>
        </w:rPr>
        <w:t>and the ratio that common equity is to FPL’s total capital.</w:t>
      </w:r>
      <w:proofErr w:type="gramEnd"/>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 xml:space="preserve">   </w:t>
      </w:r>
      <w:r w:rsidRPr="001448F1">
        <w:rPr>
          <w:rFonts w:ascii="Times New Roman" w:hAnsi="Times New Roman"/>
          <w:sz w:val="22"/>
          <w:szCs w:val="22"/>
        </w:rPr>
        <w:tab/>
      </w:r>
      <w:r w:rsidRPr="00571322">
        <w:rPr>
          <w:rFonts w:ascii="Times New Roman" w:hAnsi="Times New Roman"/>
          <w:b/>
          <w:sz w:val="22"/>
          <w:szCs w:val="22"/>
        </w:rPr>
        <w:t>(b)</w:t>
      </w:r>
      <w:r w:rsidRPr="00571322">
        <w:rPr>
          <w:rFonts w:ascii="Times New Roman" w:hAnsi="Times New Roman"/>
          <w:b/>
          <w:sz w:val="22"/>
          <w:szCs w:val="22"/>
        </w:rPr>
        <w:tab/>
        <w:t>Federal Income Tax</w:t>
      </w:r>
      <w:r w:rsidRPr="001448F1">
        <w:rPr>
          <w:rFonts w:ascii="Times New Roman" w:hAnsi="Times New Roman"/>
          <w:sz w:val="22"/>
          <w:szCs w:val="22"/>
        </w:rPr>
        <w:t xml:space="preserve"> shall equal</w:t>
      </w:r>
    </w:p>
    <w:p w:rsidR="003A0A84" w:rsidRPr="001448F1" w:rsidRDefault="003A0A84" w:rsidP="003A0A84">
      <w:pPr>
        <w:spacing w:line="360" w:lineRule="auto"/>
        <w:rPr>
          <w:rFonts w:ascii="Times New Roman" w:hAnsi="Times New Roman"/>
          <w:sz w:val="22"/>
          <w:szCs w:val="22"/>
        </w:rPr>
      </w:pPr>
    </w:p>
    <w:p w:rsidR="003A0A84" w:rsidRPr="00571322" w:rsidRDefault="00AF27BD" w:rsidP="003A0A84">
      <w:pPr>
        <w:rPr>
          <w:rFonts w:ascii="Times New Roman" w:hAnsi="Times New Roman"/>
          <w:sz w:val="22"/>
          <w:szCs w:val="22"/>
          <w:u w:val="single"/>
        </w:rPr>
      </w:pPr>
      <w:r>
        <w:rPr>
          <w:rFonts w:ascii="Times New Roman" w:hAnsi="Times New Roman"/>
          <w:sz w:val="22"/>
          <w:szCs w:val="22"/>
        </w:rPr>
        <w:tab/>
      </w:r>
      <w:r w:rsidRPr="001448F1">
        <w:rPr>
          <w:rFonts w:ascii="Times New Roman" w:hAnsi="Times New Roman"/>
          <w:sz w:val="22"/>
          <w:szCs w:val="22"/>
        </w:rPr>
        <w:tab/>
      </w:r>
      <w:r w:rsidRPr="00571322">
        <w:rPr>
          <w:rFonts w:ascii="Times New Roman" w:hAnsi="Times New Roman"/>
          <w:sz w:val="22"/>
          <w:szCs w:val="22"/>
          <w:u w:val="single"/>
        </w:rPr>
        <w:t>(A+[(C+B)/D]) x FT</w:t>
      </w:r>
    </w:p>
    <w:p w:rsidR="003A0A84" w:rsidRPr="001448F1" w:rsidRDefault="00AF27BD" w:rsidP="003A0A8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448F1">
        <w:rPr>
          <w:rFonts w:ascii="Times New Roman" w:hAnsi="Times New Roman"/>
          <w:sz w:val="22"/>
          <w:szCs w:val="22"/>
        </w:rPr>
        <w:tab/>
        <w:t>1 - FT</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Where FT is the Federal Income Tax Rate and A is the sum of the preferred stock component and the return on equity component, as determined in Sections II.A.2.(a)(ii) and (iii) above, B is Transmission Related Amortization of Investment Tax Credits, as determined in Section II.C. below, C is the Equity AFUDC component of Transmission Depreciation Expense , as defined in Section II.B., and D is Transmission Investment Base, as determined in II.A.1., above.</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ab/>
      </w:r>
      <w:r w:rsidRPr="00571322">
        <w:rPr>
          <w:rFonts w:ascii="Times New Roman" w:hAnsi="Times New Roman"/>
          <w:b/>
          <w:sz w:val="22"/>
          <w:szCs w:val="22"/>
        </w:rPr>
        <w:t>(c)</w:t>
      </w:r>
      <w:r w:rsidRPr="00571322">
        <w:rPr>
          <w:rFonts w:ascii="Times New Roman" w:hAnsi="Times New Roman"/>
          <w:b/>
          <w:sz w:val="22"/>
          <w:szCs w:val="22"/>
        </w:rPr>
        <w:tab/>
        <w:t>State Income Tax</w:t>
      </w:r>
      <w:r w:rsidRPr="001448F1">
        <w:rPr>
          <w:rFonts w:ascii="Times New Roman" w:hAnsi="Times New Roman"/>
          <w:sz w:val="22"/>
          <w:szCs w:val="22"/>
        </w:rPr>
        <w:t xml:space="preserve"> shall equal</w:t>
      </w:r>
    </w:p>
    <w:p w:rsidR="003A0A84" w:rsidRPr="001448F1" w:rsidRDefault="003A0A84" w:rsidP="003A0A84">
      <w:pPr>
        <w:spacing w:line="360" w:lineRule="auto"/>
        <w:rPr>
          <w:rFonts w:ascii="Times New Roman" w:hAnsi="Times New Roman"/>
          <w:sz w:val="22"/>
          <w:szCs w:val="22"/>
        </w:rPr>
      </w:pPr>
    </w:p>
    <w:p w:rsidR="003A0A84" w:rsidRPr="00571322" w:rsidRDefault="00AF27BD" w:rsidP="003A0A84">
      <w:pPr>
        <w:rPr>
          <w:rFonts w:ascii="Times New Roman" w:hAnsi="Times New Roman"/>
          <w:sz w:val="22"/>
          <w:szCs w:val="22"/>
          <w:u w:val="single"/>
        </w:rPr>
      </w:pPr>
      <w:r w:rsidRPr="001448F1">
        <w:rPr>
          <w:rFonts w:ascii="Times New Roman" w:hAnsi="Times New Roman"/>
          <w:sz w:val="22"/>
          <w:szCs w:val="22"/>
        </w:rPr>
        <w:tab/>
      </w:r>
      <w:r w:rsidRPr="001448F1">
        <w:rPr>
          <w:rFonts w:ascii="Times New Roman" w:hAnsi="Times New Roman"/>
          <w:sz w:val="22"/>
          <w:szCs w:val="22"/>
        </w:rPr>
        <w:tab/>
      </w:r>
      <w:r w:rsidRPr="00571322">
        <w:rPr>
          <w:rFonts w:ascii="Times New Roman" w:hAnsi="Times New Roman"/>
          <w:sz w:val="22"/>
          <w:szCs w:val="22"/>
          <w:u w:val="single"/>
        </w:rPr>
        <w:t>(A+[(C+B)/D] + Federal Income Tax) x ST</w:t>
      </w:r>
    </w:p>
    <w:p w:rsidR="003A0A84" w:rsidRPr="001448F1" w:rsidRDefault="00AF27BD" w:rsidP="003A0A84">
      <w:pPr>
        <w:rPr>
          <w:rFonts w:ascii="Times New Roman" w:hAnsi="Times New Roman"/>
          <w:sz w:val="22"/>
          <w:szCs w:val="22"/>
        </w:rPr>
      </w:pPr>
      <w:r w:rsidRPr="001448F1">
        <w:rPr>
          <w:rFonts w:ascii="Times New Roman" w:hAnsi="Times New Roman"/>
          <w:sz w:val="22"/>
          <w:szCs w:val="22"/>
        </w:rPr>
        <w:tab/>
      </w:r>
      <w:r w:rsidRPr="001448F1">
        <w:rPr>
          <w:rFonts w:ascii="Times New Roman" w:hAnsi="Times New Roman"/>
          <w:sz w:val="22"/>
          <w:szCs w:val="22"/>
        </w:rPr>
        <w:tab/>
      </w:r>
      <w:r w:rsidRPr="001448F1">
        <w:rPr>
          <w:rFonts w:ascii="Times New Roman" w:hAnsi="Times New Roman"/>
          <w:sz w:val="22"/>
          <w:szCs w:val="22"/>
        </w:rPr>
        <w:tab/>
      </w:r>
      <w:r w:rsidRPr="001448F1">
        <w:rPr>
          <w:rFonts w:ascii="Times New Roman" w:hAnsi="Times New Roman"/>
          <w:sz w:val="22"/>
          <w:szCs w:val="22"/>
        </w:rPr>
        <w:tab/>
        <w:t>1 - ST</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where ST is the State Income Tax Rate, A is the sum of the preferred stock component and return on equity component determined in Sections II.A.2.(a)(ii) and (iii) above, B is the Amortization of Investment Tax Credits as determined in Section II.C. below, C is the equity AFUDC component of Transmission Depreciation Expense, as defined in Section II.B., D is the Transmission Investment Base, as determined in II.A.1., above and Federal Income Tax is the rate determined in Section II.A.2.(b) above.</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B.</w:t>
      </w:r>
      <w:r w:rsidRPr="00571322">
        <w:rPr>
          <w:rFonts w:ascii="Times New Roman" w:hAnsi="Times New Roman"/>
          <w:b/>
          <w:sz w:val="22"/>
          <w:szCs w:val="22"/>
        </w:rPr>
        <w:tab/>
        <w:t>Transmission Depreciation Expense</w:t>
      </w:r>
      <w:r w:rsidRPr="001448F1">
        <w:rPr>
          <w:rFonts w:ascii="Times New Roman" w:hAnsi="Times New Roman"/>
          <w:sz w:val="22"/>
          <w:szCs w:val="22"/>
        </w:rPr>
        <w:t xml:space="preserve"> shall equal the sum of Depreciation Expense for Transmission Plant attributable to NHT, plus an allocation of Intangible and General Plant Depreciation Expense attributable to NHT.  To the extent any such amount relating to the Generator Step-up Transformers exist in said balance of Transmission Depreciation Expense, such amounts shall be excluded by further multiplying said balance of Transmission Depreciation Expense by the LNS Plant Allocation Factor.  The allocated portion of Intangible and General Plant Depreciation Expense shall be calculated by multiplying Intangible and General Plant Depreciation Expense by the Transmission Wages and Salaries Allocation Factor and further multiplied by the LNS Plant Allocation Factor.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C.</w:t>
      </w:r>
      <w:r w:rsidRPr="00571322">
        <w:rPr>
          <w:rFonts w:ascii="Times New Roman" w:hAnsi="Times New Roman"/>
          <w:b/>
          <w:sz w:val="22"/>
          <w:szCs w:val="22"/>
        </w:rPr>
        <w:tab/>
        <w:t>Transmission Related Amortization of Investment Tax Credits</w:t>
      </w:r>
      <w:r w:rsidRPr="001448F1">
        <w:rPr>
          <w:rFonts w:ascii="Times New Roman" w:hAnsi="Times New Roman"/>
          <w:sz w:val="22"/>
          <w:szCs w:val="22"/>
        </w:rPr>
        <w:t xml:space="preserve"> shall equal the electric Amortization of Investment Tax Credits attributable to NHT, multiplied by the Transmission Plant Allocation Factor.  To the extent any such amount relating to the Generator Step-up Transformers exist in said balance of Transmission Related Amortization of Investment Tax Credits, such amounts shall be excluded by further multiplying said balance of Transmission Related Amortization of Investment Tax Credits by the LNS Plant Allocation Factor.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D.</w:t>
      </w:r>
      <w:r w:rsidRPr="00571322">
        <w:rPr>
          <w:rFonts w:ascii="Times New Roman" w:hAnsi="Times New Roman"/>
          <w:b/>
          <w:sz w:val="22"/>
          <w:szCs w:val="22"/>
        </w:rPr>
        <w:tab/>
        <w:t>Transmission Related Municipal Tax Expense</w:t>
      </w:r>
      <w:r w:rsidRPr="001448F1">
        <w:rPr>
          <w:rFonts w:ascii="Times New Roman" w:hAnsi="Times New Roman"/>
          <w:sz w:val="22"/>
          <w:szCs w:val="22"/>
        </w:rPr>
        <w:t xml:space="preserve"> shall equal the total electric municipal tax expense attributable to NHT multiplied by the Transmission Plant Allocation Factor and further multiplied by the LNS Plant Allocation Factor.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E.</w:t>
      </w:r>
      <w:r w:rsidRPr="00571322">
        <w:rPr>
          <w:rFonts w:ascii="Times New Roman" w:hAnsi="Times New Roman"/>
          <w:b/>
          <w:sz w:val="22"/>
          <w:szCs w:val="22"/>
        </w:rPr>
        <w:tab/>
        <w:t>Transmission Related Payroll Tax Expense</w:t>
      </w:r>
      <w:r w:rsidRPr="001448F1">
        <w:rPr>
          <w:rFonts w:ascii="Times New Roman" w:hAnsi="Times New Roman"/>
          <w:sz w:val="22"/>
          <w:szCs w:val="22"/>
        </w:rPr>
        <w:t xml:space="preserve"> shall equal the total payroll tax expense attributable to NHT multiplied by the Transmission Wages and Salaries Allocation Factor and further multiplied by the LNS Transmission Plant Allocation Factor.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F.</w:t>
      </w:r>
      <w:r w:rsidRPr="00571322">
        <w:rPr>
          <w:rFonts w:ascii="Times New Roman" w:hAnsi="Times New Roman"/>
          <w:b/>
          <w:sz w:val="22"/>
          <w:szCs w:val="22"/>
        </w:rPr>
        <w:tab/>
        <w:t>Transmission Operation and Maintenance Expense</w:t>
      </w:r>
      <w:r w:rsidRPr="001448F1">
        <w:rPr>
          <w:rFonts w:ascii="Times New Roman" w:hAnsi="Times New Roman"/>
          <w:sz w:val="22"/>
          <w:szCs w:val="22"/>
        </w:rPr>
        <w:t xml:space="preserve"> shall equal the Transmission Operation and Maintenance Expenses attributable to NHT and excluding any operation and maintenance expenses associated with the Generator Step-up Transformers, which may be included in FERC Account Nos. 560-</w:t>
      </w:r>
      <w:r w:rsidRPr="001448F1">
        <w:rPr>
          <w:rFonts w:ascii="Times New Roman" w:hAnsi="Times New Roman"/>
          <w:sz w:val="22"/>
          <w:szCs w:val="22"/>
        </w:rPr>
        <w:lastRenderedPageBreak/>
        <w:t>576.5.</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G.</w:t>
      </w:r>
      <w:r w:rsidRPr="00571322">
        <w:rPr>
          <w:rFonts w:ascii="Times New Roman" w:hAnsi="Times New Roman"/>
          <w:b/>
          <w:sz w:val="22"/>
          <w:szCs w:val="22"/>
        </w:rPr>
        <w:tab/>
        <w:t>Transmission Related Administrative and General Expenses</w:t>
      </w:r>
      <w:r w:rsidRPr="001448F1">
        <w:rPr>
          <w:rFonts w:ascii="Times New Roman" w:hAnsi="Times New Roman"/>
          <w:sz w:val="22"/>
          <w:szCs w:val="22"/>
        </w:rPr>
        <w:t xml:space="preserve"> shall equal the sum of (1) the Administrative and General Expenses attributable to NHT multiplied by the Transmission Wages and Salaries Allocation Factor, (2) the Property Insurance attributable to NHT multiplied by the Transmission Plant Allocation Factor, and (3) Expenses included in Account 928 related to FERC Regulatory Commission Expense attributable to NHT multiplied by the Transmission Plant Allocation Factor, plus any other Federal and State transmission related expenses or assessments attributable to NHT, plus specific transmission related General Advertising Expense included in Account 930.1 attributable to NHT. The sum of these components (1) through (3) shall then be multiplied by the LNS Plant Allocation Factor.</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H.</w:t>
      </w:r>
      <w:r w:rsidRPr="00571322">
        <w:rPr>
          <w:rFonts w:ascii="Times New Roman" w:hAnsi="Times New Roman"/>
          <w:b/>
          <w:sz w:val="22"/>
          <w:szCs w:val="22"/>
        </w:rPr>
        <w:tab/>
        <w:t>Transmission Related Regulatory Assessments</w:t>
      </w:r>
      <w:r w:rsidRPr="001448F1">
        <w:rPr>
          <w:rFonts w:ascii="Times New Roman" w:hAnsi="Times New Roman"/>
          <w:sz w:val="22"/>
          <w:szCs w:val="22"/>
        </w:rPr>
        <w:t xml:space="preserve"> shall include any FERC assessments associated with transmission service provided under the NHT Tariff, based on the FERC regulations in 18 C.F.R. § 382.201, and as recorded in FERC Account No 408.</w:t>
      </w:r>
    </w:p>
    <w:p w:rsidR="003A0A84" w:rsidRPr="001448F1" w:rsidRDefault="00AF27BD" w:rsidP="003A0A84">
      <w:pPr>
        <w:spacing w:line="360" w:lineRule="auto"/>
        <w:rPr>
          <w:rFonts w:ascii="Times New Roman" w:hAnsi="Times New Roman"/>
          <w:sz w:val="22"/>
          <w:szCs w:val="22"/>
        </w:rPr>
      </w:pPr>
      <w:r w:rsidRPr="001448F1">
        <w:rPr>
          <w:rFonts w:ascii="Times New Roman" w:hAnsi="Times New Roman"/>
          <w:sz w:val="22"/>
          <w:szCs w:val="22"/>
        </w:rPr>
        <w:tab/>
      </w: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I.</w:t>
      </w:r>
      <w:r w:rsidRPr="00571322">
        <w:rPr>
          <w:rFonts w:ascii="Times New Roman" w:hAnsi="Times New Roman"/>
          <w:b/>
          <w:sz w:val="22"/>
          <w:szCs w:val="22"/>
        </w:rPr>
        <w:tab/>
        <w:t>Transmission Support Expense</w:t>
      </w:r>
      <w:r w:rsidRPr="001448F1">
        <w:rPr>
          <w:rFonts w:ascii="Times New Roman" w:hAnsi="Times New Roman"/>
          <w:sz w:val="22"/>
          <w:szCs w:val="22"/>
        </w:rPr>
        <w:t xml:space="preserve"> shall equal the expense for transmission support as incurred by NHT.</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J.</w:t>
      </w:r>
      <w:r w:rsidRPr="00571322">
        <w:rPr>
          <w:rFonts w:ascii="Times New Roman" w:hAnsi="Times New Roman"/>
          <w:b/>
          <w:sz w:val="22"/>
          <w:szCs w:val="22"/>
        </w:rPr>
        <w:tab/>
        <w:t>NEPOOL &amp; ISO Expense</w:t>
      </w:r>
      <w:r w:rsidRPr="001448F1">
        <w:rPr>
          <w:rFonts w:ascii="Times New Roman" w:hAnsi="Times New Roman"/>
          <w:sz w:val="22"/>
          <w:szCs w:val="22"/>
        </w:rPr>
        <w:t xml:space="preserve"> shall equal NHT’s expense associated with charges assessed NHT pursuant to the Tariff and/or the Restated NEPOOL Agreement.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K.</w:t>
      </w:r>
      <w:r w:rsidRPr="00571322">
        <w:rPr>
          <w:rFonts w:ascii="Times New Roman" w:hAnsi="Times New Roman"/>
          <w:b/>
          <w:sz w:val="22"/>
          <w:szCs w:val="22"/>
        </w:rPr>
        <w:tab/>
        <w:t>Transmission Support Revenues</w:t>
      </w:r>
      <w:r w:rsidRPr="001448F1">
        <w:rPr>
          <w:rFonts w:ascii="Times New Roman" w:hAnsi="Times New Roman"/>
          <w:sz w:val="22"/>
          <w:szCs w:val="22"/>
        </w:rPr>
        <w:t xml:space="preserve"> shall equal NHT’s revenue received for transmission support, excluding support revenues associated with generator step-up transformers included in Transmission Plant accounts attributable to NHT, if any.</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L.</w:t>
      </w:r>
      <w:r w:rsidRPr="00571322">
        <w:rPr>
          <w:rFonts w:ascii="Times New Roman" w:hAnsi="Times New Roman"/>
          <w:b/>
          <w:sz w:val="22"/>
          <w:szCs w:val="22"/>
        </w:rPr>
        <w:tab/>
      </w:r>
      <w:bookmarkStart w:id="130" w:name="OLE_LINK1"/>
      <w:r w:rsidRPr="00571322">
        <w:rPr>
          <w:rFonts w:ascii="Times New Roman" w:hAnsi="Times New Roman"/>
          <w:b/>
          <w:sz w:val="22"/>
          <w:szCs w:val="22"/>
        </w:rPr>
        <w:t>ISO Revenues</w:t>
      </w:r>
      <w:r w:rsidRPr="001448F1">
        <w:rPr>
          <w:rFonts w:ascii="Times New Roman" w:hAnsi="Times New Roman"/>
          <w:sz w:val="22"/>
          <w:szCs w:val="22"/>
        </w:rPr>
        <w:t xml:space="preserve"> shall equal the revenues distributed to NHT from the ISO, for network integration transmission service, internal point to point transmission service, and through and out transmission service provided under the OATT, but excluding any incremental revenues associated with FERC-approved ROE adders for RTO participation and for new transmission investment.  Such amounts shall be reflected as forecast amounts in each monthly billing statement and shall be reconciled to such actual monthly revenues received by NHT in the billing statement following the month in which such actual monthly revenues are received by NHT, and shall be reconciled with interest as calculated pursuant to Section 35.19(a) of the Code of Federal Regulations for any over or under estimated amounts.</w:t>
      </w:r>
      <w:bookmarkEnd w:id="130"/>
      <w:r w:rsidRPr="001448F1">
        <w:rPr>
          <w:rFonts w:ascii="Times New Roman" w:hAnsi="Times New Roman"/>
          <w:sz w:val="22"/>
          <w:szCs w:val="22"/>
        </w:rPr>
        <w:t xml:space="preserve">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M.</w:t>
      </w:r>
      <w:r w:rsidRPr="00571322">
        <w:rPr>
          <w:rFonts w:ascii="Times New Roman" w:hAnsi="Times New Roman"/>
          <w:b/>
          <w:sz w:val="22"/>
          <w:szCs w:val="22"/>
        </w:rPr>
        <w:tab/>
        <w:t>Other Wheeling Revenues</w:t>
      </w:r>
      <w:r w:rsidRPr="001448F1">
        <w:rPr>
          <w:rFonts w:ascii="Times New Roman" w:hAnsi="Times New Roman"/>
          <w:sz w:val="22"/>
          <w:szCs w:val="22"/>
        </w:rPr>
        <w:t xml:space="preserve"> shall equal any revenues received by NHT for providing wheeling out services to generators as well as any other short-term, non-firm, or unauthorized use penalty revenues received by NHT associated with the provision of transmission services under this Tariff, not otherwise reflected in Section II . K above.</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N.</w:t>
      </w:r>
      <w:r w:rsidRPr="00571322">
        <w:rPr>
          <w:rFonts w:ascii="Times New Roman" w:hAnsi="Times New Roman"/>
          <w:b/>
          <w:sz w:val="22"/>
          <w:szCs w:val="22"/>
        </w:rPr>
        <w:tab/>
        <w:t>Transmission Rents Received from Electric Property</w:t>
      </w:r>
      <w:r w:rsidRPr="001448F1">
        <w:rPr>
          <w:rFonts w:ascii="Times New Roman" w:hAnsi="Times New Roman"/>
          <w:sz w:val="22"/>
          <w:szCs w:val="22"/>
        </w:rPr>
        <w:t xml:space="preserve"> shall equal any Rents from electric property associated with Transmission Plant attributable to NHT as defined in Section II.A.1.(a) above, not reflected in Section II. I. above as Transmission Support Revenues, and excluding support revenues associated with generator step-up transformers included in Transmission Plant accounts attributable to NHT, if any.</w:t>
      </w:r>
    </w:p>
    <w:p w:rsidR="003A0A84" w:rsidRPr="001448F1" w:rsidRDefault="003A0A84" w:rsidP="003A0A84">
      <w:pPr>
        <w:spacing w:line="360" w:lineRule="auto"/>
        <w:rPr>
          <w:rFonts w:ascii="Times New Roman" w:hAnsi="Times New Roman"/>
          <w:sz w:val="22"/>
          <w:szCs w:val="22"/>
        </w:rPr>
      </w:pPr>
      <w:bookmarkStart w:id="131" w:name="a_0"/>
      <w:bookmarkStart w:id="132" w:name="a_1"/>
      <w:bookmarkStart w:id="133" w:name="a_3"/>
      <w:bookmarkStart w:id="134" w:name="a_4"/>
      <w:bookmarkStart w:id="135" w:name="a_5"/>
      <w:bookmarkStart w:id="136" w:name="a_6"/>
      <w:bookmarkStart w:id="137" w:name="a_7"/>
      <w:bookmarkStart w:id="138" w:name="a_8"/>
      <w:bookmarkStart w:id="139" w:name="a_9"/>
      <w:bookmarkStart w:id="140" w:name="a_a"/>
      <w:bookmarkStart w:id="141" w:name="a_b"/>
      <w:bookmarkStart w:id="142" w:name="a_c"/>
      <w:bookmarkStart w:id="143" w:name="a_d"/>
      <w:bookmarkStart w:id="144" w:name="a_e"/>
      <w:bookmarkStart w:id="145" w:name="a_f"/>
      <w:bookmarkStart w:id="146" w:name="a_g"/>
      <w:bookmarkStart w:id="147" w:name="a_h"/>
      <w:bookmarkStart w:id="148" w:name="a_i"/>
      <w:bookmarkStart w:id="149" w:name="a_j"/>
      <w:bookmarkStart w:id="150" w:name="a_k"/>
      <w:bookmarkStart w:id="151" w:name="a_l"/>
      <w:bookmarkStart w:id="152" w:name="a_m"/>
      <w:bookmarkStart w:id="153" w:name="a_n"/>
      <w:bookmarkStart w:id="154" w:name="a_o"/>
      <w:bookmarkStart w:id="155" w:name="a_p"/>
      <w:bookmarkStart w:id="156" w:name="a_q"/>
      <w:bookmarkStart w:id="157" w:name="a_r"/>
      <w:bookmarkStart w:id="158" w:name="a_s"/>
      <w:bookmarkStart w:id="159" w:name="a_t"/>
      <w:bookmarkStart w:id="160" w:name="a_u"/>
      <w:bookmarkStart w:id="161" w:name="a_v"/>
      <w:bookmarkStart w:id="162" w:name="a_w"/>
      <w:bookmarkStart w:id="163" w:name="a_x"/>
      <w:bookmarkStart w:id="164" w:name="a_y"/>
      <w:bookmarkStart w:id="165" w:name="a_z"/>
      <w:bookmarkStart w:id="166" w:name="a_ƒ"/>
      <w:bookmarkStart w:id="167" w:name="a_š"/>
      <w:bookmarkStart w:id="168" w:name="a_œ"/>
      <w:bookmarkStart w:id="169" w:name="a_ž"/>
      <w:bookmarkStart w:id="170" w:name="a_Ÿ"/>
      <w:bookmarkStart w:id="171" w:name="a_È"/>
      <w:bookmarkStart w:id="172" w:name="a_Û"/>
      <w:bookmarkStart w:id="173" w:name="a_Ü"/>
      <w:bookmarkStart w:id="174" w:name="a_Ý"/>
      <w:bookmarkStart w:id="175" w:name="a_Þ"/>
      <w:bookmarkStart w:id="176" w:name="a_ß"/>
      <w:bookmarkStart w:id="177" w:name="a_à"/>
      <w:bookmarkStart w:id="178" w:name="a_á"/>
      <w:bookmarkStart w:id="179" w:name="a_â"/>
      <w:bookmarkStart w:id="180" w:name="a_ã"/>
      <w:bookmarkStart w:id="181" w:name="a_ä"/>
      <w:bookmarkStart w:id="182" w:name="a_å"/>
      <w:bookmarkStart w:id="183" w:name="a_æ"/>
      <w:bookmarkStart w:id="184" w:name="a_ç"/>
      <w:bookmarkStart w:id="185" w:name="a_é"/>
      <w:bookmarkStart w:id="186" w:name="a_ê"/>
      <w:bookmarkStart w:id="187" w:name="a_ë"/>
      <w:bookmarkStart w:id="188" w:name="a_ì"/>
      <w:bookmarkStart w:id="189" w:name="a_í"/>
      <w:bookmarkStart w:id="190" w:name="a_î"/>
      <w:bookmarkStart w:id="191" w:name="a_ï"/>
      <w:bookmarkStart w:id="192" w:name="a_ð"/>
      <w:bookmarkStart w:id="193" w:name="a_ñ"/>
      <w:bookmarkStart w:id="194" w:name="a_ò"/>
      <w:bookmarkStart w:id="195" w:name="a_ó"/>
      <w:bookmarkStart w:id="196" w:name="a_ô"/>
      <w:bookmarkStart w:id="197" w:name="a_õ"/>
      <w:bookmarkStart w:id="198" w:name="a_ö"/>
      <w:bookmarkStart w:id="199" w:name="a__"/>
      <w:bookmarkStart w:id="200" w:name="a_ø"/>
      <w:bookmarkStart w:id="201" w:name="a_ù"/>
      <w:bookmarkStart w:id="202" w:name="a_ú"/>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A0A84" w:rsidRPr="00571322" w:rsidRDefault="00AF27BD" w:rsidP="003A0A84">
      <w:pPr>
        <w:spacing w:line="360" w:lineRule="auto"/>
        <w:jc w:val="center"/>
        <w:rPr>
          <w:rFonts w:ascii="Times New Roman" w:hAnsi="Times New Roman"/>
          <w:b/>
          <w:sz w:val="22"/>
          <w:szCs w:val="22"/>
        </w:rPr>
      </w:pPr>
      <w:r w:rsidRPr="001448F1">
        <w:rPr>
          <w:rFonts w:ascii="Times New Roman" w:hAnsi="Times New Roman"/>
          <w:sz w:val="22"/>
          <w:szCs w:val="22"/>
        </w:rPr>
        <w:br w:type="page"/>
      </w:r>
      <w:r w:rsidRPr="00571322">
        <w:rPr>
          <w:rFonts w:ascii="Times New Roman" w:hAnsi="Times New Roman"/>
          <w:b/>
          <w:sz w:val="22"/>
          <w:szCs w:val="22"/>
        </w:rPr>
        <w:lastRenderedPageBreak/>
        <w:t>ATTACHMENT L TO SCHEDULE 21</w:t>
      </w:r>
    </w:p>
    <w:p w:rsidR="003A0A84" w:rsidRPr="001448F1" w:rsidRDefault="00AF27BD" w:rsidP="003A0A84">
      <w:pPr>
        <w:spacing w:line="360" w:lineRule="auto"/>
        <w:jc w:val="center"/>
        <w:rPr>
          <w:rFonts w:ascii="Times New Roman" w:hAnsi="Times New Roman"/>
          <w:sz w:val="22"/>
          <w:szCs w:val="22"/>
        </w:rPr>
      </w:pPr>
      <w:r w:rsidRPr="00571322">
        <w:rPr>
          <w:rFonts w:ascii="Times New Roman" w:hAnsi="Times New Roman"/>
          <w:b/>
          <w:sz w:val="22"/>
          <w:szCs w:val="22"/>
        </w:rPr>
        <w:t>NHT CREDITWORTHINESS GUIDE</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A.</w:t>
      </w:r>
      <w:r w:rsidRPr="00571322">
        <w:rPr>
          <w:rFonts w:ascii="Times New Roman" w:hAnsi="Times New Roman"/>
          <w:b/>
          <w:sz w:val="22"/>
          <w:szCs w:val="22"/>
        </w:rPr>
        <w:tab/>
        <w:t xml:space="preserve">Credit Review: </w:t>
      </w:r>
      <w:r w:rsidRPr="001448F1">
        <w:rPr>
          <w:rFonts w:ascii="Times New Roman" w:hAnsi="Times New Roman"/>
          <w:sz w:val="22"/>
          <w:szCs w:val="22"/>
        </w:rPr>
        <w:t>For the purpose of determining the ability of a Transmission Customer to fulfill its financial obligations pursuant to the Tariff, the Transmission Provider shall require commercially reasonable credit review procedures. A creditworthiness review shall be conducted for each Transmission Customer upon its initial request for Transmission Service, and thereafter generally annually, or upon the anniversary of the Transmission Customer’s Service Commencement Date, or upon reasonable request by the Transmission Customer. Provided, however, any time that a Transmission Customer experiences any credit downgrade that may place it below the standards specified in Section B, the Transmission Provider reserves the right to re-evaluate the Transmission Customer’s creditworthiness pursuant to this Attachment L. Further, if in accordance with Section C.3, the Transmission Provider determines that financial assurances that a Transmission Customer has previously provided pursuant to this Attachment L have become insufficient to protect the Transmission Provider against the risk of non-payment, Transmission Provider can require the Transmission Customer to increase such financial assurances.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571322">
        <w:rPr>
          <w:rFonts w:ascii="Times New Roman" w:hAnsi="Times New Roman"/>
          <w:b/>
          <w:sz w:val="22"/>
          <w:szCs w:val="22"/>
        </w:rPr>
        <w:t xml:space="preserve">B. </w:t>
      </w:r>
      <w:r w:rsidRPr="00571322">
        <w:rPr>
          <w:rFonts w:ascii="Times New Roman" w:hAnsi="Times New Roman"/>
          <w:b/>
          <w:sz w:val="22"/>
          <w:szCs w:val="22"/>
        </w:rPr>
        <w:tab/>
        <w:t>Creditworthiness:</w:t>
      </w:r>
      <w:r w:rsidRPr="001448F1">
        <w:rPr>
          <w:rFonts w:ascii="Times New Roman" w:hAnsi="Times New Roman"/>
          <w:sz w:val="22"/>
          <w:szCs w:val="22"/>
        </w:rPr>
        <w:t xml:space="preserve"> Both new and existing Transmission Customers that, upon their application for Transmission Service and throughout the term of their Service Agreements, satisfy the criteria delineated in this Section B will be considered creditworthy by the Transmission Provider. Such Transmission Customers will not be required to submit financial assurances (including, with respect to new customers, the application deposits that would otherwise be required pursuant to either Sections 17.3 or 29.2 of the Tariff) in order to protect the Transmission Provider from the risk of non-payment. Pursuant to this Section B, if applicable, a Transmission Customer is creditworthy if it has not, pursuant to Section 7.3, Defaulted more than once in the last twelve (12) months and:</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 xml:space="preserve">B.1. </w:t>
      </w:r>
      <w:r>
        <w:rPr>
          <w:rFonts w:ascii="Times New Roman" w:hAnsi="Times New Roman"/>
          <w:sz w:val="22"/>
          <w:szCs w:val="22"/>
        </w:rPr>
        <w:tab/>
      </w:r>
      <w:r w:rsidRPr="001448F1">
        <w:rPr>
          <w:rFonts w:ascii="Times New Roman" w:hAnsi="Times New Roman"/>
          <w:sz w:val="22"/>
          <w:szCs w:val="22"/>
        </w:rPr>
        <w:t xml:space="preserve"> has a Standard and Poor’s (“S&amp;P”) Long-Term Issuer Credit Rating of BBB- (or better); or a Moody’s Investor Service, Inc. (“Moody’s”) Long-Term Issuer Credit Rating of Baa3 (or better).  In the event that a Transmission Customer or its guarantor is rated by both S&amp;P and Moody’s, then the Transmission Provider will use the lower of the two ratings; or</w:t>
      </w:r>
    </w:p>
    <w:p w:rsidR="003A0A84"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B.2.</w:t>
      </w:r>
      <w:r>
        <w:rPr>
          <w:rFonts w:ascii="Times New Roman" w:hAnsi="Times New Roman"/>
          <w:sz w:val="22"/>
          <w:szCs w:val="22"/>
        </w:rPr>
        <w:tab/>
      </w:r>
      <w:r w:rsidRPr="001448F1">
        <w:rPr>
          <w:rFonts w:ascii="Times New Roman" w:hAnsi="Times New Roman"/>
          <w:sz w:val="22"/>
          <w:szCs w:val="22"/>
        </w:rPr>
        <w:t xml:space="preserve">is a borrower from the Rural Utilities Service (“RUS”) and has a “Times Interest Earned Ratio” of 1.05 (or better) and a “Debt Service Coverage Ratio” of 1.00 (or better) in the most recent calendar year, or is maintaining the Times Interest Earned Ratio and Debt Service Coverage Ratio as established in the Transmission Customer’s RUS Mortgage. The Transmission </w:t>
      </w:r>
      <w:r w:rsidRPr="001448F1">
        <w:rPr>
          <w:rFonts w:ascii="Times New Roman" w:hAnsi="Times New Roman"/>
          <w:sz w:val="22"/>
          <w:szCs w:val="22"/>
        </w:rPr>
        <w:lastRenderedPageBreak/>
        <w:t>Customer must provide appropriate documentation annually, or as agreed-upon by both parties; or</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B.3.</w:t>
      </w:r>
      <w:r>
        <w:rPr>
          <w:rFonts w:ascii="Times New Roman" w:hAnsi="Times New Roman"/>
          <w:sz w:val="22"/>
          <w:szCs w:val="22"/>
        </w:rPr>
        <w:tab/>
      </w:r>
      <w:r w:rsidRPr="001448F1">
        <w:rPr>
          <w:rFonts w:ascii="Times New Roman" w:hAnsi="Times New Roman"/>
          <w:sz w:val="22"/>
          <w:szCs w:val="22"/>
        </w:rPr>
        <w:t xml:space="preserve">is a federal agency and its financial obligations under the Tariff are backed by the full faith and credit of the United States; or </w:t>
      </w:r>
    </w:p>
    <w:p w:rsidR="003A0A84"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B.4.</w:t>
      </w:r>
      <w:r>
        <w:rPr>
          <w:rFonts w:ascii="Times New Roman" w:hAnsi="Times New Roman"/>
          <w:sz w:val="22"/>
          <w:szCs w:val="22"/>
        </w:rPr>
        <w:tab/>
      </w:r>
      <w:r w:rsidRPr="001448F1">
        <w:rPr>
          <w:rFonts w:ascii="Times New Roman" w:hAnsi="Times New Roman"/>
          <w:sz w:val="22"/>
          <w:szCs w:val="22"/>
        </w:rPr>
        <w:t xml:space="preserve">is a municipal or state agency, or a rural electric cooperative (without RUS Debt) that: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B.4.i.</w:t>
      </w:r>
      <w:r>
        <w:rPr>
          <w:rFonts w:ascii="Times New Roman" w:hAnsi="Times New Roman"/>
          <w:sz w:val="22"/>
          <w:szCs w:val="22"/>
        </w:rPr>
        <w:tab/>
      </w:r>
      <w:r w:rsidRPr="001448F1">
        <w:rPr>
          <w:rFonts w:ascii="Times New Roman" w:hAnsi="Times New Roman"/>
          <w:sz w:val="22"/>
          <w:szCs w:val="22"/>
        </w:rPr>
        <w:t xml:space="preserve"> if applicable, has been taking Transmission Service for one (1) year and has provided documentation that its financial obligations under the Tariff are backed by the full faith and credit of the municipality or state in which it is established; or </w:t>
      </w:r>
    </w:p>
    <w:p w:rsidR="003A0A84" w:rsidRPr="001448F1" w:rsidRDefault="003A0A84" w:rsidP="003A0A84">
      <w:pPr>
        <w:spacing w:line="360" w:lineRule="auto"/>
        <w:ind w:firstLine="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B.4.ii.</w:t>
      </w:r>
      <w:r>
        <w:rPr>
          <w:rFonts w:ascii="Times New Roman" w:hAnsi="Times New Roman"/>
          <w:sz w:val="22"/>
          <w:szCs w:val="22"/>
        </w:rPr>
        <w:tab/>
      </w:r>
      <w:r w:rsidRPr="001448F1">
        <w:rPr>
          <w:rFonts w:ascii="Times New Roman" w:hAnsi="Times New Roman"/>
          <w:sz w:val="22"/>
          <w:szCs w:val="22"/>
        </w:rPr>
        <w:t xml:space="preserve"> has provided documentation that under the applicable laws of the state in which it is established, that its financial obligations under the Tariff are deemed to be operating expenses and that the agency or the electric cooperative is required by such applicable laws to devote its revenues first to the payment of its operating and maintenance expenses and the principal and interest of its outstanding obligations prior to payment of all other obligations; or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B.5.</w:t>
      </w:r>
      <w:r>
        <w:rPr>
          <w:rFonts w:ascii="Times New Roman" w:hAnsi="Times New Roman"/>
          <w:sz w:val="22"/>
          <w:szCs w:val="22"/>
        </w:rPr>
        <w:tab/>
      </w:r>
      <w:r w:rsidRPr="001448F1">
        <w:rPr>
          <w:rFonts w:ascii="Times New Roman" w:hAnsi="Times New Roman"/>
          <w:sz w:val="22"/>
          <w:szCs w:val="22"/>
        </w:rPr>
        <w:t xml:space="preserve">the Transmission Customer provides a letter of unconditional and continuing guaranty from its parent company. Such letter of guaranty must be acceptable to the Transmission Provider as to form and substance and can be used only if the guarantor meets, at the time of execution and maintains during the life of the applicable Service Agreement, a minimum credit rating as stated in Section B1. However, to the extent that the guarantor is placed on watch for possible downgrade and has: i) a S&amp;P Long-Term Issuer Credit Rating of BBB (or below); or ii) a Moody’s Long- Term Issuer Credit Rating of Baa2 (or below), then the Transmission Customer will be required to provide additional financial assurances as provided in this Attachment L. A draft, acceptable form of a continuing guaranty shall be posted on OASIS; or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B.6.</w:t>
      </w:r>
      <w:r>
        <w:rPr>
          <w:rFonts w:ascii="Times New Roman" w:hAnsi="Times New Roman"/>
          <w:sz w:val="22"/>
          <w:szCs w:val="22"/>
        </w:rPr>
        <w:tab/>
      </w:r>
      <w:r w:rsidRPr="001448F1">
        <w:rPr>
          <w:rFonts w:ascii="Times New Roman" w:hAnsi="Times New Roman"/>
          <w:sz w:val="22"/>
          <w:szCs w:val="22"/>
        </w:rPr>
        <w:t xml:space="preserve"> the Transmission Customer has been in business for at least one (1) year and provides its most recent audited financial statements to the Transmission Provider which demonstrate that the Transmission Customer meets standards that are at least equivalent to the standards underlying a S&amp;P Long-Term Issuer Credit Rating of BBB- (or better) or a Moody’s Long-Term Issuer Credit Rating Baa3 (or better); provided that if the Transmission Customer is not found to be creditworthy pursuant to this Section B.6, then pursuant to Section C.5, the Transmission </w:t>
      </w:r>
      <w:r w:rsidRPr="001448F1">
        <w:rPr>
          <w:rFonts w:ascii="Times New Roman" w:hAnsi="Times New Roman"/>
          <w:sz w:val="22"/>
          <w:szCs w:val="22"/>
        </w:rPr>
        <w:lastRenderedPageBreak/>
        <w:t xml:space="preserve">Provider will inform the Transmission Customer of the reasons for that determination.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B056F6">
        <w:rPr>
          <w:rFonts w:ascii="Times New Roman" w:hAnsi="Times New Roman"/>
          <w:b/>
          <w:sz w:val="22"/>
          <w:szCs w:val="22"/>
        </w:rPr>
        <w:t>C.</w:t>
      </w:r>
      <w:r w:rsidRPr="00B056F6">
        <w:rPr>
          <w:rFonts w:ascii="Times New Roman" w:hAnsi="Times New Roman"/>
          <w:b/>
          <w:sz w:val="22"/>
          <w:szCs w:val="22"/>
        </w:rPr>
        <w:tab/>
        <w:t>Creditworthiness Procedures:</w:t>
      </w:r>
      <w:r w:rsidRPr="001448F1">
        <w:rPr>
          <w:rFonts w:ascii="Times New Roman" w:hAnsi="Times New Roman"/>
          <w:sz w:val="22"/>
          <w:szCs w:val="22"/>
        </w:rPr>
        <w:t xml:space="preserve"> The Transmission Provider shall require financial assurances in accordance with the procedures set forth below: </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B056F6">
        <w:rPr>
          <w:rFonts w:ascii="Times New Roman" w:hAnsi="Times New Roman"/>
          <w:b/>
          <w:sz w:val="22"/>
          <w:szCs w:val="22"/>
        </w:rPr>
        <w:t>C</w:t>
      </w:r>
      <w:r>
        <w:rPr>
          <w:rFonts w:ascii="Times New Roman" w:hAnsi="Times New Roman"/>
          <w:b/>
          <w:sz w:val="22"/>
          <w:szCs w:val="22"/>
        </w:rPr>
        <w:t>.</w:t>
      </w:r>
      <w:r w:rsidRPr="00B056F6">
        <w:rPr>
          <w:rFonts w:ascii="Times New Roman" w:hAnsi="Times New Roman"/>
          <w:b/>
          <w:sz w:val="22"/>
          <w:szCs w:val="22"/>
        </w:rPr>
        <w:t>1.</w:t>
      </w:r>
      <w:r w:rsidRPr="00B056F6">
        <w:rPr>
          <w:rFonts w:ascii="Times New Roman" w:hAnsi="Times New Roman"/>
          <w:b/>
          <w:sz w:val="22"/>
          <w:szCs w:val="22"/>
        </w:rPr>
        <w:tab/>
        <w:t>New Transmission Service:</w:t>
      </w:r>
      <w:r w:rsidRPr="001448F1">
        <w:rPr>
          <w:rFonts w:ascii="Times New Roman" w:hAnsi="Times New Roman"/>
          <w:sz w:val="22"/>
          <w:szCs w:val="22"/>
        </w:rPr>
        <w:t xml:space="preserve"> Upon its execution of a Transmission Service Agreement, a new Transmission Customer (or an existing Transmission Customer requesting new service) that does not meet the creditworthiness requirements established in Section B shall either: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C.1.i.</w:t>
      </w:r>
      <w:r>
        <w:rPr>
          <w:rFonts w:ascii="Times New Roman" w:hAnsi="Times New Roman"/>
          <w:sz w:val="22"/>
          <w:szCs w:val="22"/>
        </w:rPr>
        <w:tab/>
      </w:r>
      <w:r w:rsidRPr="001448F1">
        <w:rPr>
          <w:rFonts w:ascii="Times New Roman" w:hAnsi="Times New Roman"/>
          <w:sz w:val="22"/>
          <w:szCs w:val="22"/>
        </w:rPr>
        <w:t>provide an unconditional and irrevocable standby letter of credit, or an alternative form of security identified in Section E, in an amount equal to two (2) times the estimated charges for transmission and ancillary services including losses (rounded to the nearest thousand dollar increment) for an average month for that type of service.</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C.1.i.a.</w:t>
      </w:r>
      <w:r>
        <w:rPr>
          <w:rFonts w:ascii="Times New Roman" w:hAnsi="Times New Roman"/>
          <w:sz w:val="22"/>
          <w:szCs w:val="22"/>
        </w:rPr>
        <w:tab/>
      </w:r>
      <w:r>
        <w:rPr>
          <w:rFonts w:ascii="Times New Roman" w:hAnsi="Times New Roman"/>
          <w:sz w:val="22"/>
          <w:szCs w:val="22"/>
        </w:rPr>
        <w:tab/>
      </w:r>
      <w:r w:rsidRPr="001448F1">
        <w:rPr>
          <w:rFonts w:ascii="Times New Roman" w:hAnsi="Times New Roman"/>
          <w:sz w:val="22"/>
          <w:szCs w:val="22"/>
        </w:rPr>
        <w:t xml:space="preserve">Provided, however, uncreditworthy customers applying for Non-Firm Point-to-Point Transmission Service shall provide an unconditional and irrevocable standby letter of credit, or an alternative form of security identified in Section E, in an amount equal to three (3) times the estimated charges for transmission and ancillary services including losses (rounded to the nearest thousand dollar increment) for an average month for that type of service.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C.1.i.b.</w:t>
      </w:r>
      <w:r>
        <w:rPr>
          <w:rFonts w:ascii="Times New Roman" w:hAnsi="Times New Roman"/>
          <w:sz w:val="22"/>
          <w:szCs w:val="22"/>
        </w:rPr>
        <w:tab/>
      </w:r>
      <w:r>
        <w:rPr>
          <w:rFonts w:ascii="Times New Roman" w:hAnsi="Times New Roman"/>
          <w:sz w:val="22"/>
          <w:szCs w:val="22"/>
        </w:rPr>
        <w:tab/>
      </w:r>
      <w:r w:rsidRPr="001448F1">
        <w:rPr>
          <w:rFonts w:ascii="Times New Roman" w:hAnsi="Times New Roman"/>
          <w:sz w:val="22"/>
          <w:szCs w:val="22"/>
        </w:rPr>
        <w:t xml:space="preserve">The estimated average monthly charge for Long-Term Firm Point-to-Point and Network Integration Transmission Service shall be based on the Long-Term Firm Point-to-Point Transmission Service rate for the reserved capacity or the load being served, respectively. Any letter of credit provided by a Transmission Customer must be acceptable to the Transmission Provider and consistent with the Commercial practices established by the Uniform Commercial Code. All costs associated with the issuance and maintenance of a letter of credit shall be paid by the Transmission Customer. A draft, acceptable form of a letter of credit shall be posted on OASIS; or </w:t>
      </w:r>
    </w:p>
    <w:p w:rsidR="003A0A84" w:rsidRPr="001448F1" w:rsidRDefault="003A0A84" w:rsidP="003A0A84">
      <w:pPr>
        <w:spacing w:line="360" w:lineRule="auto"/>
        <w:ind w:left="1440"/>
        <w:rPr>
          <w:rFonts w:ascii="Times New Roman" w:hAnsi="Times New Roman"/>
          <w:sz w:val="22"/>
          <w:szCs w:val="22"/>
        </w:rPr>
      </w:pPr>
    </w:p>
    <w:p w:rsidR="003A0A84" w:rsidRDefault="00AF27BD" w:rsidP="003A0A84">
      <w:pPr>
        <w:spacing w:line="360" w:lineRule="auto"/>
        <w:ind w:firstLine="720"/>
        <w:rPr>
          <w:rFonts w:ascii="Times New Roman" w:hAnsi="Times New Roman"/>
          <w:sz w:val="22"/>
          <w:szCs w:val="22"/>
        </w:rPr>
      </w:pPr>
      <w:r>
        <w:rPr>
          <w:rFonts w:ascii="Times New Roman" w:hAnsi="Times New Roman"/>
          <w:sz w:val="22"/>
          <w:szCs w:val="22"/>
        </w:rPr>
        <w:t>C.1.ii.</w:t>
      </w:r>
      <w:r>
        <w:rPr>
          <w:rFonts w:ascii="Times New Roman" w:hAnsi="Times New Roman"/>
          <w:sz w:val="22"/>
          <w:szCs w:val="22"/>
        </w:rPr>
        <w:tab/>
      </w:r>
      <w:r w:rsidRPr="001448F1">
        <w:rPr>
          <w:rFonts w:ascii="Times New Roman" w:hAnsi="Times New Roman"/>
          <w:sz w:val="22"/>
          <w:szCs w:val="22"/>
        </w:rPr>
        <w:t>arrange to prepay for Transmission Service as follows:</w:t>
      </w:r>
    </w:p>
    <w:p w:rsidR="003A0A84" w:rsidRPr="001448F1" w:rsidRDefault="003A0A84" w:rsidP="003A0A84">
      <w:pPr>
        <w:spacing w:line="360" w:lineRule="auto"/>
        <w:ind w:firstLine="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 xml:space="preserve">C.1.ii.a. </w:t>
      </w:r>
      <w:r>
        <w:rPr>
          <w:rFonts w:ascii="Times New Roman" w:hAnsi="Times New Roman"/>
          <w:sz w:val="22"/>
          <w:szCs w:val="22"/>
        </w:rPr>
        <w:tab/>
      </w:r>
      <w:r w:rsidRPr="001448F1">
        <w:rPr>
          <w:rFonts w:ascii="Times New Roman" w:hAnsi="Times New Roman"/>
          <w:sz w:val="22"/>
          <w:szCs w:val="22"/>
        </w:rPr>
        <w:t xml:space="preserve">For requests with a term greater than one month, the prepayment for the first month must be made when the Transmission Customer makes its reservation for that Transmission Service request, and no later than five (5) business days before the commencement </w:t>
      </w:r>
      <w:r w:rsidRPr="001448F1">
        <w:rPr>
          <w:rFonts w:ascii="Times New Roman" w:hAnsi="Times New Roman"/>
          <w:sz w:val="22"/>
          <w:szCs w:val="22"/>
        </w:rPr>
        <w:lastRenderedPageBreak/>
        <w:t>of service. Prepayments for the subsequent months of service must be made no later than five (5) business days prior to the beginning of each month;</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C.1.ii.b.</w:t>
      </w:r>
      <w:r>
        <w:rPr>
          <w:rFonts w:ascii="Times New Roman" w:hAnsi="Times New Roman"/>
          <w:sz w:val="22"/>
          <w:szCs w:val="22"/>
        </w:rPr>
        <w:tab/>
      </w:r>
      <w:r>
        <w:rPr>
          <w:rFonts w:ascii="Times New Roman" w:hAnsi="Times New Roman"/>
          <w:sz w:val="22"/>
          <w:szCs w:val="22"/>
        </w:rPr>
        <w:tab/>
      </w:r>
      <w:r w:rsidRPr="001448F1">
        <w:rPr>
          <w:rFonts w:ascii="Times New Roman" w:hAnsi="Times New Roman"/>
          <w:sz w:val="22"/>
          <w:szCs w:val="22"/>
        </w:rPr>
        <w:t>For service for one (1) month or less, the Transmission Customer shall pay the total charge for service when it makes the request, and no later than five (5) business days prior to the commencement of service. For Network Integration Transmission Service customers, the advance payment for each month shall be based on a reasonable estimate by the Transmission Provider of the charge for that month. The Transmission Provider shall pay interest on any prepayments made pursuant to this Section C.1(ii) at the rates established in 18 C.F.R.§ 35.19a(2)(iii).</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Where applicable, all uncreditworthy customers applying for new service that fail to meet Section B’s creditworthiness criteria shall also pay the application deposits required by either Sections 17.3 or 29.2 of the Tariff.</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B056F6">
        <w:rPr>
          <w:rFonts w:ascii="Times New Roman" w:hAnsi="Times New Roman"/>
          <w:b/>
          <w:sz w:val="22"/>
          <w:szCs w:val="22"/>
        </w:rPr>
        <w:t>C</w:t>
      </w:r>
      <w:r>
        <w:rPr>
          <w:rFonts w:ascii="Times New Roman" w:hAnsi="Times New Roman"/>
          <w:b/>
          <w:sz w:val="22"/>
          <w:szCs w:val="22"/>
        </w:rPr>
        <w:t>.</w:t>
      </w:r>
      <w:r w:rsidRPr="00B056F6">
        <w:rPr>
          <w:rFonts w:ascii="Times New Roman" w:hAnsi="Times New Roman"/>
          <w:b/>
          <w:sz w:val="22"/>
          <w:szCs w:val="22"/>
        </w:rPr>
        <w:t>2.</w:t>
      </w:r>
      <w:r w:rsidRPr="00B056F6">
        <w:rPr>
          <w:rFonts w:ascii="Times New Roman" w:hAnsi="Times New Roman"/>
          <w:b/>
          <w:sz w:val="22"/>
          <w:szCs w:val="22"/>
        </w:rPr>
        <w:tab/>
        <w:t>Existing Transmission Customers:</w:t>
      </w:r>
      <w:r w:rsidRPr="001448F1">
        <w:rPr>
          <w:rFonts w:ascii="Times New Roman" w:hAnsi="Times New Roman"/>
          <w:sz w:val="22"/>
          <w:szCs w:val="22"/>
        </w:rPr>
        <w:t xml:space="preserve"> Any Transmission Customer that originally meets the creditworthiness requirements of Section B and subsequently fails to meet those requirements after it requests Transmission Service but before termination of that service shall:</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C.2.i.</w:t>
      </w:r>
      <w:r>
        <w:rPr>
          <w:rFonts w:ascii="Times New Roman" w:hAnsi="Times New Roman"/>
          <w:sz w:val="22"/>
          <w:szCs w:val="22"/>
        </w:rPr>
        <w:tab/>
      </w:r>
      <w:r w:rsidRPr="001448F1">
        <w:rPr>
          <w:rFonts w:ascii="Times New Roman" w:hAnsi="Times New Roman"/>
          <w:sz w:val="22"/>
          <w:szCs w:val="22"/>
        </w:rPr>
        <w:t>Within five (5) business days of receipt of a notice from the Transmission Provider,  provide the Transmission Provider an acceptable form of financial assurance permitted by this Attachment L that is equal to the Transmission Customer’s average monthly Transmission Services charge for the applicable Transmission Service; and</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C.2.ii.</w:t>
      </w:r>
      <w:r>
        <w:rPr>
          <w:rFonts w:ascii="Times New Roman" w:hAnsi="Times New Roman"/>
          <w:sz w:val="22"/>
          <w:szCs w:val="22"/>
        </w:rPr>
        <w:tab/>
      </w:r>
      <w:r w:rsidRPr="001448F1">
        <w:rPr>
          <w:rFonts w:ascii="Times New Roman" w:hAnsi="Times New Roman"/>
          <w:sz w:val="22"/>
          <w:szCs w:val="22"/>
        </w:rPr>
        <w:t xml:space="preserve">Within thirty-five (35) calendar days of such notification, provide the Transmission Provider either: (a) an unconditional and irrevocable letter of credit that is equal to two (2) times the Transmission Customer’s average monthly Transmission Services charge for the applicable Transmission Service, including losses; or (b) an equivalent alternate form of financial assurance pursuant to Section E; or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C.2.iii.</w:t>
      </w:r>
      <w:r>
        <w:rPr>
          <w:rFonts w:ascii="Times New Roman" w:hAnsi="Times New Roman"/>
          <w:sz w:val="22"/>
          <w:szCs w:val="22"/>
        </w:rPr>
        <w:tab/>
      </w:r>
      <w:r w:rsidRPr="001448F1">
        <w:rPr>
          <w:rFonts w:ascii="Times New Roman" w:hAnsi="Times New Roman"/>
          <w:sz w:val="22"/>
          <w:szCs w:val="22"/>
        </w:rPr>
        <w:t xml:space="preserve">arrange to prepay for Transmission Service in accordance with the procedures set forth in Section C.1(ii). Provided, however, the Transmission Customer must provide the Transmission Provider payment for all outstanding Transmission Service charges no later than five (5) business days prior to the beginning of the next month. </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C.3.</w:t>
      </w:r>
      <w:r>
        <w:rPr>
          <w:rFonts w:ascii="Times New Roman" w:hAnsi="Times New Roman"/>
          <w:sz w:val="22"/>
          <w:szCs w:val="22"/>
        </w:rPr>
        <w:tab/>
      </w:r>
      <w:r w:rsidRPr="001448F1">
        <w:rPr>
          <w:rFonts w:ascii="Times New Roman" w:hAnsi="Times New Roman"/>
          <w:sz w:val="22"/>
          <w:szCs w:val="22"/>
        </w:rPr>
        <w:t>The average monthly Transmission Service charge for Sections C.2 (i) and (ii) will be based on the Transmission Customer’s charges during the preceding twelve (12) months for the applicable Transmission Service. If the Transmission Customer has not yet been purchasing service for twelve (12) months, then the average will be the higher of either: (a) the average of the monthly cost of service to date; or (b) the average value specified in Section C.1.</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 xml:space="preserve">C.4. </w:t>
      </w:r>
      <w:r w:rsidRPr="00D14A34">
        <w:rPr>
          <w:rFonts w:ascii="Times New Roman" w:hAnsi="Times New Roman"/>
          <w:b/>
          <w:sz w:val="22"/>
          <w:szCs w:val="22"/>
        </w:rPr>
        <w:tab/>
        <w:t>Right to Protect Against Additional Risk of Non-payment:</w:t>
      </w:r>
      <w:r w:rsidRPr="001448F1">
        <w:rPr>
          <w:rFonts w:ascii="Times New Roman" w:hAnsi="Times New Roman"/>
          <w:sz w:val="22"/>
          <w:szCs w:val="22"/>
        </w:rPr>
        <w:t xml:space="preserve">  All financial assurances calculated and collected pursuant to Sections C.1 and C.2 must be sufficient to protect the Transmission Provider from the risk of non-payment with respect to an uncreditworthy Transmission Customer during the entire term of such customer’s Transmission Service Agreement. Accordingly, after an uncreditworthy customer has provided the Transmission Provider financial assurances pursuant to Sections C.1 or C.2, the Transmission Provider will monitor the amount of such customer’s Transmission Services charges to ensure that it has provided a sufficient amount of security to protect the Transmission Provider against the risk of non-payment. If a Transmission Customer is not in Default pursuant to Section 7.3, then the Transmission Customer shall provide the adjusted amount of financial assurances required pursuant to this Section C.3 within thirty-five (35) calendar days of receipt of a notice from the Transmission Provider. A Transmission Customer will not be required to adjust its financial assurances pursuant to this Section C.3 more than twice every twelve (12) months.</w:t>
      </w:r>
    </w:p>
    <w:p w:rsidR="003A0A84"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C.4.i.</w:t>
      </w:r>
      <w:r w:rsidRPr="00D14A34">
        <w:rPr>
          <w:rFonts w:ascii="Times New Roman" w:hAnsi="Times New Roman"/>
          <w:b/>
          <w:sz w:val="22"/>
          <w:szCs w:val="22"/>
        </w:rPr>
        <w:tab/>
        <w:t xml:space="preserve">Adjustment of Financial Assurances Provided Pursuant to Section C.1:  </w:t>
      </w:r>
      <w:r w:rsidRPr="001448F1">
        <w:rPr>
          <w:rFonts w:ascii="Times New Roman" w:hAnsi="Times New Roman"/>
          <w:sz w:val="22"/>
          <w:szCs w:val="22"/>
        </w:rPr>
        <w:t>If a Transmission Customer provided security when initially applying for service pursuant to Section C.1 and the Transmission Provider determines that the Transmission Customer’s actual average monthly Transmission Services charges over any subsequent twelve (12) month period exceed the original average estimated charges for transmission and ancillary services upon which a financial assurance initially was based, then the Transmission Customer must increase its financial assurance to be equal to three (3) times its current actual average monthly purchases of Transmission Service. The value of the actual average monthly purchases of Transmission Services evaluated pursuant to this Section C.3.i will be based on the preceding twelve (12) month period as measured from the date immediately prior to the Transmission Provider’s credit re-evaluation. Pursuant to Section C.1, the sum of any required security will include, where applicable, any application deposits required pursuant to Sections 17.3 or 29.2.</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lastRenderedPageBreak/>
        <w:t>C.4.ii.</w:t>
      </w:r>
      <w:r w:rsidRPr="00D14A34">
        <w:rPr>
          <w:rFonts w:ascii="Times New Roman" w:hAnsi="Times New Roman"/>
          <w:b/>
          <w:sz w:val="22"/>
          <w:szCs w:val="22"/>
        </w:rPr>
        <w:tab/>
        <w:t>Adjustment of Financial Assurances Provided Pursuant to Section C.2:</w:t>
      </w:r>
      <w:r w:rsidRPr="001448F1">
        <w:rPr>
          <w:rFonts w:ascii="Times New Roman" w:hAnsi="Times New Roman"/>
          <w:sz w:val="22"/>
          <w:szCs w:val="22"/>
        </w:rPr>
        <w:t xml:space="preserve">  If a Transmission Customer provided security pursuant to Section C.2 and the Transmission Provider determines that the customer’s actual average monthly purchases of Transmission Services over a subsequent twelve (12) month period exceed the original monthly average for charges for transmission and ancillary services upon which the amount of a financial assurance initially was based, then the Transmission Customer must increase the amount of its financial assurance to be equal to three (3) times its actual average purchases of Transmission Service. The value of the actual average monthly purchases of Transmission Services evaluated pursuant to this Section C.3.ii will be based on the preceding twelve (12) month period as measured from the date immediately prior to the Transmission Provider’s credit reevaluation.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C.4.iii.</w:t>
      </w:r>
      <w:r w:rsidRPr="00D14A34">
        <w:rPr>
          <w:rFonts w:ascii="Times New Roman" w:hAnsi="Times New Roman"/>
          <w:b/>
          <w:sz w:val="22"/>
          <w:szCs w:val="22"/>
        </w:rPr>
        <w:tab/>
        <w:t>Transmission Customer Right To Request A Credit Reevaluation:</w:t>
      </w:r>
      <w:r w:rsidRPr="001448F1">
        <w:rPr>
          <w:rFonts w:ascii="Times New Roman" w:hAnsi="Times New Roman"/>
          <w:sz w:val="22"/>
          <w:szCs w:val="22"/>
        </w:rPr>
        <w:t xml:space="preserve">  Transmission Customers may make reasonable requests for the Transmission Provider to re-evaluate their creditworthiness pursuant to the relevant standard established in either Section C.4.i or C.4.ii. Based on such a re-evaluation, if appropriate, the Transmission Provider will reduce the amount of financial security requested from a Transmission Customer if an analysis of its transmission usage over the preceding twelve (12) month period indicates that the customer has provided security in excess of that required by this Attachment L.</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C.4.iv.</w:t>
      </w:r>
      <w:r w:rsidRPr="00D14A34">
        <w:rPr>
          <w:rFonts w:ascii="Times New Roman" w:hAnsi="Times New Roman"/>
          <w:b/>
          <w:sz w:val="22"/>
          <w:szCs w:val="22"/>
        </w:rPr>
        <w:tab/>
        <w:t>Right to Draw Upon Financial Assurances Upon Default:</w:t>
      </w:r>
      <w:r w:rsidRPr="001448F1">
        <w:rPr>
          <w:rFonts w:ascii="Times New Roman" w:hAnsi="Times New Roman"/>
          <w:sz w:val="22"/>
          <w:szCs w:val="22"/>
        </w:rPr>
        <w:t xml:space="preserve"> The Transmission Provider has the right to liquidate, or draw upon, all or a portion of a Transmission Customer’s form of financial assurance(s) in order to satisfy a Transmission Customer’s total net obligations to the Transmission Provider upon a Default pursuant to Section 7.3 of the Tariff. A Transmission Customer shall replace any liquidated, or drawn-upon, financial assurances pursuant to the timeframe delineated in Section C.2.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C.5.</w:t>
      </w:r>
      <w:r w:rsidRPr="00D14A34">
        <w:rPr>
          <w:rFonts w:ascii="Times New Roman" w:hAnsi="Times New Roman"/>
          <w:b/>
          <w:sz w:val="22"/>
          <w:szCs w:val="22"/>
        </w:rPr>
        <w:tab/>
        <w:t>Notice:</w:t>
      </w:r>
      <w:r w:rsidRPr="001448F1">
        <w:rPr>
          <w:rFonts w:ascii="Times New Roman" w:hAnsi="Times New Roman"/>
          <w:sz w:val="22"/>
          <w:szCs w:val="22"/>
        </w:rPr>
        <w:t xml:space="preserve"> The Transmission Provider’s notification to a Transmission Customer will inform the Transmission Customer: </w:t>
      </w:r>
    </w:p>
    <w:p w:rsidR="003A0A84" w:rsidRPr="001448F1" w:rsidRDefault="003A0A84" w:rsidP="003A0A84">
      <w:pPr>
        <w:spacing w:line="360" w:lineRule="auto"/>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Pr>
          <w:rFonts w:ascii="Times New Roman" w:hAnsi="Times New Roman"/>
          <w:sz w:val="22"/>
          <w:szCs w:val="22"/>
        </w:rPr>
        <w:t>C.5.i.</w:t>
      </w:r>
      <w:r>
        <w:rPr>
          <w:rFonts w:ascii="Times New Roman" w:hAnsi="Times New Roman"/>
          <w:sz w:val="22"/>
          <w:szCs w:val="22"/>
        </w:rPr>
        <w:tab/>
      </w:r>
      <w:r w:rsidRPr="001448F1">
        <w:rPr>
          <w:rFonts w:ascii="Times New Roman" w:hAnsi="Times New Roman"/>
          <w:sz w:val="22"/>
          <w:szCs w:val="22"/>
        </w:rPr>
        <w:t xml:space="preserve">that it is not creditworthy pursuant to this Attachment L, or in accordance with Section C.3, that it must adjust previously provided financial assurances;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sz w:val="22"/>
          <w:szCs w:val="22"/>
        </w:rPr>
        <w:t>C.5.i</w:t>
      </w:r>
      <w:r>
        <w:rPr>
          <w:rFonts w:ascii="Times New Roman" w:hAnsi="Times New Roman"/>
          <w:sz w:val="22"/>
          <w:szCs w:val="22"/>
        </w:rPr>
        <w:t>i</w:t>
      </w:r>
      <w:r w:rsidRPr="00D14A34">
        <w:rPr>
          <w:rFonts w:ascii="Times New Roman" w:hAnsi="Times New Roman"/>
          <w:sz w:val="22"/>
          <w:szCs w:val="22"/>
        </w:rPr>
        <w:t>.</w:t>
      </w:r>
      <w:r w:rsidRPr="00D14A34">
        <w:rPr>
          <w:rFonts w:ascii="Times New Roman" w:hAnsi="Times New Roman"/>
          <w:sz w:val="22"/>
          <w:szCs w:val="22"/>
        </w:rPr>
        <w:tab/>
      </w:r>
      <w:r w:rsidRPr="001448F1">
        <w:rPr>
          <w:rFonts w:ascii="Times New Roman" w:hAnsi="Times New Roman"/>
          <w:sz w:val="22"/>
          <w:szCs w:val="22"/>
        </w:rPr>
        <w:t xml:space="preserve">why it is not creditworthy or why it must adjust previously provided financial assurances; </w:t>
      </w:r>
    </w:p>
    <w:p w:rsidR="003A0A84" w:rsidRPr="001448F1" w:rsidRDefault="003A0A84" w:rsidP="003A0A84">
      <w:pPr>
        <w:spacing w:line="360" w:lineRule="auto"/>
        <w:ind w:left="720"/>
        <w:rPr>
          <w:rFonts w:ascii="Times New Roman" w:hAnsi="Times New Roman"/>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sz w:val="22"/>
          <w:szCs w:val="22"/>
        </w:rPr>
        <w:lastRenderedPageBreak/>
        <w:t>C.5.i</w:t>
      </w:r>
      <w:r>
        <w:rPr>
          <w:rFonts w:ascii="Times New Roman" w:hAnsi="Times New Roman"/>
          <w:sz w:val="22"/>
          <w:szCs w:val="22"/>
        </w:rPr>
        <w:t>ii</w:t>
      </w:r>
      <w:r w:rsidRPr="00D14A34">
        <w:rPr>
          <w:rFonts w:ascii="Times New Roman" w:hAnsi="Times New Roman"/>
          <w:sz w:val="22"/>
          <w:szCs w:val="22"/>
        </w:rPr>
        <w:t>.</w:t>
      </w:r>
      <w:r w:rsidRPr="00D14A34">
        <w:rPr>
          <w:rFonts w:ascii="Times New Roman" w:hAnsi="Times New Roman"/>
          <w:sz w:val="22"/>
          <w:szCs w:val="22"/>
        </w:rPr>
        <w:tab/>
      </w:r>
      <w:r w:rsidRPr="001448F1">
        <w:rPr>
          <w:rFonts w:ascii="Times New Roman" w:hAnsi="Times New Roman"/>
          <w:sz w:val="22"/>
          <w:szCs w:val="22"/>
        </w:rPr>
        <w:t xml:space="preserve">that it must provide any required financial assurances by the deadlines specified in the notice; and </w:t>
      </w:r>
    </w:p>
    <w:p w:rsidR="003A0A84" w:rsidRPr="001448F1" w:rsidRDefault="003A0A84" w:rsidP="003A0A84">
      <w:pPr>
        <w:spacing w:line="360" w:lineRule="auto"/>
        <w:ind w:left="720"/>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D14A34">
        <w:rPr>
          <w:rFonts w:ascii="Times New Roman" w:hAnsi="Times New Roman"/>
          <w:sz w:val="22"/>
          <w:szCs w:val="22"/>
        </w:rPr>
        <w:t>C.5.i</w:t>
      </w:r>
      <w:r>
        <w:rPr>
          <w:rFonts w:ascii="Times New Roman" w:hAnsi="Times New Roman"/>
          <w:sz w:val="22"/>
          <w:szCs w:val="22"/>
        </w:rPr>
        <w:t>v</w:t>
      </w:r>
      <w:r w:rsidRPr="00D14A34">
        <w:rPr>
          <w:rFonts w:ascii="Times New Roman" w:hAnsi="Times New Roman"/>
          <w:sz w:val="22"/>
          <w:szCs w:val="22"/>
        </w:rPr>
        <w:t>.</w:t>
      </w:r>
      <w:r w:rsidRPr="00D14A34">
        <w:rPr>
          <w:rFonts w:ascii="Times New Roman" w:hAnsi="Times New Roman"/>
          <w:sz w:val="22"/>
          <w:szCs w:val="22"/>
        </w:rPr>
        <w:tab/>
      </w:r>
      <w:r w:rsidRPr="001448F1">
        <w:rPr>
          <w:rFonts w:ascii="Times New Roman" w:hAnsi="Times New Roman"/>
          <w:sz w:val="22"/>
          <w:szCs w:val="22"/>
        </w:rPr>
        <w:t xml:space="preserve">that the Transmission Provider may take corrective actions, including suspension of service pursuant to Section D, if the Transmission Customer fails to provide the required financial assurances by the specified deadlines.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1448F1">
        <w:rPr>
          <w:rFonts w:ascii="Times New Roman" w:hAnsi="Times New Roman"/>
          <w:sz w:val="22"/>
          <w:szCs w:val="22"/>
        </w:rPr>
        <w:t xml:space="preserve">All notices sent to a Transmission Customer pursuant to this Section C.5 shall be in writing and shall be sent to the Transmission Customer by telefax or overnight courier at the respective telephone number or courier address specified in the Transmission Customer’s application for Transmission Service (or such other address as the Transmission Customer may have designated in writing to the Transmission Provider) and shall become effective upon actual receipt as evidenced by telefax confirmation sheet or tracking information provided by the overnight courier, as the case may be. </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14A34">
        <w:rPr>
          <w:rFonts w:ascii="Times New Roman" w:hAnsi="Times New Roman"/>
          <w:b/>
          <w:sz w:val="22"/>
          <w:szCs w:val="22"/>
        </w:rPr>
        <w:t>D.</w:t>
      </w:r>
      <w:r w:rsidRPr="00D14A34">
        <w:rPr>
          <w:rFonts w:ascii="Times New Roman" w:hAnsi="Times New Roman"/>
          <w:b/>
          <w:sz w:val="22"/>
          <w:szCs w:val="22"/>
        </w:rPr>
        <w:tab/>
        <w:t>Suspension of Service:</w:t>
      </w:r>
      <w:r w:rsidRPr="001448F1">
        <w:rPr>
          <w:rFonts w:ascii="Times New Roman" w:hAnsi="Times New Roman"/>
          <w:sz w:val="22"/>
          <w:szCs w:val="22"/>
        </w:rPr>
        <w:t xml:space="preserve"> The Transmission Provider may suspend Transmission Service if: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D.1.</w:t>
      </w:r>
      <w:r>
        <w:rPr>
          <w:rFonts w:ascii="Times New Roman" w:hAnsi="Times New Roman"/>
          <w:sz w:val="22"/>
          <w:szCs w:val="22"/>
        </w:rPr>
        <w:tab/>
      </w:r>
      <w:r w:rsidRPr="001448F1">
        <w:rPr>
          <w:rFonts w:ascii="Times New Roman" w:hAnsi="Times New Roman"/>
          <w:sz w:val="22"/>
          <w:szCs w:val="22"/>
        </w:rPr>
        <w:t xml:space="preserve">a Transmission Customer that is not in Default pursuant to Section 7.3 of this Tariff fails to provide the entirety of three (3) months of required financial assurances (or the entirety of any additional financial assurances required pursuant to Section C.3 or C.4) within thirty-five (35) calendar days after Transmission Provider’s notification to such Transmission Customer pursuant to Section C.3. Transmission Provider will provide at least thirty (30) calendar days written notice to the Commission before suspending Transmission Service; or </w:t>
      </w:r>
    </w:p>
    <w:p w:rsidR="003A0A84"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Pr>
          <w:rFonts w:ascii="Times New Roman" w:hAnsi="Times New Roman"/>
          <w:sz w:val="22"/>
          <w:szCs w:val="22"/>
        </w:rPr>
        <w:t>D.2.</w:t>
      </w:r>
      <w:r>
        <w:rPr>
          <w:rFonts w:ascii="Times New Roman" w:hAnsi="Times New Roman"/>
          <w:sz w:val="22"/>
          <w:szCs w:val="22"/>
        </w:rPr>
        <w:tab/>
      </w:r>
      <w:r w:rsidRPr="001448F1">
        <w:rPr>
          <w:rFonts w:ascii="Times New Roman" w:hAnsi="Times New Roman"/>
          <w:sz w:val="22"/>
          <w:szCs w:val="22"/>
        </w:rPr>
        <w:t>a Transmission Customer that is in Default pursuant to Section 7.3 of this Tariff fails to provide the entirety of the one month’s requested financial assurance within five (5) business days after the Transmission Provider’s notification to such Transmission Customer pursuant to Section C. Transmission Provider will provide five (5) calendar days written notice to the Commission before suspending Transmission Service. Any notices sent to the Transmission Customer and to the Commission pursuant to this Section D may be telefaxed/mailed concurrently. The suspension of service shall continue only for as long as the circumstances that entitle the Transmission Provider to suspend service continue. A Transmission Customer is not obligated to pay for Transmission Service that is not provided as a result of a suspension of service.</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14A34">
        <w:rPr>
          <w:rFonts w:ascii="Times New Roman" w:hAnsi="Times New Roman"/>
          <w:b/>
          <w:sz w:val="22"/>
          <w:szCs w:val="22"/>
        </w:rPr>
        <w:t>E.</w:t>
      </w:r>
      <w:r w:rsidRPr="00D14A34">
        <w:rPr>
          <w:rFonts w:ascii="Times New Roman" w:hAnsi="Times New Roman"/>
          <w:b/>
          <w:sz w:val="22"/>
          <w:szCs w:val="22"/>
        </w:rPr>
        <w:tab/>
        <w:t>Alternative Forms of Financial Assurance:</w:t>
      </w:r>
      <w:r w:rsidRPr="001448F1">
        <w:rPr>
          <w:rFonts w:ascii="Times New Roman" w:hAnsi="Times New Roman"/>
          <w:sz w:val="22"/>
          <w:szCs w:val="22"/>
        </w:rPr>
        <w:t xml:space="preserve"> Transmission Customer may provide the following as acceptable alternative forms of financial assurance in the amounts specified in Sections C.1 or C.2: </w:t>
      </w:r>
    </w:p>
    <w:p w:rsidR="003A0A84" w:rsidRDefault="003A0A84" w:rsidP="003A0A84">
      <w:pPr>
        <w:spacing w:line="360" w:lineRule="auto"/>
        <w:rPr>
          <w:rFonts w:ascii="Times New Roman" w:hAnsi="Times New Roman"/>
          <w:b/>
          <w:sz w:val="22"/>
          <w:szCs w:val="22"/>
        </w:rPr>
      </w:pPr>
    </w:p>
    <w:p w:rsidR="003A0A84"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E.1.</w:t>
      </w:r>
      <w:r w:rsidRPr="00D14A34">
        <w:rPr>
          <w:rFonts w:ascii="Times New Roman" w:hAnsi="Times New Roman"/>
          <w:b/>
          <w:sz w:val="22"/>
          <w:szCs w:val="22"/>
        </w:rPr>
        <w:tab/>
        <w:t>Cash Deposit:</w:t>
      </w:r>
      <w:r w:rsidRPr="001448F1">
        <w:rPr>
          <w:rFonts w:ascii="Times New Roman" w:hAnsi="Times New Roman"/>
          <w:sz w:val="22"/>
          <w:szCs w:val="22"/>
        </w:rPr>
        <w:t xml:space="preserve"> The Transmission Customer may provide a cash deposit that will be retained during the term of (and until full and final payment and performance of) any relevant Service Agreement. If a Transmission Customer has submitted multiple requests for Transmission Service, then the Transmission Provider may require a cash deposit for each Service Agreement. Cash deposits submitted as a form of financial assurance will be held by the Transmission Provider and the Transmission Customer will be paid an interest rate that is equal to the interest rate earned on the escrow account in which the cash deposit is held. The cash deposit can be made by wiring immediately available funds to the Transmission Provider’s account.</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ind w:left="720"/>
        <w:rPr>
          <w:rFonts w:ascii="Times New Roman" w:hAnsi="Times New Roman"/>
          <w:sz w:val="22"/>
          <w:szCs w:val="22"/>
        </w:rPr>
      </w:pPr>
      <w:r w:rsidRPr="00D14A34">
        <w:rPr>
          <w:rFonts w:ascii="Times New Roman" w:hAnsi="Times New Roman"/>
          <w:b/>
          <w:sz w:val="22"/>
          <w:szCs w:val="22"/>
        </w:rPr>
        <w:t>E.2.</w:t>
      </w:r>
      <w:r w:rsidRPr="00D14A34">
        <w:rPr>
          <w:rFonts w:ascii="Times New Roman" w:hAnsi="Times New Roman"/>
          <w:b/>
          <w:sz w:val="22"/>
          <w:szCs w:val="22"/>
        </w:rPr>
        <w:tab/>
        <w:t>Surety Bond:</w:t>
      </w:r>
      <w:r w:rsidRPr="001448F1">
        <w:rPr>
          <w:rFonts w:ascii="Times New Roman" w:hAnsi="Times New Roman"/>
          <w:sz w:val="22"/>
          <w:szCs w:val="22"/>
        </w:rPr>
        <w:t xml:space="preserve"> The Transmission Customer may provide, and maintain in effect during the term of (and until full and final payment and performance of) the applicable Service Agreement, a surety bond issued by a financial institution acceptable to Transmission Provider. If a Transmission Customer has submitted multiple requests for Transmission Service, then the Transmission Provider may require a surety bond for each Service Agreement. All costs associated with the issuance and maintenance of a surety bond shall be paid by the Transmission Customer. A draft, acceptable form of a surety bond shall be posted on OASIS.</w:t>
      </w:r>
    </w:p>
    <w:p w:rsidR="003A0A84" w:rsidRPr="001448F1" w:rsidRDefault="003A0A84" w:rsidP="003A0A84">
      <w:pPr>
        <w:spacing w:line="360" w:lineRule="auto"/>
        <w:rPr>
          <w:rFonts w:ascii="Times New Roman" w:hAnsi="Times New Roman"/>
          <w:sz w:val="22"/>
          <w:szCs w:val="22"/>
        </w:rPr>
      </w:pPr>
    </w:p>
    <w:p w:rsidR="003A0A84" w:rsidRPr="001448F1" w:rsidRDefault="00AF27BD" w:rsidP="003A0A84">
      <w:pPr>
        <w:spacing w:line="360" w:lineRule="auto"/>
        <w:rPr>
          <w:rFonts w:ascii="Times New Roman" w:hAnsi="Times New Roman"/>
          <w:sz w:val="22"/>
          <w:szCs w:val="22"/>
        </w:rPr>
      </w:pPr>
      <w:r w:rsidRPr="00D14A34">
        <w:rPr>
          <w:rFonts w:ascii="Times New Roman" w:hAnsi="Times New Roman"/>
          <w:b/>
          <w:sz w:val="22"/>
          <w:szCs w:val="22"/>
        </w:rPr>
        <w:t xml:space="preserve">F. </w:t>
      </w:r>
      <w:r w:rsidRPr="00D14A34">
        <w:rPr>
          <w:rFonts w:ascii="Times New Roman" w:hAnsi="Times New Roman"/>
          <w:b/>
          <w:sz w:val="22"/>
          <w:szCs w:val="22"/>
        </w:rPr>
        <w:tab/>
        <w:t>Return of Financial Assurances upon Re-establishment of Creditworthiness:</w:t>
      </w:r>
      <w:r w:rsidRPr="001448F1">
        <w:rPr>
          <w:rFonts w:ascii="Times New Roman" w:hAnsi="Times New Roman"/>
          <w:sz w:val="22"/>
          <w:szCs w:val="22"/>
        </w:rPr>
        <w:t xml:space="preserve"> If a Transmission Customer re-establishes creditworthiness pursuant to Section B, then upon verification by Transmission Provider, all financial assurances will be returned (or terminated, if applicable) to the Transmission Customer with interest (if applicable), upon payment of all past due balances to the Transmission Provider pursuant to the Tariff.</w:t>
      </w:r>
    </w:p>
    <w:sectPr w:rsidR="003A0A84" w:rsidRPr="001448F1" w:rsidSect="003A0A84">
      <w:headerReference w:type="default" r:id="rId23"/>
      <w:pgSz w:w="12240" w:h="15840" w:code="1"/>
      <w:pgMar w:top="1440" w:right="1440" w:bottom="1440" w:left="1440" w:header="720" w:footer="6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BE" w:rsidRDefault="00B866BE" w:rsidP="00942127">
      <w:r>
        <w:separator/>
      </w:r>
    </w:p>
  </w:endnote>
  <w:endnote w:type="continuationSeparator" w:id="0">
    <w:p w:rsidR="00B866BE" w:rsidRDefault="00B866BE" w:rsidP="00942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d BT">
    <w:altName w:val="Bookman Old Style"/>
    <w:charset w:val="00"/>
    <w:family w:val="roman"/>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BE" w:rsidRDefault="00B866BE" w:rsidP="00942127">
      <w:r>
        <w:separator/>
      </w:r>
    </w:p>
  </w:footnote>
  <w:footnote w:type="continuationSeparator" w:id="0">
    <w:p w:rsidR="00B866BE" w:rsidRDefault="00B866BE" w:rsidP="0094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Default="00B866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E" w:rsidRPr="00966456" w:rsidRDefault="00B866BE" w:rsidP="003A0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CA9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4A86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8056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3A8D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183B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A66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3646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B012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A71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BE3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7236FEF"/>
    <w:multiLevelType w:val="multilevel"/>
    <w:tmpl w:val="D91EFB32"/>
    <w:lvl w:ilvl="0">
      <w:start w:val="2"/>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DC36D71"/>
    <w:multiLevelType w:val="multilevel"/>
    <w:tmpl w:val="E57204C8"/>
    <w:lvl w:ilvl="0">
      <w:start w:val="2"/>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pStyle w:val="Tariff3"/>
      <w:lvlText w:val="%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6304BEE"/>
    <w:multiLevelType w:val="hybridMultilevel"/>
    <w:tmpl w:val="CF86FB96"/>
    <w:lvl w:ilvl="0" w:tplc="8F3EABCC">
      <w:start w:val="1"/>
      <w:numFmt w:val="bullet"/>
      <w:lvlText w:val=""/>
      <w:lvlJc w:val="left"/>
      <w:pPr>
        <w:tabs>
          <w:tab w:val="num" w:pos="720"/>
        </w:tabs>
        <w:ind w:left="720" w:hanging="360"/>
      </w:pPr>
      <w:rPr>
        <w:rFonts w:ascii="Symbol" w:hAnsi="Symbol" w:hint="default"/>
      </w:rPr>
    </w:lvl>
    <w:lvl w:ilvl="1" w:tplc="35847DF6">
      <w:start w:val="1"/>
      <w:numFmt w:val="bullet"/>
      <w:lvlText w:val="-"/>
      <w:lvlJc w:val="left"/>
      <w:pPr>
        <w:tabs>
          <w:tab w:val="num" w:pos="1800"/>
        </w:tabs>
        <w:ind w:left="1800" w:hanging="720"/>
      </w:pPr>
      <w:rPr>
        <w:rFonts w:ascii="Times New Roman" w:eastAsia="Times New Roman" w:hAnsi="Times New Roman" w:cs="Times New Roman" w:hint="default"/>
      </w:rPr>
    </w:lvl>
    <w:lvl w:ilvl="2" w:tplc="A6664662">
      <w:start w:val="1"/>
      <w:numFmt w:val="bullet"/>
      <w:lvlText w:val=""/>
      <w:lvlJc w:val="left"/>
      <w:pPr>
        <w:tabs>
          <w:tab w:val="num" w:pos="2160"/>
        </w:tabs>
        <w:ind w:left="2160" w:hanging="360"/>
      </w:pPr>
      <w:rPr>
        <w:rFonts w:ascii="Wingdings" w:hAnsi="Wingdings" w:hint="default"/>
      </w:rPr>
    </w:lvl>
    <w:lvl w:ilvl="3" w:tplc="B134C9E4" w:tentative="1">
      <w:start w:val="1"/>
      <w:numFmt w:val="bullet"/>
      <w:lvlText w:val=""/>
      <w:lvlJc w:val="left"/>
      <w:pPr>
        <w:tabs>
          <w:tab w:val="num" w:pos="2880"/>
        </w:tabs>
        <w:ind w:left="2880" w:hanging="360"/>
      </w:pPr>
      <w:rPr>
        <w:rFonts w:ascii="Symbol" w:hAnsi="Symbol" w:hint="default"/>
      </w:rPr>
    </w:lvl>
    <w:lvl w:ilvl="4" w:tplc="E1B8F0D6" w:tentative="1">
      <w:start w:val="1"/>
      <w:numFmt w:val="bullet"/>
      <w:lvlText w:val="o"/>
      <w:lvlJc w:val="left"/>
      <w:pPr>
        <w:tabs>
          <w:tab w:val="num" w:pos="3600"/>
        </w:tabs>
        <w:ind w:left="3600" w:hanging="360"/>
      </w:pPr>
      <w:rPr>
        <w:rFonts w:ascii="Courier New" w:hAnsi="Courier New" w:cs="Courier New" w:hint="default"/>
      </w:rPr>
    </w:lvl>
    <w:lvl w:ilvl="5" w:tplc="C958E4C6" w:tentative="1">
      <w:start w:val="1"/>
      <w:numFmt w:val="bullet"/>
      <w:lvlText w:val=""/>
      <w:lvlJc w:val="left"/>
      <w:pPr>
        <w:tabs>
          <w:tab w:val="num" w:pos="4320"/>
        </w:tabs>
        <w:ind w:left="4320" w:hanging="360"/>
      </w:pPr>
      <w:rPr>
        <w:rFonts w:ascii="Wingdings" w:hAnsi="Wingdings" w:hint="default"/>
      </w:rPr>
    </w:lvl>
    <w:lvl w:ilvl="6" w:tplc="192AAF80" w:tentative="1">
      <w:start w:val="1"/>
      <w:numFmt w:val="bullet"/>
      <w:lvlText w:val=""/>
      <w:lvlJc w:val="left"/>
      <w:pPr>
        <w:tabs>
          <w:tab w:val="num" w:pos="5040"/>
        </w:tabs>
        <w:ind w:left="5040" w:hanging="360"/>
      </w:pPr>
      <w:rPr>
        <w:rFonts w:ascii="Symbol" w:hAnsi="Symbol" w:hint="default"/>
      </w:rPr>
    </w:lvl>
    <w:lvl w:ilvl="7" w:tplc="45B8082C" w:tentative="1">
      <w:start w:val="1"/>
      <w:numFmt w:val="bullet"/>
      <w:lvlText w:val="o"/>
      <w:lvlJc w:val="left"/>
      <w:pPr>
        <w:tabs>
          <w:tab w:val="num" w:pos="5760"/>
        </w:tabs>
        <w:ind w:left="5760" w:hanging="360"/>
      </w:pPr>
      <w:rPr>
        <w:rFonts w:ascii="Courier New" w:hAnsi="Courier New" w:cs="Courier New" w:hint="default"/>
      </w:rPr>
    </w:lvl>
    <w:lvl w:ilvl="8" w:tplc="008EC85A" w:tentative="1">
      <w:start w:val="1"/>
      <w:numFmt w:val="bullet"/>
      <w:lvlText w:val=""/>
      <w:lvlJc w:val="left"/>
      <w:pPr>
        <w:tabs>
          <w:tab w:val="num" w:pos="6480"/>
        </w:tabs>
        <w:ind w:left="6480" w:hanging="360"/>
      </w:pPr>
      <w:rPr>
        <w:rFonts w:ascii="Wingdings" w:hAnsi="Wingdings" w:hint="default"/>
      </w:rPr>
    </w:lvl>
  </w:abstractNum>
  <w:abstractNum w:abstractNumId="14">
    <w:nsid w:val="39081D59"/>
    <w:multiLevelType w:val="hybridMultilevel"/>
    <w:tmpl w:val="2ED4DFB4"/>
    <w:lvl w:ilvl="0" w:tplc="6C52EBCE">
      <w:start w:val="1"/>
      <w:numFmt w:val="bullet"/>
      <w:lvlText w:val="-"/>
      <w:lvlJc w:val="left"/>
      <w:pPr>
        <w:tabs>
          <w:tab w:val="num" w:pos="2160"/>
        </w:tabs>
        <w:ind w:left="2160" w:hanging="720"/>
      </w:pPr>
      <w:rPr>
        <w:rFonts w:ascii="Times New Roman" w:eastAsia="Times New Roman" w:hAnsi="Times New Roman" w:cs="Times New Roman" w:hint="default"/>
      </w:rPr>
    </w:lvl>
    <w:lvl w:ilvl="1" w:tplc="E85CB7E0" w:tentative="1">
      <w:start w:val="1"/>
      <w:numFmt w:val="bullet"/>
      <w:lvlText w:val="o"/>
      <w:lvlJc w:val="left"/>
      <w:pPr>
        <w:tabs>
          <w:tab w:val="num" w:pos="2520"/>
        </w:tabs>
        <w:ind w:left="2520" w:hanging="360"/>
      </w:pPr>
      <w:rPr>
        <w:rFonts w:ascii="Courier New" w:hAnsi="Courier New" w:cs="Courier New" w:hint="default"/>
      </w:rPr>
    </w:lvl>
    <w:lvl w:ilvl="2" w:tplc="89BA2536" w:tentative="1">
      <w:start w:val="1"/>
      <w:numFmt w:val="bullet"/>
      <w:lvlText w:val=""/>
      <w:lvlJc w:val="left"/>
      <w:pPr>
        <w:tabs>
          <w:tab w:val="num" w:pos="3240"/>
        </w:tabs>
        <w:ind w:left="3240" w:hanging="360"/>
      </w:pPr>
      <w:rPr>
        <w:rFonts w:ascii="Wingdings" w:hAnsi="Wingdings" w:hint="default"/>
      </w:rPr>
    </w:lvl>
    <w:lvl w:ilvl="3" w:tplc="009A4CB0" w:tentative="1">
      <w:start w:val="1"/>
      <w:numFmt w:val="bullet"/>
      <w:lvlText w:val=""/>
      <w:lvlJc w:val="left"/>
      <w:pPr>
        <w:tabs>
          <w:tab w:val="num" w:pos="3960"/>
        </w:tabs>
        <w:ind w:left="3960" w:hanging="360"/>
      </w:pPr>
      <w:rPr>
        <w:rFonts w:ascii="Symbol" w:hAnsi="Symbol" w:hint="default"/>
      </w:rPr>
    </w:lvl>
    <w:lvl w:ilvl="4" w:tplc="7D98AB7E" w:tentative="1">
      <w:start w:val="1"/>
      <w:numFmt w:val="bullet"/>
      <w:lvlText w:val="o"/>
      <w:lvlJc w:val="left"/>
      <w:pPr>
        <w:tabs>
          <w:tab w:val="num" w:pos="4680"/>
        </w:tabs>
        <w:ind w:left="4680" w:hanging="360"/>
      </w:pPr>
      <w:rPr>
        <w:rFonts w:ascii="Courier New" w:hAnsi="Courier New" w:cs="Courier New" w:hint="default"/>
      </w:rPr>
    </w:lvl>
    <w:lvl w:ilvl="5" w:tplc="AAE22FA0" w:tentative="1">
      <w:start w:val="1"/>
      <w:numFmt w:val="bullet"/>
      <w:lvlText w:val=""/>
      <w:lvlJc w:val="left"/>
      <w:pPr>
        <w:tabs>
          <w:tab w:val="num" w:pos="5400"/>
        </w:tabs>
        <w:ind w:left="5400" w:hanging="360"/>
      </w:pPr>
      <w:rPr>
        <w:rFonts w:ascii="Wingdings" w:hAnsi="Wingdings" w:hint="default"/>
      </w:rPr>
    </w:lvl>
    <w:lvl w:ilvl="6" w:tplc="6D2CA498" w:tentative="1">
      <w:start w:val="1"/>
      <w:numFmt w:val="bullet"/>
      <w:lvlText w:val=""/>
      <w:lvlJc w:val="left"/>
      <w:pPr>
        <w:tabs>
          <w:tab w:val="num" w:pos="6120"/>
        </w:tabs>
        <w:ind w:left="6120" w:hanging="360"/>
      </w:pPr>
      <w:rPr>
        <w:rFonts w:ascii="Symbol" w:hAnsi="Symbol" w:hint="default"/>
      </w:rPr>
    </w:lvl>
    <w:lvl w:ilvl="7" w:tplc="F9ACC836" w:tentative="1">
      <w:start w:val="1"/>
      <w:numFmt w:val="bullet"/>
      <w:lvlText w:val="o"/>
      <w:lvlJc w:val="left"/>
      <w:pPr>
        <w:tabs>
          <w:tab w:val="num" w:pos="6840"/>
        </w:tabs>
        <w:ind w:left="6840" w:hanging="360"/>
      </w:pPr>
      <w:rPr>
        <w:rFonts w:ascii="Courier New" w:hAnsi="Courier New" w:cs="Courier New" w:hint="default"/>
      </w:rPr>
    </w:lvl>
    <w:lvl w:ilvl="8" w:tplc="590A511E" w:tentative="1">
      <w:start w:val="1"/>
      <w:numFmt w:val="bullet"/>
      <w:lvlText w:val=""/>
      <w:lvlJc w:val="left"/>
      <w:pPr>
        <w:tabs>
          <w:tab w:val="num" w:pos="7560"/>
        </w:tabs>
        <w:ind w:left="7560" w:hanging="360"/>
      </w:pPr>
      <w:rPr>
        <w:rFonts w:ascii="Wingdings" w:hAnsi="Wingdings" w:hint="default"/>
      </w:rPr>
    </w:lvl>
  </w:abstractNum>
  <w:abstractNum w:abstractNumId="15">
    <w:nsid w:val="3AF171C9"/>
    <w:multiLevelType w:val="multilevel"/>
    <w:tmpl w:val="10EEE5DC"/>
    <w:lvl w:ilvl="0">
      <w:start w:val="1"/>
      <w:numFmt w:val="upperRoman"/>
      <w:pStyle w:val="Tariff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EC13FAB"/>
    <w:multiLevelType w:val="hybridMultilevel"/>
    <w:tmpl w:val="9E209960"/>
    <w:lvl w:ilvl="0" w:tplc="39108B0A">
      <w:start w:val="2"/>
      <w:numFmt w:val="decimal"/>
      <w:lvlText w:val="%1"/>
      <w:lvlJc w:val="left"/>
      <w:pPr>
        <w:ind w:left="720" w:hanging="360"/>
      </w:pPr>
      <w:rPr>
        <w:rFonts w:hint="default"/>
      </w:rPr>
    </w:lvl>
    <w:lvl w:ilvl="1" w:tplc="66F890EA" w:tentative="1">
      <w:start w:val="1"/>
      <w:numFmt w:val="lowerLetter"/>
      <w:lvlText w:val="%2."/>
      <w:lvlJc w:val="left"/>
      <w:pPr>
        <w:ind w:left="1440" w:hanging="360"/>
      </w:pPr>
    </w:lvl>
    <w:lvl w:ilvl="2" w:tplc="F1C6D884" w:tentative="1">
      <w:start w:val="1"/>
      <w:numFmt w:val="lowerRoman"/>
      <w:lvlText w:val="%3."/>
      <w:lvlJc w:val="right"/>
      <w:pPr>
        <w:ind w:left="2160" w:hanging="180"/>
      </w:pPr>
    </w:lvl>
    <w:lvl w:ilvl="3" w:tplc="DADE393A" w:tentative="1">
      <w:start w:val="1"/>
      <w:numFmt w:val="decimal"/>
      <w:lvlText w:val="%4."/>
      <w:lvlJc w:val="left"/>
      <w:pPr>
        <w:ind w:left="2880" w:hanging="360"/>
      </w:pPr>
    </w:lvl>
    <w:lvl w:ilvl="4" w:tplc="F8F2241A" w:tentative="1">
      <w:start w:val="1"/>
      <w:numFmt w:val="lowerLetter"/>
      <w:lvlText w:val="%5."/>
      <w:lvlJc w:val="left"/>
      <w:pPr>
        <w:ind w:left="3600" w:hanging="360"/>
      </w:pPr>
    </w:lvl>
    <w:lvl w:ilvl="5" w:tplc="86667210" w:tentative="1">
      <w:start w:val="1"/>
      <w:numFmt w:val="lowerRoman"/>
      <w:lvlText w:val="%6."/>
      <w:lvlJc w:val="right"/>
      <w:pPr>
        <w:ind w:left="4320" w:hanging="180"/>
      </w:pPr>
    </w:lvl>
    <w:lvl w:ilvl="6" w:tplc="3988635E" w:tentative="1">
      <w:start w:val="1"/>
      <w:numFmt w:val="decimal"/>
      <w:lvlText w:val="%7."/>
      <w:lvlJc w:val="left"/>
      <w:pPr>
        <w:ind w:left="5040" w:hanging="360"/>
      </w:pPr>
    </w:lvl>
    <w:lvl w:ilvl="7" w:tplc="78C22EF8" w:tentative="1">
      <w:start w:val="1"/>
      <w:numFmt w:val="lowerLetter"/>
      <w:lvlText w:val="%8."/>
      <w:lvlJc w:val="left"/>
      <w:pPr>
        <w:ind w:left="5760" w:hanging="360"/>
      </w:pPr>
    </w:lvl>
    <w:lvl w:ilvl="8" w:tplc="3D20625A" w:tentative="1">
      <w:start w:val="1"/>
      <w:numFmt w:val="lowerRoman"/>
      <w:lvlText w:val="%9."/>
      <w:lvlJc w:val="right"/>
      <w:pPr>
        <w:ind w:left="6480" w:hanging="180"/>
      </w:pPr>
    </w:lvl>
  </w:abstractNum>
  <w:abstractNum w:abstractNumId="17">
    <w:nsid w:val="3F184C61"/>
    <w:multiLevelType w:val="hybridMultilevel"/>
    <w:tmpl w:val="DE5C0AAA"/>
    <w:lvl w:ilvl="0" w:tplc="525E5D80">
      <w:start w:val="1"/>
      <w:numFmt w:val="decimal"/>
      <w:lvlText w:val="%1."/>
      <w:lvlJc w:val="left"/>
      <w:pPr>
        <w:tabs>
          <w:tab w:val="num" w:pos="360"/>
        </w:tabs>
        <w:ind w:left="360" w:hanging="360"/>
      </w:pPr>
    </w:lvl>
    <w:lvl w:ilvl="1" w:tplc="615EDF3E" w:tentative="1">
      <w:start w:val="1"/>
      <w:numFmt w:val="lowerLetter"/>
      <w:lvlText w:val="%2."/>
      <w:lvlJc w:val="left"/>
      <w:pPr>
        <w:tabs>
          <w:tab w:val="num" w:pos="2520"/>
        </w:tabs>
        <w:ind w:left="2520" w:hanging="360"/>
      </w:pPr>
    </w:lvl>
    <w:lvl w:ilvl="2" w:tplc="FF028A14" w:tentative="1">
      <w:start w:val="1"/>
      <w:numFmt w:val="lowerRoman"/>
      <w:lvlText w:val="%3."/>
      <w:lvlJc w:val="right"/>
      <w:pPr>
        <w:tabs>
          <w:tab w:val="num" w:pos="3240"/>
        </w:tabs>
        <w:ind w:left="3240" w:hanging="180"/>
      </w:pPr>
    </w:lvl>
    <w:lvl w:ilvl="3" w:tplc="97BEE5A4" w:tentative="1">
      <w:start w:val="1"/>
      <w:numFmt w:val="decimal"/>
      <w:lvlText w:val="%4."/>
      <w:lvlJc w:val="left"/>
      <w:pPr>
        <w:tabs>
          <w:tab w:val="num" w:pos="3960"/>
        </w:tabs>
        <w:ind w:left="3960" w:hanging="360"/>
      </w:pPr>
    </w:lvl>
    <w:lvl w:ilvl="4" w:tplc="88CEDB68" w:tentative="1">
      <w:start w:val="1"/>
      <w:numFmt w:val="lowerLetter"/>
      <w:lvlText w:val="%5."/>
      <w:lvlJc w:val="left"/>
      <w:pPr>
        <w:tabs>
          <w:tab w:val="num" w:pos="4680"/>
        </w:tabs>
        <w:ind w:left="4680" w:hanging="360"/>
      </w:pPr>
    </w:lvl>
    <w:lvl w:ilvl="5" w:tplc="C8ACFD64" w:tentative="1">
      <w:start w:val="1"/>
      <w:numFmt w:val="lowerRoman"/>
      <w:lvlText w:val="%6."/>
      <w:lvlJc w:val="right"/>
      <w:pPr>
        <w:tabs>
          <w:tab w:val="num" w:pos="5400"/>
        </w:tabs>
        <w:ind w:left="5400" w:hanging="180"/>
      </w:pPr>
    </w:lvl>
    <w:lvl w:ilvl="6" w:tplc="947A8F36" w:tentative="1">
      <w:start w:val="1"/>
      <w:numFmt w:val="decimal"/>
      <w:lvlText w:val="%7."/>
      <w:lvlJc w:val="left"/>
      <w:pPr>
        <w:tabs>
          <w:tab w:val="num" w:pos="6120"/>
        </w:tabs>
        <w:ind w:left="6120" w:hanging="360"/>
      </w:pPr>
    </w:lvl>
    <w:lvl w:ilvl="7" w:tplc="AF26E038" w:tentative="1">
      <w:start w:val="1"/>
      <w:numFmt w:val="lowerLetter"/>
      <w:lvlText w:val="%8."/>
      <w:lvlJc w:val="left"/>
      <w:pPr>
        <w:tabs>
          <w:tab w:val="num" w:pos="6840"/>
        </w:tabs>
        <w:ind w:left="6840" w:hanging="360"/>
      </w:pPr>
    </w:lvl>
    <w:lvl w:ilvl="8" w:tplc="484E53CA" w:tentative="1">
      <w:start w:val="1"/>
      <w:numFmt w:val="lowerRoman"/>
      <w:lvlText w:val="%9."/>
      <w:lvlJc w:val="right"/>
      <w:pPr>
        <w:tabs>
          <w:tab w:val="num" w:pos="7560"/>
        </w:tabs>
        <w:ind w:left="7560" w:hanging="180"/>
      </w:pPr>
    </w:lvl>
  </w:abstractNum>
  <w:abstractNum w:abstractNumId="18">
    <w:nsid w:val="4D416CF3"/>
    <w:multiLevelType w:val="multilevel"/>
    <w:tmpl w:val="04CC57AC"/>
    <w:lvl w:ilvl="0">
      <w:start w:val="1"/>
      <w:numFmt w:val="upperRoman"/>
      <w:suff w:val="nothing"/>
      <w:lvlText w:val="ARTICLE %1"/>
      <w:lvlJc w:val="left"/>
      <w:pPr>
        <w:ind w:left="0" w:firstLine="0"/>
      </w:pPr>
      <w:rPr>
        <w:rFonts w:ascii="Times New Roman" w:hAnsi="Times New Roman" w:hint="default"/>
        <w:b/>
        <w:i w:val="0"/>
        <w:sz w:val="24"/>
        <w:u w:val="single"/>
      </w:rPr>
    </w:lvl>
    <w:lvl w:ilvl="1">
      <w:start w:val="25"/>
      <w:numFmt w:val="decimalZero"/>
      <w:pStyle w:val="Heading1"/>
      <w:isLgl/>
      <w:suff w:val="nothing"/>
      <w:lvlText w:val="%1.%2:     "/>
      <w:lvlJc w:val="left"/>
      <w:pPr>
        <w:ind w:left="2160" w:hanging="720"/>
      </w:pPr>
      <w:rPr>
        <w:rFonts w:ascii="Times New Roman Bold" w:hAnsi="Marlett" w:hint="default"/>
        <w:b/>
        <w:i w:val="0"/>
        <w:sz w:val="24"/>
        <w:u w:val="none"/>
      </w:rPr>
    </w:lvl>
    <w:lvl w:ilvl="2">
      <w:start w:val="1"/>
      <w:numFmt w:val="decimalZero"/>
      <w:pStyle w:val="Heading3"/>
      <w:isLgl/>
      <w:suff w:val="nothing"/>
      <w:lvlText w:val="Section %1.%2.%3:"/>
      <w:lvlJc w:val="left"/>
      <w:pPr>
        <w:ind w:left="2880" w:hanging="720"/>
      </w:pPr>
      <w:rPr>
        <w:rFonts w:ascii="Times New Roman" w:hAnsi="Times New Roman" w:hint="default"/>
        <w:b/>
        <w:i w:val="0"/>
        <w:sz w:val="24"/>
        <w:u w:val="single"/>
      </w:rPr>
    </w:lvl>
    <w:lvl w:ilvl="3">
      <w:start w:val="1"/>
      <w:numFmt w:val="decimalZero"/>
      <w:pStyle w:val="Heading4"/>
      <w:suff w:val="space"/>
      <w:lvlText w:val="Section 2.03.02.%4:"/>
      <w:lvlJc w:val="left"/>
      <w:pPr>
        <w:ind w:left="1440" w:firstLine="0"/>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5679281F"/>
    <w:multiLevelType w:val="hybridMultilevel"/>
    <w:tmpl w:val="419C863A"/>
    <w:lvl w:ilvl="0" w:tplc="48983DE4">
      <w:start w:val="1"/>
      <w:numFmt w:val="decimal"/>
      <w:lvlText w:val="%1."/>
      <w:lvlJc w:val="left"/>
      <w:pPr>
        <w:ind w:left="720" w:hanging="360"/>
      </w:pPr>
      <w:rPr>
        <w:rFonts w:hint="default"/>
      </w:rPr>
    </w:lvl>
    <w:lvl w:ilvl="1" w:tplc="B11AA044" w:tentative="1">
      <w:start w:val="1"/>
      <w:numFmt w:val="lowerLetter"/>
      <w:lvlText w:val="%2."/>
      <w:lvlJc w:val="left"/>
      <w:pPr>
        <w:ind w:left="1440" w:hanging="360"/>
      </w:pPr>
    </w:lvl>
    <w:lvl w:ilvl="2" w:tplc="DAB84206" w:tentative="1">
      <w:start w:val="1"/>
      <w:numFmt w:val="lowerRoman"/>
      <w:lvlText w:val="%3."/>
      <w:lvlJc w:val="right"/>
      <w:pPr>
        <w:ind w:left="2160" w:hanging="180"/>
      </w:pPr>
    </w:lvl>
    <w:lvl w:ilvl="3" w:tplc="4DC28F0A" w:tentative="1">
      <w:start w:val="1"/>
      <w:numFmt w:val="decimal"/>
      <w:lvlText w:val="%4."/>
      <w:lvlJc w:val="left"/>
      <w:pPr>
        <w:ind w:left="2880" w:hanging="360"/>
      </w:pPr>
    </w:lvl>
    <w:lvl w:ilvl="4" w:tplc="E836210E" w:tentative="1">
      <w:start w:val="1"/>
      <w:numFmt w:val="lowerLetter"/>
      <w:lvlText w:val="%5."/>
      <w:lvlJc w:val="left"/>
      <w:pPr>
        <w:ind w:left="3600" w:hanging="360"/>
      </w:pPr>
    </w:lvl>
    <w:lvl w:ilvl="5" w:tplc="86FCE432" w:tentative="1">
      <w:start w:val="1"/>
      <w:numFmt w:val="lowerRoman"/>
      <w:lvlText w:val="%6."/>
      <w:lvlJc w:val="right"/>
      <w:pPr>
        <w:ind w:left="4320" w:hanging="180"/>
      </w:pPr>
    </w:lvl>
    <w:lvl w:ilvl="6" w:tplc="CE124158" w:tentative="1">
      <w:start w:val="1"/>
      <w:numFmt w:val="decimal"/>
      <w:lvlText w:val="%7."/>
      <w:lvlJc w:val="left"/>
      <w:pPr>
        <w:ind w:left="5040" w:hanging="360"/>
      </w:pPr>
    </w:lvl>
    <w:lvl w:ilvl="7" w:tplc="5BA89610" w:tentative="1">
      <w:start w:val="1"/>
      <w:numFmt w:val="lowerLetter"/>
      <w:lvlText w:val="%8."/>
      <w:lvlJc w:val="left"/>
      <w:pPr>
        <w:ind w:left="5760" w:hanging="360"/>
      </w:pPr>
    </w:lvl>
    <w:lvl w:ilvl="8" w:tplc="6FBACEB2" w:tentative="1">
      <w:start w:val="1"/>
      <w:numFmt w:val="lowerRoman"/>
      <w:lvlText w:val="%9."/>
      <w:lvlJc w:val="right"/>
      <w:pPr>
        <w:ind w:left="6480" w:hanging="180"/>
      </w:pPr>
    </w:lvl>
  </w:abstractNum>
  <w:abstractNum w:abstractNumId="20">
    <w:nsid w:val="5A4F424C"/>
    <w:multiLevelType w:val="hybridMultilevel"/>
    <w:tmpl w:val="DF9CECBE"/>
    <w:lvl w:ilvl="0" w:tplc="2E56E032">
      <w:start w:val="1"/>
      <w:numFmt w:val="upperRoman"/>
      <w:lvlText w:val="%1."/>
      <w:lvlJc w:val="left"/>
      <w:pPr>
        <w:ind w:left="1080" w:hanging="720"/>
      </w:pPr>
      <w:rPr>
        <w:rFonts w:hint="default"/>
        <w:b w:val="0"/>
      </w:rPr>
    </w:lvl>
    <w:lvl w:ilvl="1" w:tplc="5F883CDC" w:tentative="1">
      <w:start w:val="1"/>
      <w:numFmt w:val="lowerLetter"/>
      <w:lvlText w:val="%2."/>
      <w:lvlJc w:val="left"/>
      <w:pPr>
        <w:ind w:left="1440" w:hanging="360"/>
      </w:pPr>
    </w:lvl>
    <w:lvl w:ilvl="2" w:tplc="31C607D0" w:tentative="1">
      <w:start w:val="1"/>
      <w:numFmt w:val="lowerRoman"/>
      <w:lvlText w:val="%3."/>
      <w:lvlJc w:val="right"/>
      <w:pPr>
        <w:ind w:left="2160" w:hanging="180"/>
      </w:pPr>
    </w:lvl>
    <w:lvl w:ilvl="3" w:tplc="15F22C28" w:tentative="1">
      <w:start w:val="1"/>
      <w:numFmt w:val="decimal"/>
      <w:lvlText w:val="%4."/>
      <w:lvlJc w:val="left"/>
      <w:pPr>
        <w:ind w:left="2880" w:hanging="360"/>
      </w:pPr>
    </w:lvl>
    <w:lvl w:ilvl="4" w:tplc="529ED4F8" w:tentative="1">
      <w:start w:val="1"/>
      <w:numFmt w:val="lowerLetter"/>
      <w:lvlText w:val="%5."/>
      <w:lvlJc w:val="left"/>
      <w:pPr>
        <w:ind w:left="3600" w:hanging="360"/>
      </w:pPr>
    </w:lvl>
    <w:lvl w:ilvl="5" w:tplc="EC0044EA" w:tentative="1">
      <w:start w:val="1"/>
      <w:numFmt w:val="lowerRoman"/>
      <w:lvlText w:val="%6."/>
      <w:lvlJc w:val="right"/>
      <w:pPr>
        <w:ind w:left="4320" w:hanging="180"/>
      </w:pPr>
    </w:lvl>
    <w:lvl w:ilvl="6" w:tplc="2CD8D8FA" w:tentative="1">
      <w:start w:val="1"/>
      <w:numFmt w:val="decimal"/>
      <w:lvlText w:val="%7."/>
      <w:lvlJc w:val="left"/>
      <w:pPr>
        <w:ind w:left="5040" w:hanging="360"/>
      </w:pPr>
    </w:lvl>
    <w:lvl w:ilvl="7" w:tplc="AED6D30E" w:tentative="1">
      <w:start w:val="1"/>
      <w:numFmt w:val="lowerLetter"/>
      <w:lvlText w:val="%8."/>
      <w:lvlJc w:val="left"/>
      <w:pPr>
        <w:ind w:left="5760" w:hanging="360"/>
      </w:pPr>
    </w:lvl>
    <w:lvl w:ilvl="8" w:tplc="3F24947C" w:tentative="1">
      <w:start w:val="1"/>
      <w:numFmt w:val="lowerRoman"/>
      <w:lvlText w:val="%9."/>
      <w:lvlJc w:val="right"/>
      <w:pPr>
        <w:ind w:left="6480" w:hanging="180"/>
      </w:pPr>
    </w:lvl>
  </w:abstractNum>
  <w:abstractNum w:abstractNumId="21">
    <w:nsid w:val="5D362406"/>
    <w:multiLevelType w:val="hybridMultilevel"/>
    <w:tmpl w:val="73D662E8"/>
    <w:lvl w:ilvl="0" w:tplc="4F7E292A">
      <w:start w:val="1"/>
      <w:numFmt w:val="decimal"/>
      <w:lvlText w:val="%1."/>
      <w:lvlJc w:val="left"/>
      <w:pPr>
        <w:ind w:left="720" w:hanging="360"/>
      </w:pPr>
      <w:rPr>
        <w:rFonts w:hint="default"/>
      </w:rPr>
    </w:lvl>
    <w:lvl w:ilvl="1" w:tplc="7E7863B4" w:tentative="1">
      <w:start w:val="1"/>
      <w:numFmt w:val="lowerLetter"/>
      <w:lvlText w:val="%2."/>
      <w:lvlJc w:val="left"/>
      <w:pPr>
        <w:ind w:left="1440" w:hanging="360"/>
      </w:pPr>
    </w:lvl>
    <w:lvl w:ilvl="2" w:tplc="8746F258" w:tentative="1">
      <w:start w:val="1"/>
      <w:numFmt w:val="lowerRoman"/>
      <w:lvlText w:val="%3."/>
      <w:lvlJc w:val="right"/>
      <w:pPr>
        <w:ind w:left="2160" w:hanging="180"/>
      </w:pPr>
    </w:lvl>
    <w:lvl w:ilvl="3" w:tplc="A1F237D8" w:tentative="1">
      <w:start w:val="1"/>
      <w:numFmt w:val="decimal"/>
      <w:lvlText w:val="%4."/>
      <w:lvlJc w:val="left"/>
      <w:pPr>
        <w:ind w:left="2880" w:hanging="360"/>
      </w:pPr>
    </w:lvl>
    <w:lvl w:ilvl="4" w:tplc="C7189114" w:tentative="1">
      <w:start w:val="1"/>
      <w:numFmt w:val="lowerLetter"/>
      <w:lvlText w:val="%5."/>
      <w:lvlJc w:val="left"/>
      <w:pPr>
        <w:ind w:left="3600" w:hanging="360"/>
      </w:pPr>
    </w:lvl>
    <w:lvl w:ilvl="5" w:tplc="4E407912" w:tentative="1">
      <w:start w:val="1"/>
      <w:numFmt w:val="lowerRoman"/>
      <w:lvlText w:val="%6."/>
      <w:lvlJc w:val="right"/>
      <w:pPr>
        <w:ind w:left="4320" w:hanging="180"/>
      </w:pPr>
    </w:lvl>
    <w:lvl w:ilvl="6" w:tplc="409E5E3C" w:tentative="1">
      <w:start w:val="1"/>
      <w:numFmt w:val="decimal"/>
      <w:lvlText w:val="%7."/>
      <w:lvlJc w:val="left"/>
      <w:pPr>
        <w:ind w:left="5040" w:hanging="360"/>
      </w:pPr>
    </w:lvl>
    <w:lvl w:ilvl="7" w:tplc="BC3CD5A8" w:tentative="1">
      <w:start w:val="1"/>
      <w:numFmt w:val="lowerLetter"/>
      <w:lvlText w:val="%8."/>
      <w:lvlJc w:val="left"/>
      <w:pPr>
        <w:ind w:left="5760" w:hanging="360"/>
      </w:pPr>
    </w:lvl>
    <w:lvl w:ilvl="8" w:tplc="0D7214DC" w:tentative="1">
      <w:start w:val="1"/>
      <w:numFmt w:val="lowerRoman"/>
      <w:lvlText w:val="%9."/>
      <w:lvlJc w:val="right"/>
      <w:pPr>
        <w:ind w:left="6480" w:hanging="180"/>
      </w:pPr>
    </w:lvl>
  </w:abstractNum>
  <w:abstractNum w:abstractNumId="22">
    <w:nsid w:val="61931348"/>
    <w:multiLevelType w:val="multilevel"/>
    <w:tmpl w:val="4176C4B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6E06F76"/>
    <w:multiLevelType w:val="multilevel"/>
    <w:tmpl w:val="DF74F824"/>
    <w:lvl w:ilvl="0">
      <w:start w:val="1"/>
      <w:numFmt w:val="upperLetter"/>
      <w:lvlText w:val="%1."/>
      <w:lvlJc w:val="left"/>
      <w:pPr>
        <w:tabs>
          <w:tab w:val="num" w:pos="720"/>
        </w:tabs>
        <w:ind w:left="360" w:hanging="360"/>
      </w:pPr>
      <w:rPr>
        <w:rFonts w:hint="default"/>
      </w:rPr>
    </w:lvl>
    <w:lvl w:ilvl="1">
      <w:start w:val="1"/>
      <w:numFmt w:val="decimal"/>
      <w:lvlText w:val="%1.%2."/>
      <w:lvlJc w:val="left"/>
      <w:pPr>
        <w:tabs>
          <w:tab w:val="num" w:pos="1080"/>
        </w:tabs>
        <w:ind w:left="720" w:hanging="360"/>
      </w:pPr>
      <w:rPr>
        <w:rFonts w:hint="default"/>
      </w:rPr>
    </w:lvl>
    <w:lvl w:ilvl="2">
      <w:start w:val="1"/>
      <w:numFmt w:val="lowerRoman"/>
      <w:lvlText w:val="%1.%2.%3."/>
      <w:lvlJc w:val="left"/>
      <w:pPr>
        <w:tabs>
          <w:tab w:val="num" w:pos="1440"/>
        </w:tabs>
        <w:ind w:left="1080" w:hanging="360"/>
      </w:pPr>
      <w:rPr>
        <w:rFonts w:hint="default"/>
      </w:rPr>
    </w:lvl>
    <w:lvl w:ilvl="3">
      <w:start w:val="1"/>
      <w:numFmt w:val="lowerLetter"/>
      <w:lvlText w:val="%1.%2.%3.%4."/>
      <w:lvlJc w:val="left"/>
      <w:pPr>
        <w:tabs>
          <w:tab w:val="num" w:pos="180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8D7683"/>
    <w:multiLevelType w:val="hybridMultilevel"/>
    <w:tmpl w:val="C4F47A02"/>
    <w:lvl w:ilvl="0" w:tplc="8A323BE4">
      <w:start w:val="2"/>
      <w:numFmt w:val="decimal"/>
      <w:lvlText w:val="%1."/>
      <w:lvlJc w:val="left"/>
      <w:pPr>
        <w:tabs>
          <w:tab w:val="num" w:pos="1800"/>
        </w:tabs>
        <w:ind w:left="1800" w:hanging="360"/>
      </w:pPr>
      <w:rPr>
        <w:rFonts w:hint="default"/>
      </w:rPr>
    </w:lvl>
    <w:lvl w:ilvl="1" w:tplc="21B22E82" w:tentative="1">
      <w:start w:val="1"/>
      <w:numFmt w:val="lowerLetter"/>
      <w:lvlText w:val="%2."/>
      <w:lvlJc w:val="left"/>
      <w:pPr>
        <w:tabs>
          <w:tab w:val="num" w:pos="2520"/>
        </w:tabs>
        <w:ind w:left="2520" w:hanging="360"/>
      </w:pPr>
    </w:lvl>
    <w:lvl w:ilvl="2" w:tplc="76A2918C" w:tentative="1">
      <w:start w:val="1"/>
      <w:numFmt w:val="lowerRoman"/>
      <w:lvlText w:val="%3."/>
      <w:lvlJc w:val="right"/>
      <w:pPr>
        <w:tabs>
          <w:tab w:val="num" w:pos="3240"/>
        </w:tabs>
        <w:ind w:left="3240" w:hanging="180"/>
      </w:pPr>
    </w:lvl>
    <w:lvl w:ilvl="3" w:tplc="53B4B33A" w:tentative="1">
      <w:start w:val="1"/>
      <w:numFmt w:val="decimal"/>
      <w:lvlText w:val="%4."/>
      <w:lvlJc w:val="left"/>
      <w:pPr>
        <w:tabs>
          <w:tab w:val="num" w:pos="3960"/>
        </w:tabs>
        <w:ind w:left="3960" w:hanging="360"/>
      </w:pPr>
    </w:lvl>
    <w:lvl w:ilvl="4" w:tplc="48685532" w:tentative="1">
      <w:start w:val="1"/>
      <w:numFmt w:val="lowerLetter"/>
      <w:lvlText w:val="%5."/>
      <w:lvlJc w:val="left"/>
      <w:pPr>
        <w:tabs>
          <w:tab w:val="num" w:pos="4680"/>
        </w:tabs>
        <w:ind w:left="4680" w:hanging="360"/>
      </w:pPr>
    </w:lvl>
    <w:lvl w:ilvl="5" w:tplc="E6063440" w:tentative="1">
      <w:start w:val="1"/>
      <w:numFmt w:val="lowerRoman"/>
      <w:lvlText w:val="%6."/>
      <w:lvlJc w:val="right"/>
      <w:pPr>
        <w:tabs>
          <w:tab w:val="num" w:pos="5400"/>
        </w:tabs>
        <w:ind w:left="5400" w:hanging="180"/>
      </w:pPr>
    </w:lvl>
    <w:lvl w:ilvl="6" w:tplc="D9483FB4" w:tentative="1">
      <w:start w:val="1"/>
      <w:numFmt w:val="decimal"/>
      <w:lvlText w:val="%7."/>
      <w:lvlJc w:val="left"/>
      <w:pPr>
        <w:tabs>
          <w:tab w:val="num" w:pos="6120"/>
        </w:tabs>
        <w:ind w:left="6120" w:hanging="360"/>
      </w:pPr>
    </w:lvl>
    <w:lvl w:ilvl="7" w:tplc="5802D9C8" w:tentative="1">
      <w:start w:val="1"/>
      <w:numFmt w:val="lowerLetter"/>
      <w:lvlText w:val="%8."/>
      <w:lvlJc w:val="left"/>
      <w:pPr>
        <w:tabs>
          <w:tab w:val="num" w:pos="6840"/>
        </w:tabs>
        <w:ind w:left="6840" w:hanging="360"/>
      </w:pPr>
    </w:lvl>
    <w:lvl w:ilvl="8" w:tplc="7C3C7BC6" w:tentative="1">
      <w:start w:val="1"/>
      <w:numFmt w:val="lowerRoman"/>
      <w:lvlText w:val="%9."/>
      <w:lvlJc w:val="right"/>
      <w:pPr>
        <w:tabs>
          <w:tab w:val="num" w:pos="7560"/>
        </w:tabs>
        <w:ind w:left="7560" w:hanging="180"/>
      </w:pPr>
    </w:lvl>
  </w:abstractNum>
  <w:abstractNum w:abstractNumId="25">
    <w:nsid w:val="762777BA"/>
    <w:multiLevelType w:val="hybridMultilevel"/>
    <w:tmpl w:val="3438CAE8"/>
    <w:lvl w:ilvl="0" w:tplc="4FD2874C">
      <w:start w:val="1"/>
      <w:numFmt w:val="upperRoman"/>
      <w:lvlText w:val="%1."/>
      <w:lvlJc w:val="left"/>
      <w:pPr>
        <w:ind w:left="1080" w:hanging="720"/>
      </w:pPr>
      <w:rPr>
        <w:rFonts w:hint="default"/>
      </w:rPr>
    </w:lvl>
    <w:lvl w:ilvl="1" w:tplc="DE085584" w:tentative="1">
      <w:start w:val="1"/>
      <w:numFmt w:val="lowerLetter"/>
      <w:lvlText w:val="%2."/>
      <w:lvlJc w:val="left"/>
      <w:pPr>
        <w:ind w:left="1440" w:hanging="360"/>
      </w:pPr>
    </w:lvl>
    <w:lvl w:ilvl="2" w:tplc="10DAC53A" w:tentative="1">
      <w:start w:val="1"/>
      <w:numFmt w:val="lowerRoman"/>
      <w:lvlText w:val="%3."/>
      <w:lvlJc w:val="right"/>
      <w:pPr>
        <w:ind w:left="2160" w:hanging="180"/>
      </w:pPr>
    </w:lvl>
    <w:lvl w:ilvl="3" w:tplc="F84E6556" w:tentative="1">
      <w:start w:val="1"/>
      <w:numFmt w:val="decimal"/>
      <w:lvlText w:val="%4."/>
      <w:lvlJc w:val="left"/>
      <w:pPr>
        <w:ind w:left="2880" w:hanging="360"/>
      </w:pPr>
    </w:lvl>
    <w:lvl w:ilvl="4" w:tplc="16FAB8B2" w:tentative="1">
      <w:start w:val="1"/>
      <w:numFmt w:val="lowerLetter"/>
      <w:lvlText w:val="%5."/>
      <w:lvlJc w:val="left"/>
      <w:pPr>
        <w:ind w:left="3600" w:hanging="360"/>
      </w:pPr>
    </w:lvl>
    <w:lvl w:ilvl="5" w:tplc="2EFCBE80" w:tentative="1">
      <w:start w:val="1"/>
      <w:numFmt w:val="lowerRoman"/>
      <w:lvlText w:val="%6."/>
      <w:lvlJc w:val="right"/>
      <w:pPr>
        <w:ind w:left="4320" w:hanging="180"/>
      </w:pPr>
    </w:lvl>
    <w:lvl w:ilvl="6" w:tplc="E70EB2B6" w:tentative="1">
      <w:start w:val="1"/>
      <w:numFmt w:val="decimal"/>
      <w:lvlText w:val="%7."/>
      <w:lvlJc w:val="left"/>
      <w:pPr>
        <w:ind w:left="5040" w:hanging="360"/>
      </w:pPr>
    </w:lvl>
    <w:lvl w:ilvl="7" w:tplc="634CD868" w:tentative="1">
      <w:start w:val="1"/>
      <w:numFmt w:val="lowerLetter"/>
      <w:lvlText w:val="%8."/>
      <w:lvlJc w:val="left"/>
      <w:pPr>
        <w:ind w:left="5760" w:hanging="360"/>
      </w:pPr>
    </w:lvl>
    <w:lvl w:ilvl="8" w:tplc="C3E2568E" w:tentative="1">
      <w:start w:val="1"/>
      <w:numFmt w:val="lowerRoman"/>
      <w:lvlText w:val="%9."/>
      <w:lvlJc w:val="right"/>
      <w:pPr>
        <w:ind w:left="6480" w:hanging="180"/>
      </w:pPr>
    </w:lvl>
  </w:abstractNum>
  <w:abstractNum w:abstractNumId="26">
    <w:nsid w:val="7F3A27D6"/>
    <w:multiLevelType w:val="hybridMultilevel"/>
    <w:tmpl w:val="DBCA95B2"/>
    <w:lvl w:ilvl="0" w:tplc="4FB8A6C6">
      <w:start w:val="1"/>
      <w:numFmt w:val="lowerLetter"/>
      <w:lvlText w:val="(%1)"/>
      <w:lvlJc w:val="left"/>
      <w:pPr>
        <w:ind w:left="720" w:hanging="360"/>
      </w:pPr>
      <w:rPr>
        <w:rFonts w:hint="default"/>
      </w:rPr>
    </w:lvl>
    <w:lvl w:ilvl="1" w:tplc="895E76A6" w:tentative="1">
      <w:start w:val="1"/>
      <w:numFmt w:val="lowerLetter"/>
      <w:lvlText w:val="%2."/>
      <w:lvlJc w:val="left"/>
      <w:pPr>
        <w:ind w:left="1440" w:hanging="360"/>
      </w:pPr>
    </w:lvl>
    <w:lvl w:ilvl="2" w:tplc="5A1434A8" w:tentative="1">
      <w:start w:val="1"/>
      <w:numFmt w:val="lowerRoman"/>
      <w:lvlText w:val="%3."/>
      <w:lvlJc w:val="right"/>
      <w:pPr>
        <w:ind w:left="2160" w:hanging="180"/>
      </w:pPr>
    </w:lvl>
    <w:lvl w:ilvl="3" w:tplc="5BEE3C26" w:tentative="1">
      <w:start w:val="1"/>
      <w:numFmt w:val="decimal"/>
      <w:lvlText w:val="%4."/>
      <w:lvlJc w:val="left"/>
      <w:pPr>
        <w:ind w:left="2880" w:hanging="360"/>
      </w:pPr>
    </w:lvl>
    <w:lvl w:ilvl="4" w:tplc="DD5CC50A" w:tentative="1">
      <w:start w:val="1"/>
      <w:numFmt w:val="lowerLetter"/>
      <w:lvlText w:val="%5."/>
      <w:lvlJc w:val="left"/>
      <w:pPr>
        <w:ind w:left="3600" w:hanging="360"/>
      </w:pPr>
    </w:lvl>
    <w:lvl w:ilvl="5" w:tplc="C7A81B72" w:tentative="1">
      <w:start w:val="1"/>
      <w:numFmt w:val="lowerRoman"/>
      <w:lvlText w:val="%6."/>
      <w:lvlJc w:val="right"/>
      <w:pPr>
        <w:ind w:left="4320" w:hanging="180"/>
      </w:pPr>
    </w:lvl>
    <w:lvl w:ilvl="6" w:tplc="2FECFD80" w:tentative="1">
      <w:start w:val="1"/>
      <w:numFmt w:val="decimal"/>
      <w:lvlText w:val="%7."/>
      <w:lvlJc w:val="left"/>
      <w:pPr>
        <w:ind w:left="5040" w:hanging="360"/>
      </w:pPr>
    </w:lvl>
    <w:lvl w:ilvl="7" w:tplc="CEF2A554" w:tentative="1">
      <w:start w:val="1"/>
      <w:numFmt w:val="lowerLetter"/>
      <w:lvlText w:val="%8."/>
      <w:lvlJc w:val="left"/>
      <w:pPr>
        <w:ind w:left="5760" w:hanging="360"/>
      </w:pPr>
    </w:lvl>
    <w:lvl w:ilvl="8" w:tplc="1332B3B8" w:tentative="1">
      <w:start w:val="1"/>
      <w:numFmt w:val="lowerRoman"/>
      <w:lvlText w:val="%9."/>
      <w:lvlJc w:val="right"/>
      <w:pPr>
        <w:ind w:left="6480" w:hanging="180"/>
      </w:pPr>
    </w:lvl>
  </w:abstractNum>
  <w:abstractNum w:abstractNumId="27">
    <w:nsid w:val="7FE0193E"/>
    <w:multiLevelType w:val="hybridMultilevel"/>
    <w:tmpl w:val="419C863A"/>
    <w:lvl w:ilvl="0" w:tplc="AFE8F700">
      <w:start w:val="1"/>
      <w:numFmt w:val="decimal"/>
      <w:lvlText w:val="%1."/>
      <w:lvlJc w:val="left"/>
      <w:pPr>
        <w:ind w:left="720" w:hanging="360"/>
      </w:pPr>
      <w:rPr>
        <w:rFonts w:hint="default"/>
      </w:rPr>
    </w:lvl>
    <w:lvl w:ilvl="1" w:tplc="43C08E24" w:tentative="1">
      <w:start w:val="1"/>
      <w:numFmt w:val="lowerLetter"/>
      <w:lvlText w:val="%2."/>
      <w:lvlJc w:val="left"/>
      <w:pPr>
        <w:ind w:left="1440" w:hanging="360"/>
      </w:pPr>
    </w:lvl>
    <w:lvl w:ilvl="2" w:tplc="98B610B0" w:tentative="1">
      <w:start w:val="1"/>
      <w:numFmt w:val="lowerRoman"/>
      <w:lvlText w:val="%3."/>
      <w:lvlJc w:val="right"/>
      <w:pPr>
        <w:ind w:left="2160" w:hanging="180"/>
      </w:pPr>
    </w:lvl>
    <w:lvl w:ilvl="3" w:tplc="A0F07FB6" w:tentative="1">
      <w:start w:val="1"/>
      <w:numFmt w:val="decimal"/>
      <w:lvlText w:val="%4."/>
      <w:lvlJc w:val="left"/>
      <w:pPr>
        <w:ind w:left="2880" w:hanging="360"/>
      </w:pPr>
    </w:lvl>
    <w:lvl w:ilvl="4" w:tplc="F1ACE46E" w:tentative="1">
      <w:start w:val="1"/>
      <w:numFmt w:val="lowerLetter"/>
      <w:lvlText w:val="%5."/>
      <w:lvlJc w:val="left"/>
      <w:pPr>
        <w:ind w:left="3600" w:hanging="360"/>
      </w:pPr>
    </w:lvl>
    <w:lvl w:ilvl="5" w:tplc="D5D044BC" w:tentative="1">
      <w:start w:val="1"/>
      <w:numFmt w:val="lowerRoman"/>
      <w:lvlText w:val="%6."/>
      <w:lvlJc w:val="right"/>
      <w:pPr>
        <w:ind w:left="4320" w:hanging="180"/>
      </w:pPr>
    </w:lvl>
    <w:lvl w:ilvl="6" w:tplc="6158CFA6" w:tentative="1">
      <w:start w:val="1"/>
      <w:numFmt w:val="decimal"/>
      <w:lvlText w:val="%7."/>
      <w:lvlJc w:val="left"/>
      <w:pPr>
        <w:ind w:left="5040" w:hanging="360"/>
      </w:pPr>
    </w:lvl>
    <w:lvl w:ilvl="7" w:tplc="B3CC474A" w:tentative="1">
      <w:start w:val="1"/>
      <w:numFmt w:val="lowerLetter"/>
      <w:lvlText w:val="%8."/>
      <w:lvlJc w:val="left"/>
      <w:pPr>
        <w:ind w:left="5760" w:hanging="360"/>
      </w:pPr>
    </w:lvl>
    <w:lvl w:ilvl="8" w:tplc="2F90365C" w:tentative="1">
      <w:start w:val="1"/>
      <w:numFmt w:val="lowerRoman"/>
      <w:lvlText w:val="%9."/>
      <w:lvlJc w:val="right"/>
      <w:pPr>
        <w:ind w:left="6480" w:hanging="180"/>
      </w:pPr>
    </w:lvl>
  </w:abstractNum>
  <w:num w:numId="1">
    <w:abstractNumId w:val="1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1"/>
  </w:num>
  <w:num w:numId="17">
    <w:abstractNumId w:val="12"/>
  </w:num>
  <w:num w:numId="18">
    <w:abstractNumId w:val="13"/>
  </w:num>
  <w:num w:numId="19">
    <w:abstractNumId w:val="14"/>
  </w:num>
  <w:num w:numId="20">
    <w:abstractNumId w:val="23"/>
  </w:num>
  <w:num w:numId="21">
    <w:abstractNumId w:val="21"/>
  </w:num>
  <w:num w:numId="22">
    <w:abstractNumId w:val="22"/>
  </w:num>
  <w:num w:numId="23">
    <w:abstractNumId w:val="16"/>
  </w:num>
  <w:num w:numId="24">
    <w:abstractNumId w:val="25"/>
  </w:num>
  <w:num w:numId="25">
    <w:abstractNumId w:val="20"/>
  </w:num>
  <w:num w:numId="26">
    <w:abstractNumId w:val="26"/>
  </w:num>
  <w:num w:numId="27">
    <w:abstractNumId w:val="19"/>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1F08"/>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42127"/>
    <w:rsid w:val="00212F4B"/>
    <w:rsid w:val="00286675"/>
    <w:rsid w:val="002B3DDB"/>
    <w:rsid w:val="003A0A84"/>
    <w:rsid w:val="006342E7"/>
    <w:rsid w:val="006442DC"/>
    <w:rsid w:val="0068788C"/>
    <w:rsid w:val="00746F14"/>
    <w:rsid w:val="007F1B23"/>
    <w:rsid w:val="00942127"/>
    <w:rsid w:val="00AD1A5A"/>
    <w:rsid w:val="00AF27BD"/>
    <w:rsid w:val="00B866BE"/>
    <w:rsid w:val="00E5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63"/>
    <o:shapelayout v:ext="edit">
      <o:idmap v:ext="edit" data="1"/>
      <o:rules v:ext="edit">
        <o:r id="V:Rule1" type="connector" idref="#_x0000_s1041"/>
        <o:r id="V:Rule2" type="connector" idref="#_x0000_s1040"/>
        <o:r id="V:Rule3" type="connector" idref="#_x0000_s1044"/>
        <o:r id="V:Rule4" type="connector" idref="#_x0000_s1043"/>
        <o:r id="V:Rule5" type="connector" idref="#_x0000_s1042"/>
        <o:r id="V:Rule6" type="connector" idref="#_x0000_s1045"/>
        <o:r id="V:Rule7" type="connector" idref="#_x0000_s1046"/>
        <o:r id="V:Rule8" type="connector" idref="#_x0000_s1057"/>
        <o:r id="V:Rule9" type="connector" idref="#_x0000_s1056"/>
        <o:r id="V:Rule10" type="connector" idref="#_x0000_s1060"/>
        <o:r id="V:Rule11" type="connector" idref="#_x0000_s1059"/>
        <o:r id="V:Rule12" type="connector" idref="#_x0000_s1058"/>
        <o:r id="V:Rule13" type="connector" idref="#_x0000_s1061"/>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E95"/>
    <w:pPr>
      <w:widowControl w:val="0"/>
    </w:pPr>
    <w:rPr>
      <w:rFonts w:ascii="Courier" w:hAnsi="Courier"/>
      <w:sz w:val="24"/>
    </w:rPr>
  </w:style>
  <w:style w:type="paragraph" w:styleId="Heading1">
    <w:name w:val="heading 1"/>
    <w:basedOn w:val="Normal"/>
    <w:next w:val="Normal"/>
    <w:qFormat/>
    <w:rsid w:val="00D35E95"/>
    <w:pPr>
      <w:keepNext/>
      <w:numPr>
        <w:ilvl w:val="1"/>
        <w:numId w:val="14"/>
      </w:numPr>
      <w:tabs>
        <w:tab w:val="center" w:pos="4680"/>
        <w:tab w:val="left" w:pos="5040"/>
        <w:tab w:val="left" w:pos="5760"/>
        <w:tab w:val="left" w:pos="6480"/>
        <w:tab w:val="left" w:pos="7200"/>
        <w:tab w:val="left" w:pos="7920"/>
        <w:tab w:val="left" w:pos="8640"/>
        <w:tab w:val="left" w:pos="9360"/>
      </w:tabs>
      <w:spacing w:line="480" w:lineRule="auto"/>
      <w:outlineLvl w:val="0"/>
    </w:pPr>
    <w:rPr>
      <w:rFonts w:ascii="CG Times" w:hAnsi="CG Times"/>
      <w:b/>
    </w:rPr>
  </w:style>
  <w:style w:type="paragraph" w:styleId="Heading2">
    <w:name w:val="heading 2"/>
    <w:basedOn w:val="Normal"/>
    <w:next w:val="Normal"/>
    <w:qFormat/>
    <w:rsid w:val="00D35E95"/>
    <w:pPr>
      <w:keepNext/>
      <w:tabs>
        <w:tab w:val="left" w:pos="684"/>
        <w:tab w:val="left" w:pos="720"/>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1440" w:hanging="720"/>
      <w:jc w:val="both"/>
      <w:outlineLvl w:val="1"/>
    </w:pPr>
    <w:rPr>
      <w:rFonts w:ascii="CG Times" w:hAnsi="CG Times"/>
      <w:b/>
    </w:rPr>
  </w:style>
  <w:style w:type="paragraph" w:styleId="Heading3">
    <w:name w:val="heading 3"/>
    <w:basedOn w:val="Normal"/>
    <w:next w:val="Normal"/>
    <w:qFormat/>
    <w:rsid w:val="00D35E95"/>
    <w:pPr>
      <w:keepNext/>
      <w:numPr>
        <w:ilvl w:val="2"/>
        <w:numId w:val="14"/>
      </w:numPr>
      <w:spacing w:before="240" w:after="60"/>
      <w:outlineLvl w:val="2"/>
    </w:pPr>
    <w:rPr>
      <w:rFonts w:ascii="Arial" w:hAnsi="Arial"/>
    </w:rPr>
  </w:style>
  <w:style w:type="paragraph" w:styleId="Heading4">
    <w:name w:val="heading 4"/>
    <w:basedOn w:val="Normal"/>
    <w:next w:val="Normal"/>
    <w:qFormat/>
    <w:rsid w:val="00D35E95"/>
    <w:pPr>
      <w:keepNext/>
      <w:numPr>
        <w:ilvl w:val="3"/>
        <w:numId w:val="14"/>
      </w:numPr>
      <w:tabs>
        <w:tab w:val="center" w:pos="4680"/>
        <w:tab w:val="left" w:pos="5040"/>
        <w:tab w:val="left" w:pos="5760"/>
        <w:tab w:val="left" w:pos="6480"/>
        <w:tab w:val="left" w:pos="7200"/>
        <w:tab w:val="left" w:pos="7920"/>
        <w:tab w:val="left" w:pos="8640"/>
        <w:tab w:val="left" w:pos="9360"/>
      </w:tabs>
      <w:jc w:val="center"/>
      <w:outlineLvl w:val="3"/>
    </w:pPr>
    <w:rPr>
      <w:rFonts w:ascii="CG Times" w:hAnsi="CG Times"/>
      <w:b/>
    </w:rPr>
  </w:style>
  <w:style w:type="paragraph" w:styleId="Heading5">
    <w:name w:val="heading 5"/>
    <w:basedOn w:val="Normal"/>
    <w:next w:val="Normal"/>
    <w:qFormat/>
    <w:rsid w:val="00D35E95"/>
    <w:pPr>
      <w:keepNext/>
      <w:numPr>
        <w:ilvl w:val="4"/>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jc w:val="right"/>
      <w:outlineLvl w:val="4"/>
    </w:pPr>
    <w:rPr>
      <w:rFonts w:ascii="CG Times" w:hAnsi="CG Times"/>
    </w:rPr>
  </w:style>
  <w:style w:type="paragraph" w:styleId="Heading6">
    <w:name w:val="heading 6"/>
    <w:basedOn w:val="Normal"/>
    <w:next w:val="Normal"/>
    <w:qFormat/>
    <w:rsid w:val="00D35E95"/>
    <w:pPr>
      <w:keepNext/>
      <w:numPr>
        <w:ilvl w:val="5"/>
        <w:numId w:val="14"/>
      </w:numPr>
      <w:jc w:val="center"/>
      <w:outlineLvl w:val="5"/>
    </w:pPr>
    <w:rPr>
      <w:rFonts w:ascii="Times New Roman" w:hAnsi="Times New Roman"/>
    </w:rPr>
  </w:style>
  <w:style w:type="paragraph" w:styleId="Heading7">
    <w:name w:val="heading 7"/>
    <w:basedOn w:val="Normal"/>
    <w:next w:val="Normal"/>
    <w:qFormat/>
    <w:rsid w:val="00D35E95"/>
    <w:pPr>
      <w:keepNext/>
      <w:numPr>
        <w:ilvl w:val="6"/>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outlineLvl w:val="6"/>
    </w:pPr>
    <w:rPr>
      <w:rFonts w:ascii="CG Times" w:hAnsi="CG Times"/>
    </w:rPr>
  </w:style>
  <w:style w:type="paragraph" w:styleId="Heading8">
    <w:name w:val="heading 8"/>
    <w:basedOn w:val="Normal"/>
    <w:next w:val="Normal"/>
    <w:qFormat/>
    <w:rsid w:val="00D35E95"/>
    <w:pPr>
      <w:keepNext/>
      <w:numPr>
        <w:ilvl w:val="7"/>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jc w:val="center"/>
      <w:outlineLvl w:val="7"/>
    </w:pPr>
    <w:rPr>
      <w:rFonts w:ascii="CG Times" w:hAnsi="CG Times"/>
    </w:rPr>
  </w:style>
  <w:style w:type="paragraph" w:styleId="Heading9">
    <w:name w:val="heading 9"/>
    <w:basedOn w:val="Normal"/>
    <w:next w:val="Normal"/>
    <w:qFormat/>
    <w:rsid w:val="00D35E95"/>
    <w:pPr>
      <w:keepNext/>
      <w:numPr>
        <w:ilvl w:val="8"/>
        <w:numId w:val="14"/>
      </w:numPr>
      <w:tabs>
        <w:tab w:val="left" w:pos="684"/>
        <w:tab w:val="left" w:pos="1482"/>
        <w:tab w:val="left" w:pos="2160"/>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jc w:val="both"/>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35E95"/>
    <w:rPr>
      <w:sz w:val="20"/>
    </w:rPr>
  </w:style>
  <w:style w:type="paragraph" w:styleId="BlockText">
    <w:name w:val="Block Text"/>
    <w:basedOn w:val="Normal"/>
    <w:rsid w:val="00D35E95"/>
    <w:pPr>
      <w:tabs>
        <w:tab w:val="center" w:pos="4680"/>
        <w:tab w:val="left" w:pos="5040"/>
        <w:tab w:val="left" w:pos="5760"/>
        <w:tab w:val="left" w:pos="6480"/>
        <w:tab w:val="left" w:pos="7200"/>
        <w:tab w:val="left" w:pos="7920"/>
        <w:tab w:val="left" w:pos="8640"/>
        <w:tab w:val="left" w:pos="9360"/>
      </w:tabs>
      <w:ind w:left="1260" w:right="1440"/>
      <w:jc w:val="center"/>
    </w:pPr>
    <w:rPr>
      <w:rFonts w:ascii="CG Times" w:hAnsi="CG Times"/>
      <w:b/>
    </w:rPr>
  </w:style>
  <w:style w:type="paragraph" w:styleId="Header">
    <w:name w:val="header"/>
    <w:basedOn w:val="Normal"/>
    <w:rsid w:val="00D35E95"/>
    <w:pPr>
      <w:tabs>
        <w:tab w:val="center" w:pos="4320"/>
        <w:tab w:val="right" w:pos="8640"/>
      </w:tabs>
    </w:pPr>
  </w:style>
  <w:style w:type="paragraph" w:styleId="Footer">
    <w:name w:val="footer"/>
    <w:basedOn w:val="Normal"/>
    <w:link w:val="FooterChar"/>
    <w:rsid w:val="00D35E95"/>
    <w:pPr>
      <w:tabs>
        <w:tab w:val="center" w:pos="4320"/>
        <w:tab w:val="right" w:pos="8640"/>
      </w:tabs>
    </w:pPr>
  </w:style>
  <w:style w:type="paragraph" w:styleId="BodyText2">
    <w:name w:val="Body Text 2"/>
    <w:basedOn w:val="Normal"/>
    <w:rsid w:val="00D35E95"/>
    <w:pPr>
      <w:tabs>
        <w:tab w:val="left" w:pos="2880"/>
      </w:tabs>
      <w:ind w:left="2880" w:hanging="2880"/>
    </w:pPr>
    <w:rPr>
      <w:rFonts w:ascii="CG Times" w:hAnsi="CG Times"/>
    </w:rPr>
  </w:style>
  <w:style w:type="paragraph" w:styleId="BodyTextIndent2">
    <w:name w:val="Body Text Indent 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ind w:firstLine="720"/>
    </w:pPr>
    <w:rPr>
      <w:rFonts w:ascii="CG Times" w:hAnsi="CG Times"/>
    </w:rPr>
  </w:style>
  <w:style w:type="paragraph" w:styleId="BodyTextIndent3">
    <w:name w:val="Body Text Indent 3"/>
    <w:basedOn w:val="Normal"/>
    <w:rsid w:val="00D35E95"/>
    <w:pPr>
      <w:tabs>
        <w:tab w:val="left" w:pos="0"/>
        <w:tab w:val="left" w:pos="684"/>
        <w:tab w:val="left" w:pos="1482"/>
        <w:tab w:val="left" w:pos="2160"/>
        <w:tab w:val="left" w:pos="4332"/>
        <w:tab w:val="left" w:pos="5016"/>
        <w:tab w:val="left" w:pos="5814"/>
        <w:tab w:val="left" w:pos="6498"/>
        <w:tab w:val="left" w:pos="6840"/>
        <w:tab w:val="left" w:pos="7560"/>
        <w:tab w:val="left" w:pos="8280"/>
        <w:tab w:val="left" w:pos="9000"/>
      </w:tabs>
      <w:spacing w:line="480" w:lineRule="auto"/>
      <w:ind w:left="2160" w:hanging="720"/>
    </w:pPr>
    <w:rPr>
      <w:rFonts w:ascii="CG Times" w:hAnsi="CG Times"/>
    </w:rPr>
  </w:style>
  <w:style w:type="character" w:styleId="CommentReference">
    <w:name w:val="annotation reference"/>
    <w:basedOn w:val="DefaultParagraphFont"/>
    <w:semiHidden/>
    <w:rsid w:val="00D35E95"/>
    <w:rPr>
      <w:sz w:val="16"/>
    </w:rPr>
  </w:style>
  <w:style w:type="paragraph" w:styleId="CommentText">
    <w:name w:val="annotation text"/>
    <w:basedOn w:val="Normal"/>
    <w:semiHidden/>
    <w:rsid w:val="00D35E95"/>
    <w:rPr>
      <w:sz w:val="20"/>
    </w:rPr>
  </w:style>
  <w:style w:type="paragraph" w:styleId="TOC2">
    <w:name w:val="toc 2"/>
    <w:basedOn w:val="Normal"/>
    <w:next w:val="Normal"/>
    <w:semiHidden/>
    <w:rsid w:val="00D35E95"/>
    <w:pPr>
      <w:tabs>
        <w:tab w:val="left" w:pos="1440"/>
        <w:tab w:val="right" w:leader="dot" w:pos="9360"/>
      </w:tabs>
      <w:spacing w:after="120"/>
      <w:ind w:left="1800" w:hanging="1080"/>
    </w:pPr>
    <w:rPr>
      <w:rFonts w:ascii="CG Times" w:hAnsi="CG Times"/>
    </w:rPr>
  </w:style>
  <w:style w:type="paragraph" w:styleId="TOC1">
    <w:name w:val="toc 1"/>
    <w:basedOn w:val="Normal"/>
    <w:next w:val="Normal"/>
    <w:semiHidden/>
    <w:rsid w:val="00D35E95"/>
    <w:pPr>
      <w:tabs>
        <w:tab w:val="left" w:pos="1080"/>
        <w:tab w:val="right" w:leader="dot" w:pos="9360"/>
      </w:tabs>
      <w:spacing w:after="120"/>
      <w:ind w:left="1080" w:hanging="720"/>
    </w:pPr>
    <w:rPr>
      <w:rFonts w:ascii="CG Times" w:hAnsi="CG Times"/>
    </w:rPr>
  </w:style>
  <w:style w:type="paragraph" w:styleId="TOC3">
    <w:name w:val="toc 3"/>
    <w:basedOn w:val="Normal"/>
    <w:next w:val="Normal"/>
    <w:semiHidden/>
    <w:rsid w:val="00D35E95"/>
    <w:pPr>
      <w:tabs>
        <w:tab w:val="left" w:pos="1800"/>
        <w:tab w:val="right" w:leader="dot" w:pos="9360"/>
      </w:tabs>
      <w:spacing w:after="120"/>
      <w:ind w:left="2520" w:hanging="1440"/>
    </w:pPr>
    <w:rPr>
      <w:rFonts w:ascii="CG Times" w:hAnsi="CG Times"/>
      <w:noProof/>
      <w:sz w:val="22"/>
    </w:rPr>
  </w:style>
  <w:style w:type="paragraph" w:styleId="TOC4">
    <w:name w:val="toc 4"/>
    <w:basedOn w:val="Normal"/>
    <w:next w:val="Normal"/>
    <w:semiHidden/>
    <w:rsid w:val="00D35E95"/>
    <w:pPr>
      <w:tabs>
        <w:tab w:val="left" w:pos="1800"/>
        <w:tab w:val="right" w:leader="dot" w:pos="9360"/>
      </w:tabs>
      <w:spacing w:after="120"/>
      <w:ind w:left="2880" w:hanging="1800"/>
    </w:pPr>
    <w:rPr>
      <w:rFonts w:ascii="CG Times" w:hAnsi="CG Times"/>
      <w:sz w:val="20"/>
    </w:rPr>
  </w:style>
  <w:style w:type="paragraph" w:styleId="TOC5">
    <w:name w:val="toc 5"/>
    <w:basedOn w:val="Normal"/>
    <w:next w:val="Normal"/>
    <w:semiHidden/>
    <w:rsid w:val="00D35E95"/>
    <w:pPr>
      <w:ind w:left="960"/>
    </w:pPr>
  </w:style>
  <w:style w:type="paragraph" w:styleId="TOC6">
    <w:name w:val="toc 6"/>
    <w:basedOn w:val="Normal"/>
    <w:next w:val="Normal"/>
    <w:semiHidden/>
    <w:rsid w:val="00D35E95"/>
    <w:pPr>
      <w:ind w:left="1200"/>
    </w:pPr>
  </w:style>
  <w:style w:type="paragraph" w:styleId="TOC7">
    <w:name w:val="toc 7"/>
    <w:basedOn w:val="Normal"/>
    <w:next w:val="Normal"/>
    <w:semiHidden/>
    <w:rsid w:val="00D35E95"/>
    <w:pPr>
      <w:ind w:left="1440"/>
    </w:pPr>
  </w:style>
  <w:style w:type="paragraph" w:styleId="TOC8">
    <w:name w:val="toc 8"/>
    <w:basedOn w:val="Normal"/>
    <w:next w:val="Normal"/>
    <w:semiHidden/>
    <w:rsid w:val="00D35E95"/>
    <w:pPr>
      <w:ind w:left="1680"/>
    </w:pPr>
  </w:style>
  <w:style w:type="paragraph" w:styleId="TOC9">
    <w:name w:val="toc 9"/>
    <w:basedOn w:val="Normal"/>
    <w:next w:val="Normal"/>
    <w:semiHidden/>
    <w:rsid w:val="00D35E95"/>
    <w:pPr>
      <w:ind w:left="1920"/>
    </w:pPr>
  </w:style>
  <w:style w:type="paragraph" w:styleId="BodyText">
    <w:name w:val="Body Text"/>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jc w:val="both"/>
    </w:pPr>
    <w:rPr>
      <w:rFonts w:ascii="CG Times" w:hAnsi="CG Times"/>
    </w:rPr>
  </w:style>
  <w:style w:type="paragraph" w:customStyle="1" w:styleId="Tariff1">
    <w:name w:val="Tariff1"/>
    <w:basedOn w:val="Normal"/>
    <w:rsid w:val="00A2256E"/>
    <w:pPr>
      <w:numPr>
        <w:numId w:val="15"/>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jc w:val="both"/>
    </w:pPr>
    <w:rPr>
      <w:rFonts w:ascii="CG Times" w:hAnsi="CG Times"/>
      <w:b/>
    </w:rPr>
  </w:style>
  <w:style w:type="paragraph" w:customStyle="1" w:styleId="Tariff2">
    <w:name w:val="Tariff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ind w:left="720"/>
      <w:jc w:val="both"/>
    </w:pPr>
    <w:rPr>
      <w:rFonts w:ascii="CG Times" w:hAnsi="CG Times"/>
      <w:b/>
    </w:rPr>
  </w:style>
  <w:style w:type="paragraph" w:customStyle="1" w:styleId="Tariff3">
    <w:name w:val="Tariff3"/>
    <w:basedOn w:val="Normal"/>
    <w:link w:val="Tariff3Char"/>
    <w:rsid w:val="003F02D1"/>
    <w:pPr>
      <w:numPr>
        <w:ilvl w:val="2"/>
        <w:numId w:val="17"/>
      </w:numPr>
      <w:tabs>
        <w:tab w:val="left" w:pos="0"/>
        <w:tab w:val="left" w:pos="684"/>
        <w:tab w:val="left" w:pos="1482"/>
        <w:tab w:val="left" w:pos="2850"/>
        <w:tab w:val="left" w:pos="3648"/>
        <w:tab w:val="left" w:pos="4332"/>
        <w:tab w:val="left" w:pos="5016"/>
        <w:tab w:val="left" w:pos="5814"/>
        <w:tab w:val="left" w:pos="6210"/>
        <w:tab w:val="left" w:pos="6498"/>
        <w:tab w:val="left" w:pos="6840"/>
        <w:tab w:val="left" w:pos="7560"/>
        <w:tab w:val="left" w:pos="8280"/>
        <w:tab w:val="left" w:pos="9000"/>
      </w:tabs>
      <w:spacing w:after="240"/>
      <w:jc w:val="both"/>
    </w:pPr>
    <w:rPr>
      <w:rFonts w:ascii="CG Times" w:hAnsi="CG Times"/>
      <w:b/>
    </w:rPr>
  </w:style>
  <w:style w:type="paragraph" w:customStyle="1" w:styleId="Tariff4">
    <w:name w:val="Tariff4"/>
    <w:basedOn w:val="Normal"/>
    <w:rsid w:val="00D35E95"/>
    <w:pPr>
      <w:tabs>
        <w:tab w:val="left" w:pos="0"/>
        <w:tab w:val="left" w:pos="684"/>
        <w:tab w:val="left" w:pos="1482"/>
        <w:tab w:val="left" w:pos="2850"/>
        <w:tab w:val="left" w:pos="2880"/>
        <w:tab w:val="left" w:pos="3648"/>
        <w:tab w:val="left" w:pos="4332"/>
        <w:tab w:val="left" w:pos="5016"/>
        <w:tab w:val="left" w:pos="5814"/>
        <w:tab w:val="left" w:pos="6498"/>
        <w:tab w:val="left" w:pos="6840"/>
        <w:tab w:val="left" w:pos="7560"/>
        <w:tab w:val="left" w:pos="8280"/>
        <w:tab w:val="left" w:pos="9000"/>
      </w:tabs>
      <w:spacing w:after="240"/>
      <w:ind w:left="2850" w:hanging="690"/>
      <w:jc w:val="both"/>
    </w:pPr>
    <w:rPr>
      <w:rFonts w:ascii="CG Times" w:hAnsi="CG Times"/>
      <w:b/>
    </w:rPr>
  </w:style>
  <w:style w:type="paragraph" w:customStyle="1" w:styleId="Tariff5">
    <w:name w:val="Tariff5"/>
    <w:basedOn w:val="Heading1"/>
    <w:rsid w:val="00D35E95"/>
    <w:pPr>
      <w:outlineLvl w:val="9"/>
    </w:pPr>
  </w:style>
  <w:style w:type="paragraph" w:customStyle="1" w:styleId="BodyText24">
    <w:name w:val="Body Text 24"/>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2160"/>
      <w:jc w:val="both"/>
    </w:pPr>
    <w:rPr>
      <w:rFonts w:ascii="CG Times" w:hAnsi="CG Times"/>
    </w:rPr>
  </w:style>
  <w:style w:type="paragraph" w:customStyle="1" w:styleId="BodyText23">
    <w:name w:val="Body Text 23"/>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2880" w:hanging="720"/>
      <w:jc w:val="both"/>
    </w:pPr>
    <w:rPr>
      <w:rFonts w:ascii="CG Times" w:hAnsi="CG Times"/>
    </w:rPr>
  </w:style>
  <w:style w:type="paragraph" w:customStyle="1" w:styleId="BodyText22">
    <w:name w:val="Body Text 2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ind w:left="1482" w:hanging="42"/>
    </w:pPr>
    <w:rPr>
      <w:rFonts w:ascii="CG Times" w:hAnsi="CG Times"/>
    </w:rPr>
  </w:style>
  <w:style w:type="paragraph" w:customStyle="1" w:styleId="BodyText21">
    <w:name w:val="Body Text 21"/>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ind w:left="2850" w:hanging="690"/>
      <w:jc w:val="both"/>
    </w:pPr>
    <w:rPr>
      <w:rFonts w:ascii="CG Times" w:hAnsi="CG Times"/>
    </w:rPr>
  </w:style>
  <w:style w:type="paragraph" w:styleId="DocumentMap">
    <w:name w:val="Document Map"/>
    <w:basedOn w:val="Normal"/>
    <w:semiHidden/>
    <w:rsid w:val="00D35E95"/>
    <w:pPr>
      <w:shd w:val="clear" w:color="auto" w:fill="000080"/>
    </w:pPr>
    <w:rPr>
      <w:rFonts w:ascii="Tahoma" w:hAnsi="Tahoma"/>
    </w:rPr>
  </w:style>
  <w:style w:type="paragraph" w:styleId="BodyTextIndent">
    <w:name w:val="Body Text Indent"/>
    <w:basedOn w:val="Normal"/>
    <w:rsid w:val="00D35E95"/>
    <w:pPr>
      <w:widowControl/>
      <w:tabs>
        <w:tab w:val="left" w:pos="0"/>
        <w:tab w:val="left" w:pos="720"/>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ind w:left="720" w:hanging="90"/>
    </w:pPr>
    <w:rPr>
      <w:rFonts w:ascii="CG Times" w:hAnsi="CG Times"/>
      <w:sz w:val="20"/>
    </w:rPr>
  </w:style>
  <w:style w:type="paragraph" w:customStyle="1" w:styleId="1BulletList">
    <w:name w:val="1Bullet List"/>
    <w:rsid w:val="00D35E95"/>
    <w:pPr>
      <w:tabs>
        <w:tab w:val="left" w:pos="720"/>
      </w:tabs>
      <w:ind w:left="720" w:hanging="720"/>
    </w:pPr>
    <w:rPr>
      <w:rFonts w:ascii="CG Times" w:hAnsi="CG Times"/>
      <w:snapToGrid w:val="0"/>
      <w:sz w:val="24"/>
    </w:rPr>
  </w:style>
  <w:style w:type="paragraph" w:styleId="Title">
    <w:name w:val="Title"/>
    <w:basedOn w:val="Normal"/>
    <w:qFormat/>
    <w:rsid w:val="00D35E95"/>
    <w:pPr>
      <w:widowControl/>
      <w:jc w:val="center"/>
    </w:pPr>
    <w:rPr>
      <w:rFonts w:ascii="Times New Roman" w:hAnsi="Times New Roman"/>
      <w:b/>
    </w:rPr>
  </w:style>
  <w:style w:type="paragraph" w:styleId="BodyText3">
    <w:name w:val="Body Text 3"/>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jc w:val="center"/>
    </w:pPr>
    <w:rPr>
      <w:rFonts w:ascii="Charter Bd BT" w:hAnsi="Charter Bd BT"/>
    </w:rPr>
  </w:style>
  <w:style w:type="paragraph" w:customStyle="1" w:styleId="Level1">
    <w:name w:val="Level 1"/>
    <w:basedOn w:val="Normal"/>
    <w:rsid w:val="00D35E95"/>
    <w:pPr>
      <w:numPr>
        <w:numId w:val="1"/>
      </w:numPr>
      <w:ind w:left="1440" w:right="720" w:hanging="720"/>
      <w:outlineLvl w:val="0"/>
    </w:pPr>
    <w:rPr>
      <w:rFonts w:ascii="CG Times" w:hAnsi="CG Times"/>
      <w:snapToGrid w:val="0"/>
    </w:rPr>
  </w:style>
  <w:style w:type="paragraph" w:styleId="FootnoteText">
    <w:name w:val="footnote text"/>
    <w:basedOn w:val="Normal"/>
    <w:semiHidden/>
    <w:rsid w:val="00D35E95"/>
    <w:rPr>
      <w:sz w:val="20"/>
    </w:rPr>
  </w:style>
  <w:style w:type="character" w:styleId="PageNumber">
    <w:name w:val="page number"/>
    <w:basedOn w:val="DefaultParagraphFont"/>
    <w:rsid w:val="00D35E95"/>
  </w:style>
  <w:style w:type="paragraph" w:styleId="BalloonText">
    <w:name w:val="Balloon Text"/>
    <w:basedOn w:val="Normal"/>
    <w:semiHidden/>
    <w:rsid w:val="00D35E95"/>
    <w:rPr>
      <w:rFonts w:ascii="Tahoma" w:hAnsi="Tahoma" w:cs="Charter Bd BT"/>
      <w:sz w:val="16"/>
      <w:szCs w:val="16"/>
    </w:rPr>
  </w:style>
  <w:style w:type="paragraph" w:styleId="ListBullet">
    <w:name w:val="List Bullet"/>
    <w:basedOn w:val="Normal"/>
    <w:rsid w:val="00D35E95"/>
    <w:pPr>
      <w:widowControl/>
      <w:numPr>
        <w:numId w:val="4"/>
      </w:numPr>
    </w:pPr>
    <w:rPr>
      <w:rFonts w:ascii="Times New Roman" w:hAnsi="Times New Roman"/>
    </w:rPr>
  </w:style>
  <w:style w:type="paragraph" w:styleId="ListBullet2">
    <w:name w:val="List Bullet 2"/>
    <w:basedOn w:val="Normal"/>
    <w:rsid w:val="00D35E95"/>
    <w:pPr>
      <w:widowControl/>
      <w:numPr>
        <w:numId w:val="5"/>
      </w:numPr>
    </w:pPr>
    <w:rPr>
      <w:rFonts w:ascii="Times New Roman" w:hAnsi="Times New Roman"/>
    </w:rPr>
  </w:style>
  <w:style w:type="paragraph" w:styleId="ListBullet3">
    <w:name w:val="List Bullet 3"/>
    <w:basedOn w:val="Normal"/>
    <w:rsid w:val="00D35E95"/>
    <w:pPr>
      <w:widowControl/>
      <w:numPr>
        <w:numId w:val="6"/>
      </w:numPr>
    </w:pPr>
    <w:rPr>
      <w:rFonts w:ascii="Times New Roman" w:hAnsi="Times New Roman"/>
    </w:rPr>
  </w:style>
  <w:style w:type="paragraph" w:styleId="ListBullet4">
    <w:name w:val="List Bullet 4"/>
    <w:basedOn w:val="Normal"/>
    <w:rsid w:val="00D35E95"/>
    <w:pPr>
      <w:widowControl/>
      <w:numPr>
        <w:numId w:val="7"/>
      </w:numPr>
    </w:pPr>
    <w:rPr>
      <w:rFonts w:ascii="Times New Roman" w:hAnsi="Times New Roman"/>
    </w:rPr>
  </w:style>
  <w:style w:type="paragraph" w:styleId="ListBullet5">
    <w:name w:val="List Bullet 5"/>
    <w:basedOn w:val="Normal"/>
    <w:rsid w:val="00D35E95"/>
    <w:pPr>
      <w:widowControl/>
      <w:numPr>
        <w:numId w:val="8"/>
      </w:numPr>
    </w:pPr>
    <w:rPr>
      <w:rFonts w:ascii="Times New Roman" w:hAnsi="Times New Roman"/>
    </w:rPr>
  </w:style>
  <w:style w:type="paragraph" w:styleId="ListNumber">
    <w:name w:val="List Number"/>
    <w:basedOn w:val="Normal"/>
    <w:rsid w:val="00D35E95"/>
    <w:pPr>
      <w:widowControl/>
      <w:numPr>
        <w:numId w:val="9"/>
      </w:numPr>
    </w:pPr>
    <w:rPr>
      <w:rFonts w:ascii="Times New Roman" w:hAnsi="Times New Roman"/>
    </w:rPr>
  </w:style>
  <w:style w:type="paragraph" w:styleId="ListNumber2">
    <w:name w:val="List Number 2"/>
    <w:basedOn w:val="Normal"/>
    <w:rsid w:val="00D35E95"/>
    <w:pPr>
      <w:widowControl/>
      <w:numPr>
        <w:numId w:val="10"/>
      </w:numPr>
    </w:pPr>
    <w:rPr>
      <w:rFonts w:ascii="Times New Roman" w:hAnsi="Times New Roman"/>
    </w:rPr>
  </w:style>
  <w:style w:type="paragraph" w:styleId="ListNumber3">
    <w:name w:val="List Number 3"/>
    <w:basedOn w:val="Normal"/>
    <w:rsid w:val="00D35E95"/>
    <w:pPr>
      <w:widowControl/>
      <w:numPr>
        <w:numId w:val="11"/>
      </w:numPr>
    </w:pPr>
    <w:rPr>
      <w:rFonts w:ascii="Times New Roman" w:hAnsi="Times New Roman"/>
    </w:rPr>
  </w:style>
  <w:style w:type="paragraph" w:styleId="ListNumber4">
    <w:name w:val="List Number 4"/>
    <w:basedOn w:val="Normal"/>
    <w:rsid w:val="00D35E95"/>
    <w:pPr>
      <w:widowControl/>
      <w:numPr>
        <w:numId w:val="12"/>
      </w:numPr>
    </w:pPr>
    <w:rPr>
      <w:rFonts w:ascii="Times New Roman" w:hAnsi="Times New Roman"/>
    </w:rPr>
  </w:style>
  <w:style w:type="paragraph" w:styleId="ListNumber5">
    <w:name w:val="List Number 5"/>
    <w:basedOn w:val="Normal"/>
    <w:rsid w:val="00D35E95"/>
    <w:pPr>
      <w:widowControl/>
      <w:numPr>
        <w:numId w:val="13"/>
      </w:numPr>
    </w:pPr>
    <w:rPr>
      <w:rFonts w:ascii="Times New Roman" w:hAnsi="Times New Roman"/>
    </w:rPr>
  </w:style>
  <w:style w:type="paragraph" w:customStyle="1" w:styleId="Level2">
    <w:name w:val="Level 2"/>
    <w:basedOn w:val="Normal"/>
    <w:rsid w:val="00D35E95"/>
    <w:rPr>
      <w:rFonts w:ascii="Times New Roman" w:hAnsi="Times New Roman"/>
    </w:rPr>
  </w:style>
  <w:style w:type="paragraph" w:customStyle="1" w:styleId="NormalInden">
    <w:name w:val="Normal Inden"/>
    <w:basedOn w:val="Normal"/>
    <w:rsid w:val="00D35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720"/>
    </w:pPr>
    <w:rPr>
      <w:rFonts w:ascii="Times New Roman" w:hAnsi="Times New Roman"/>
    </w:rPr>
  </w:style>
  <w:style w:type="character" w:styleId="LineNumber">
    <w:name w:val="line number"/>
    <w:basedOn w:val="DefaultParagraphFont"/>
    <w:rsid w:val="00D35E95"/>
    <w:rPr>
      <w:rFonts w:ascii="Univers" w:hAnsi="Univers"/>
      <w:color w:val="auto"/>
      <w:sz w:val="22"/>
      <w:u w:val="none"/>
    </w:rPr>
  </w:style>
  <w:style w:type="paragraph" w:customStyle="1" w:styleId="Heading4C">
    <w:name w:val="Heading 4 C"/>
    <w:aliases w:val="h4"/>
    <w:basedOn w:val="Normal"/>
    <w:next w:val="Normal"/>
    <w:rsid w:val="00D35E95"/>
    <w:pPr>
      <w:keepNext/>
      <w:keepLines/>
      <w:widowControl/>
      <w:jc w:val="center"/>
      <w:outlineLvl w:val="1"/>
    </w:pPr>
    <w:rPr>
      <w:rFonts w:ascii="Times New Roman" w:hAnsi="Times New Roman"/>
    </w:rPr>
  </w:style>
  <w:style w:type="paragraph" w:customStyle="1" w:styleId="Legal1L2">
    <w:name w:val="Legal1_L2"/>
    <w:basedOn w:val="Normal"/>
    <w:next w:val="Normal"/>
    <w:rsid w:val="00D35E95"/>
    <w:pPr>
      <w:widowControl/>
      <w:tabs>
        <w:tab w:val="num" w:pos="1440"/>
      </w:tabs>
      <w:spacing w:after="480" w:line="480" w:lineRule="auto"/>
      <w:ind w:left="1440" w:hanging="720"/>
      <w:outlineLvl w:val="1"/>
    </w:pPr>
    <w:rPr>
      <w:rFonts w:ascii="Times New Roman" w:hAnsi="Times New Roman"/>
    </w:rPr>
  </w:style>
  <w:style w:type="paragraph" w:customStyle="1" w:styleId="StyleJustifiedLeft05Firstline05After12ptLin">
    <w:name w:val="Style Justified Left:  0.5&quot; First line:  0.5&quot; After:  12 pt Lin..."/>
    <w:basedOn w:val="Tariff3"/>
    <w:link w:val="StyleJustifiedLeft05Firstline05After12ptLinChar"/>
    <w:rsid w:val="00FE3B9F"/>
    <w:pPr>
      <w:spacing w:line="480" w:lineRule="auto"/>
      <w:ind w:left="720" w:firstLine="720"/>
    </w:pPr>
  </w:style>
  <w:style w:type="character" w:customStyle="1" w:styleId="Tariff3Char">
    <w:name w:val="Tariff3 Char"/>
    <w:basedOn w:val="DefaultParagraphFont"/>
    <w:link w:val="Tariff3"/>
    <w:rsid w:val="00FE3B9F"/>
    <w:rPr>
      <w:rFonts w:ascii="CG Times" w:hAnsi="CG Times"/>
      <w:b/>
      <w:sz w:val="24"/>
      <w:lang w:val="en-US" w:eastAsia="en-US" w:bidi="ar-SA"/>
    </w:rPr>
  </w:style>
  <w:style w:type="character" w:customStyle="1" w:styleId="StyleJustifiedLeft05Firstline05After12ptLinChar">
    <w:name w:val="Style Justified Left:  0.5&quot; First line:  0.5&quot; After:  12 pt Lin... Char"/>
    <w:basedOn w:val="Tariff3Char"/>
    <w:link w:val="StyleJustifiedLeft05Firstline05After12ptLin"/>
    <w:rsid w:val="00FE3B9F"/>
    <w:rPr>
      <w:rFonts w:ascii="CG Times" w:hAnsi="CG Times"/>
      <w:b/>
      <w:sz w:val="24"/>
      <w:lang w:val="en-US" w:eastAsia="en-US" w:bidi="ar-SA"/>
    </w:rPr>
  </w:style>
  <w:style w:type="character" w:styleId="FollowedHyperlink">
    <w:name w:val="FollowedHyperlink"/>
    <w:basedOn w:val="DefaultParagraphFont"/>
    <w:rsid w:val="00C10461"/>
    <w:rPr>
      <w:color w:val="800080"/>
      <w:u w:val="single"/>
    </w:rPr>
  </w:style>
  <w:style w:type="character" w:styleId="Strong">
    <w:name w:val="Strong"/>
    <w:basedOn w:val="DefaultParagraphFont"/>
    <w:qFormat/>
    <w:rsid w:val="00F90E99"/>
    <w:rPr>
      <w:b/>
      <w:bCs/>
    </w:rPr>
  </w:style>
  <w:style w:type="paragraph" w:styleId="ListParagraph">
    <w:name w:val="List Paragraph"/>
    <w:basedOn w:val="Normal"/>
    <w:uiPriority w:val="34"/>
    <w:qFormat/>
    <w:rsid w:val="0098128A"/>
    <w:pPr>
      <w:ind w:left="720"/>
    </w:pPr>
  </w:style>
  <w:style w:type="character" w:customStyle="1" w:styleId="FooterChar">
    <w:name w:val="Footer Char"/>
    <w:basedOn w:val="DefaultParagraphFont"/>
    <w:link w:val="Footer"/>
    <w:semiHidden/>
    <w:locked/>
    <w:rsid w:val="00C42C5E"/>
    <w:rPr>
      <w:rFonts w:ascii="Courier" w:hAnsi="Courier"/>
      <w:sz w:val="24"/>
      <w:lang w:val="en-US" w:eastAsia="en-US" w:bidi="ar-SA"/>
    </w:rPr>
  </w:style>
  <w:style w:type="paragraph" w:customStyle="1" w:styleId="Normal7">
    <w:name w:val="Normal_7"/>
    <w:qFormat/>
    <w:rsid w:val="005835CF"/>
    <w:pPr>
      <w:widowControl w:val="0"/>
      <w:spacing w:after="200" w:line="276" w:lineRule="auto"/>
    </w:pPr>
    <w:rPr>
      <w:rFonts w:ascii="Courier" w:eastAsia="Calibri" w:hAnsi="Courie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E95"/>
    <w:pPr>
      <w:widowControl w:val="0"/>
    </w:pPr>
    <w:rPr>
      <w:rFonts w:ascii="Courier" w:hAnsi="Courier"/>
      <w:sz w:val="24"/>
    </w:rPr>
  </w:style>
  <w:style w:type="paragraph" w:styleId="Heading1">
    <w:name w:val="heading 1"/>
    <w:basedOn w:val="Normal"/>
    <w:next w:val="Normal"/>
    <w:qFormat/>
    <w:rsid w:val="00D35E95"/>
    <w:pPr>
      <w:keepNext/>
      <w:numPr>
        <w:ilvl w:val="1"/>
        <w:numId w:val="14"/>
      </w:numPr>
      <w:tabs>
        <w:tab w:val="center" w:pos="4680"/>
        <w:tab w:val="left" w:pos="5040"/>
        <w:tab w:val="left" w:pos="5760"/>
        <w:tab w:val="left" w:pos="6480"/>
        <w:tab w:val="left" w:pos="7200"/>
        <w:tab w:val="left" w:pos="7920"/>
        <w:tab w:val="left" w:pos="8640"/>
        <w:tab w:val="left" w:pos="9360"/>
      </w:tabs>
      <w:spacing w:line="480" w:lineRule="auto"/>
      <w:outlineLvl w:val="0"/>
    </w:pPr>
    <w:rPr>
      <w:rFonts w:ascii="CG Times" w:hAnsi="CG Times"/>
      <w:b/>
    </w:rPr>
  </w:style>
  <w:style w:type="paragraph" w:styleId="Heading2">
    <w:name w:val="heading 2"/>
    <w:basedOn w:val="Normal"/>
    <w:next w:val="Normal"/>
    <w:qFormat/>
    <w:rsid w:val="00D35E95"/>
    <w:pPr>
      <w:keepNext/>
      <w:tabs>
        <w:tab w:val="left" w:pos="684"/>
        <w:tab w:val="left" w:pos="720"/>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1440" w:hanging="720"/>
      <w:jc w:val="both"/>
      <w:outlineLvl w:val="1"/>
    </w:pPr>
    <w:rPr>
      <w:rFonts w:ascii="CG Times" w:hAnsi="CG Times"/>
      <w:b/>
    </w:rPr>
  </w:style>
  <w:style w:type="paragraph" w:styleId="Heading3">
    <w:name w:val="heading 3"/>
    <w:basedOn w:val="Normal"/>
    <w:next w:val="Normal"/>
    <w:qFormat/>
    <w:rsid w:val="00D35E95"/>
    <w:pPr>
      <w:keepNext/>
      <w:numPr>
        <w:ilvl w:val="2"/>
        <w:numId w:val="14"/>
      </w:numPr>
      <w:spacing w:before="240" w:after="60"/>
      <w:outlineLvl w:val="2"/>
    </w:pPr>
    <w:rPr>
      <w:rFonts w:ascii="Arial" w:hAnsi="Arial"/>
    </w:rPr>
  </w:style>
  <w:style w:type="paragraph" w:styleId="Heading4">
    <w:name w:val="heading 4"/>
    <w:basedOn w:val="Normal"/>
    <w:next w:val="Normal"/>
    <w:qFormat/>
    <w:rsid w:val="00D35E95"/>
    <w:pPr>
      <w:keepNext/>
      <w:numPr>
        <w:ilvl w:val="3"/>
        <w:numId w:val="14"/>
      </w:numPr>
      <w:tabs>
        <w:tab w:val="center" w:pos="4680"/>
        <w:tab w:val="left" w:pos="5040"/>
        <w:tab w:val="left" w:pos="5760"/>
        <w:tab w:val="left" w:pos="6480"/>
        <w:tab w:val="left" w:pos="7200"/>
        <w:tab w:val="left" w:pos="7920"/>
        <w:tab w:val="left" w:pos="8640"/>
        <w:tab w:val="left" w:pos="9360"/>
      </w:tabs>
      <w:jc w:val="center"/>
      <w:outlineLvl w:val="3"/>
    </w:pPr>
    <w:rPr>
      <w:rFonts w:ascii="CG Times" w:hAnsi="CG Times"/>
      <w:b/>
    </w:rPr>
  </w:style>
  <w:style w:type="paragraph" w:styleId="Heading5">
    <w:name w:val="heading 5"/>
    <w:basedOn w:val="Normal"/>
    <w:next w:val="Normal"/>
    <w:qFormat/>
    <w:rsid w:val="00D35E95"/>
    <w:pPr>
      <w:keepNext/>
      <w:numPr>
        <w:ilvl w:val="4"/>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jc w:val="right"/>
      <w:outlineLvl w:val="4"/>
    </w:pPr>
    <w:rPr>
      <w:rFonts w:ascii="CG Times" w:hAnsi="CG Times"/>
    </w:rPr>
  </w:style>
  <w:style w:type="paragraph" w:styleId="Heading6">
    <w:name w:val="heading 6"/>
    <w:basedOn w:val="Normal"/>
    <w:next w:val="Normal"/>
    <w:qFormat/>
    <w:rsid w:val="00D35E95"/>
    <w:pPr>
      <w:keepNext/>
      <w:numPr>
        <w:ilvl w:val="5"/>
        <w:numId w:val="14"/>
      </w:numPr>
      <w:jc w:val="center"/>
      <w:outlineLvl w:val="5"/>
    </w:pPr>
    <w:rPr>
      <w:rFonts w:ascii="Times New Roman" w:hAnsi="Times New Roman"/>
    </w:rPr>
  </w:style>
  <w:style w:type="paragraph" w:styleId="Heading7">
    <w:name w:val="heading 7"/>
    <w:basedOn w:val="Normal"/>
    <w:next w:val="Normal"/>
    <w:qFormat/>
    <w:rsid w:val="00D35E95"/>
    <w:pPr>
      <w:keepNext/>
      <w:numPr>
        <w:ilvl w:val="6"/>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outlineLvl w:val="6"/>
    </w:pPr>
    <w:rPr>
      <w:rFonts w:ascii="CG Times" w:hAnsi="CG Times"/>
    </w:rPr>
  </w:style>
  <w:style w:type="paragraph" w:styleId="Heading8">
    <w:name w:val="heading 8"/>
    <w:basedOn w:val="Normal"/>
    <w:next w:val="Normal"/>
    <w:qFormat/>
    <w:rsid w:val="00D35E95"/>
    <w:pPr>
      <w:keepNext/>
      <w:numPr>
        <w:ilvl w:val="7"/>
        <w:numId w:val="14"/>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jc w:val="center"/>
      <w:outlineLvl w:val="7"/>
    </w:pPr>
    <w:rPr>
      <w:rFonts w:ascii="CG Times" w:hAnsi="CG Times"/>
    </w:rPr>
  </w:style>
  <w:style w:type="paragraph" w:styleId="Heading9">
    <w:name w:val="heading 9"/>
    <w:basedOn w:val="Normal"/>
    <w:next w:val="Normal"/>
    <w:qFormat/>
    <w:rsid w:val="00D35E95"/>
    <w:pPr>
      <w:keepNext/>
      <w:numPr>
        <w:ilvl w:val="8"/>
        <w:numId w:val="14"/>
      </w:numPr>
      <w:tabs>
        <w:tab w:val="left" w:pos="684"/>
        <w:tab w:val="left" w:pos="1482"/>
        <w:tab w:val="left" w:pos="2160"/>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jc w:val="both"/>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35E95"/>
    <w:rPr>
      <w:sz w:val="20"/>
    </w:rPr>
  </w:style>
  <w:style w:type="paragraph" w:styleId="BlockText">
    <w:name w:val="Block Text"/>
    <w:basedOn w:val="Normal"/>
    <w:rsid w:val="00D35E95"/>
    <w:pPr>
      <w:tabs>
        <w:tab w:val="center" w:pos="4680"/>
        <w:tab w:val="left" w:pos="5040"/>
        <w:tab w:val="left" w:pos="5760"/>
        <w:tab w:val="left" w:pos="6480"/>
        <w:tab w:val="left" w:pos="7200"/>
        <w:tab w:val="left" w:pos="7920"/>
        <w:tab w:val="left" w:pos="8640"/>
        <w:tab w:val="left" w:pos="9360"/>
      </w:tabs>
      <w:ind w:left="1260" w:right="1440"/>
      <w:jc w:val="center"/>
    </w:pPr>
    <w:rPr>
      <w:rFonts w:ascii="CG Times" w:hAnsi="CG Times"/>
      <w:b/>
    </w:rPr>
  </w:style>
  <w:style w:type="paragraph" w:styleId="Header">
    <w:name w:val="header"/>
    <w:basedOn w:val="Normal"/>
    <w:rsid w:val="00D35E95"/>
    <w:pPr>
      <w:tabs>
        <w:tab w:val="center" w:pos="4320"/>
        <w:tab w:val="right" w:pos="8640"/>
      </w:tabs>
    </w:pPr>
  </w:style>
  <w:style w:type="paragraph" w:styleId="Footer">
    <w:name w:val="footer"/>
    <w:basedOn w:val="Normal"/>
    <w:link w:val="FooterChar"/>
    <w:rsid w:val="00D35E95"/>
    <w:pPr>
      <w:tabs>
        <w:tab w:val="center" w:pos="4320"/>
        <w:tab w:val="right" w:pos="8640"/>
      </w:tabs>
    </w:pPr>
  </w:style>
  <w:style w:type="paragraph" w:styleId="BodyText2">
    <w:name w:val="Body Text 2"/>
    <w:basedOn w:val="Normal"/>
    <w:rsid w:val="00D35E95"/>
    <w:pPr>
      <w:tabs>
        <w:tab w:val="left" w:pos="2880"/>
      </w:tabs>
      <w:ind w:left="2880" w:hanging="2880"/>
    </w:pPr>
    <w:rPr>
      <w:rFonts w:ascii="CG Times" w:hAnsi="CG Times"/>
    </w:rPr>
  </w:style>
  <w:style w:type="paragraph" w:styleId="BodyTextIndent2">
    <w:name w:val="Body Text Indent 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ind w:firstLine="720"/>
    </w:pPr>
    <w:rPr>
      <w:rFonts w:ascii="CG Times" w:hAnsi="CG Times"/>
    </w:rPr>
  </w:style>
  <w:style w:type="paragraph" w:styleId="BodyTextIndent3">
    <w:name w:val="Body Text Indent 3"/>
    <w:basedOn w:val="Normal"/>
    <w:rsid w:val="00D35E95"/>
    <w:pPr>
      <w:tabs>
        <w:tab w:val="left" w:pos="0"/>
        <w:tab w:val="left" w:pos="684"/>
        <w:tab w:val="left" w:pos="1482"/>
        <w:tab w:val="left" w:pos="2160"/>
        <w:tab w:val="left" w:pos="4332"/>
        <w:tab w:val="left" w:pos="5016"/>
        <w:tab w:val="left" w:pos="5814"/>
        <w:tab w:val="left" w:pos="6498"/>
        <w:tab w:val="left" w:pos="6840"/>
        <w:tab w:val="left" w:pos="7560"/>
        <w:tab w:val="left" w:pos="8280"/>
        <w:tab w:val="left" w:pos="9000"/>
      </w:tabs>
      <w:spacing w:line="480" w:lineRule="auto"/>
      <w:ind w:left="2160" w:hanging="720"/>
    </w:pPr>
    <w:rPr>
      <w:rFonts w:ascii="CG Times" w:hAnsi="CG Times"/>
    </w:rPr>
  </w:style>
  <w:style w:type="character" w:styleId="CommentReference">
    <w:name w:val="annotation reference"/>
    <w:basedOn w:val="DefaultParagraphFont"/>
    <w:semiHidden/>
    <w:rsid w:val="00D35E95"/>
    <w:rPr>
      <w:sz w:val="16"/>
    </w:rPr>
  </w:style>
  <w:style w:type="paragraph" w:styleId="CommentText">
    <w:name w:val="annotation text"/>
    <w:basedOn w:val="Normal"/>
    <w:semiHidden/>
    <w:rsid w:val="00D35E95"/>
    <w:rPr>
      <w:sz w:val="20"/>
    </w:rPr>
  </w:style>
  <w:style w:type="paragraph" w:styleId="TOC2">
    <w:name w:val="toc 2"/>
    <w:basedOn w:val="Normal"/>
    <w:next w:val="Normal"/>
    <w:semiHidden/>
    <w:rsid w:val="00D35E95"/>
    <w:pPr>
      <w:tabs>
        <w:tab w:val="left" w:pos="1440"/>
        <w:tab w:val="right" w:leader="dot" w:pos="9360"/>
      </w:tabs>
      <w:spacing w:after="120"/>
      <w:ind w:left="1800" w:hanging="1080"/>
    </w:pPr>
    <w:rPr>
      <w:rFonts w:ascii="CG Times" w:hAnsi="CG Times"/>
    </w:rPr>
  </w:style>
  <w:style w:type="paragraph" w:styleId="TOC1">
    <w:name w:val="toc 1"/>
    <w:basedOn w:val="Normal"/>
    <w:next w:val="Normal"/>
    <w:semiHidden/>
    <w:rsid w:val="00D35E95"/>
    <w:pPr>
      <w:tabs>
        <w:tab w:val="left" w:pos="1080"/>
        <w:tab w:val="right" w:leader="dot" w:pos="9360"/>
      </w:tabs>
      <w:spacing w:after="120"/>
      <w:ind w:left="1080" w:hanging="720"/>
    </w:pPr>
    <w:rPr>
      <w:rFonts w:ascii="CG Times" w:hAnsi="CG Times"/>
    </w:rPr>
  </w:style>
  <w:style w:type="paragraph" w:styleId="TOC3">
    <w:name w:val="toc 3"/>
    <w:basedOn w:val="Normal"/>
    <w:next w:val="Normal"/>
    <w:semiHidden/>
    <w:rsid w:val="00D35E95"/>
    <w:pPr>
      <w:tabs>
        <w:tab w:val="left" w:pos="1800"/>
        <w:tab w:val="right" w:leader="dot" w:pos="9360"/>
      </w:tabs>
      <w:spacing w:after="120"/>
      <w:ind w:left="2520" w:hanging="1440"/>
    </w:pPr>
    <w:rPr>
      <w:rFonts w:ascii="CG Times" w:hAnsi="CG Times"/>
      <w:noProof/>
      <w:sz w:val="22"/>
    </w:rPr>
  </w:style>
  <w:style w:type="paragraph" w:styleId="TOC4">
    <w:name w:val="toc 4"/>
    <w:basedOn w:val="Normal"/>
    <w:next w:val="Normal"/>
    <w:semiHidden/>
    <w:rsid w:val="00D35E95"/>
    <w:pPr>
      <w:tabs>
        <w:tab w:val="left" w:pos="1800"/>
        <w:tab w:val="right" w:leader="dot" w:pos="9360"/>
      </w:tabs>
      <w:spacing w:after="120"/>
      <w:ind w:left="2880" w:hanging="1800"/>
    </w:pPr>
    <w:rPr>
      <w:rFonts w:ascii="CG Times" w:hAnsi="CG Times"/>
      <w:sz w:val="20"/>
    </w:rPr>
  </w:style>
  <w:style w:type="paragraph" w:styleId="TOC5">
    <w:name w:val="toc 5"/>
    <w:basedOn w:val="Normal"/>
    <w:next w:val="Normal"/>
    <w:semiHidden/>
    <w:rsid w:val="00D35E95"/>
    <w:pPr>
      <w:ind w:left="960"/>
    </w:pPr>
  </w:style>
  <w:style w:type="paragraph" w:styleId="TOC6">
    <w:name w:val="toc 6"/>
    <w:basedOn w:val="Normal"/>
    <w:next w:val="Normal"/>
    <w:semiHidden/>
    <w:rsid w:val="00D35E95"/>
    <w:pPr>
      <w:ind w:left="1200"/>
    </w:pPr>
  </w:style>
  <w:style w:type="paragraph" w:styleId="TOC7">
    <w:name w:val="toc 7"/>
    <w:basedOn w:val="Normal"/>
    <w:next w:val="Normal"/>
    <w:semiHidden/>
    <w:rsid w:val="00D35E95"/>
    <w:pPr>
      <w:ind w:left="1440"/>
    </w:pPr>
  </w:style>
  <w:style w:type="paragraph" w:styleId="TOC8">
    <w:name w:val="toc 8"/>
    <w:basedOn w:val="Normal"/>
    <w:next w:val="Normal"/>
    <w:semiHidden/>
    <w:rsid w:val="00D35E95"/>
    <w:pPr>
      <w:ind w:left="1680"/>
    </w:pPr>
  </w:style>
  <w:style w:type="paragraph" w:styleId="TOC9">
    <w:name w:val="toc 9"/>
    <w:basedOn w:val="Normal"/>
    <w:next w:val="Normal"/>
    <w:semiHidden/>
    <w:rsid w:val="00D35E95"/>
    <w:pPr>
      <w:ind w:left="1920"/>
    </w:pPr>
  </w:style>
  <w:style w:type="paragraph" w:styleId="BodyText">
    <w:name w:val="Body Text"/>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jc w:val="both"/>
    </w:pPr>
    <w:rPr>
      <w:rFonts w:ascii="CG Times" w:hAnsi="CG Times"/>
    </w:rPr>
  </w:style>
  <w:style w:type="paragraph" w:customStyle="1" w:styleId="Tariff1">
    <w:name w:val="Tariff1"/>
    <w:basedOn w:val="Normal"/>
    <w:rsid w:val="00A2256E"/>
    <w:pPr>
      <w:numPr>
        <w:numId w:val="15"/>
      </w:num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jc w:val="both"/>
    </w:pPr>
    <w:rPr>
      <w:rFonts w:ascii="CG Times" w:hAnsi="CG Times"/>
      <w:b/>
    </w:rPr>
  </w:style>
  <w:style w:type="paragraph" w:customStyle="1" w:styleId="Tariff2">
    <w:name w:val="Tariff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ind w:left="720"/>
      <w:jc w:val="both"/>
    </w:pPr>
    <w:rPr>
      <w:rFonts w:ascii="CG Times" w:hAnsi="CG Times"/>
      <w:b/>
    </w:rPr>
  </w:style>
  <w:style w:type="paragraph" w:customStyle="1" w:styleId="Tariff3">
    <w:name w:val="Tariff3"/>
    <w:basedOn w:val="Normal"/>
    <w:link w:val="Tariff3Char"/>
    <w:rsid w:val="003F02D1"/>
    <w:pPr>
      <w:numPr>
        <w:ilvl w:val="2"/>
        <w:numId w:val="17"/>
      </w:numPr>
      <w:tabs>
        <w:tab w:val="left" w:pos="0"/>
        <w:tab w:val="left" w:pos="684"/>
        <w:tab w:val="left" w:pos="1482"/>
        <w:tab w:val="left" w:pos="2850"/>
        <w:tab w:val="left" w:pos="3648"/>
        <w:tab w:val="left" w:pos="4332"/>
        <w:tab w:val="left" w:pos="5016"/>
        <w:tab w:val="left" w:pos="5814"/>
        <w:tab w:val="left" w:pos="6210"/>
        <w:tab w:val="left" w:pos="6498"/>
        <w:tab w:val="left" w:pos="6840"/>
        <w:tab w:val="left" w:pos="7560"/>
        <w:tab w:val="left" w:pos="8280"/>
        <w:tab w:val="left" w:pos="9000"/>
      </w:tabs>
      <w:spacing w:after="240"/>
      <w:jc w:val="both"/>
    </w:pPr>
    <w:rPr>
      <w:rFonts w:ascii="CG Times" w:hAnsi="CG Times"/>
      <w:b/>
    </w:rPr>
  </w:style>
  <w:style w:type="paragraph" w:customStyle="1" w:styleId="Tariff4">
    <w:name w:val="Tariff4"/>
    <w:basedOn w:val="Normal"/>
    <w:rsid w:val="00D35E95"/>
    <w:pPr>
      <w:tabs>
        <w:tab w:val="left" w:pos="0"/>
        <w:tab w:val="left" w:pos="684"/>
        <w:tab w:val="left" w:pos="1482"/>
        <w:tab w:val="left" w:pos="2850"/>
        <w:tab w:val="left" w:pos="2880"/>
        <w:tab w:val="left" w:pos="3648"/>
        <w:tab w:val="left" w:pos="4332"/>
        <w:tab w:val="left" w:pos="5016"/>
        <w:tab w:val="left" w:pos="5814"/>
        <w:tab w:val="left" w:pos="6498"/>
        <w:tab w:val="left" w:pos="6840"/>
        <w:tab w:val="left" w:pos="7560"/>
        <w:tab w:val="left" w:pos="8280"/>
        <w:tab w:val="left" w:pos="9000"/>
      </w:tabs>
      <w:spacing w:after="240"/>
      <w:ind w:left="2850" w:hanging="690"/>
      <w:jc w:val="both"/>
    </w:pPr>
    <w:rPr>
      <w:rFonts w:ascii="CG Times" w:hAnsi="CG Times"/>
      <w:b/>
    </w:rPr>
  </w:style>
  <w:style w:type="paragraph" w:customStyle="1" w:styleId="Tariff5">
    <w:name w:val="Tariff5"/>
    <w:basedOn w:val="Heading1"/>
    <w:rsid w:val="00D35E95"/>
    <w:pPr>
      <w:outlineLvl w:val="9"/>
    </w:pPr>
  </w:style>
  <w:style w:type="paragraph" w:customStyle="1" w:styleId="BodyText24">
    <w:name w:val="Body Text 24"/>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2160"/>
      <w:jc w:val="both"/>
    </w:pPr>
    <w:rPr>
      <w:rFonts w:ascii="CG Times" w:hAnsi="CG Times"/>
    </w:rPr>
  </w:style>
  <w:style w:type="paragraph" w:customStyle="1" w:styleId="BodyText23">
    <w:name w:val="Body Text 23"/>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line="480" w:lineRule="auto"/>
      <w:ind w:left="2880" w:hanging="720"/>
      <w:jc w:val="both"/>
    </w:pPr>
    <w:rPr>
      <w:rFonts w:ascii="CG Times" w:hAnsi="CG Times"/>
    </w:rPr>
  </w:style>
  <w:style w:type="paragraph" w:customStyle="1" w:styleId="BodyText22">
    <w:name w:val="Body Text 22"/>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ind w:left="1482" w:hanging="42"/>
    </w:pPr>
    <w:rPr>
      <w:rFonts w:ascii="CG Times" w:hAnsi="CG Times"/>
    </w:rPr>
  </w:style>
  <w:style w:type="paragraph" w:customStyle="1" w:styleId="BodyText21">
    <w:name w:val="Body Text 21"/>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after="240"/>
      <w:ind w:left="2850" w:hanging="690"/>
      <w:jc w:val="both"/>
    </w:pPr>
    <w:rPr>
      <w:rFonts w:ascii="CG Times" w:hAnsi="CG Times"/>
    </w:rPr>
  </w:style>
  <w:style w:type="paragraph" w:styleId="DocumentMap">
    <w:name w:val="Document Map"/>
    <w:basedOn w:val="Normal"/>
    <w:semiHidden/>
    <w:rsid w:val="00D35E95"/>
    <w:pPr>
      <w:shd w:val="clear" w:color="auto" w:fill="000080"/>
    </w:pPr>
    <w:rPr>
      <w:rFonts w:ascii="Tahoma" w:hAnsi="Tahoma"/>
    </w:rPr>
  </w:style>
  <w:style w:type="paragraph" w:styleId="BodyTextIndent">
    <w:name w:val="Body Text Indent"/>
    <w:basedOn w:val="Normal"/>
    <w:rsid w:val="00D35E95"/>
    <w:pPr>
      <w:widowControl/>
      <w:tabs>
        <w:tab w:val="left" w:pos="0"/>
        <w:tab w:val="left" w:pos="720"/>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ind w:left="720" w:hanging="90"/>
    </w:pPr>
    <w:rPr>
      <w:rFonts w:ascii="CG Times" w:hAnsi="CG Times"/>
      <w:sz w:val="20"/>
    </w:rPr>
  </w:style>
  <w:style w:type="paragraph" w:customStyle="1" w:styleId="1BulletList">
    <w:name w:val="1Bullet List"/>
    <w:rsid w:val="00D35E95"/>
    <w:pPr>
      <w:tabs>
        <w:tab w:val="left" w:pos="720"/>
      </w:tabs>
      <w:ind w:left="720" w:hanging="720"/>
    </w:pPr>
    <w:rPr>
      <w:rFonts w:ascii="CG Times" w:hAnsi="CG Times"/>
      <w:snapToGrid w:val="0"/>
      <w:sz w:val="24"/>
    </w:rPr>
  </w:style>
  <w:style w:type="paragraph" w:styleId="Title">
    <w:name w:val="Title"/>
    <w:basedOn w:val="Normal"/>
    <w:qFormat/>
    <w:rsid w:val="00D35E95"/>
    <w:pPr>
      <w:widowControl/>
      <w:jc w:val="center"/>
    </w:pPr>
    <w:rPr>
      <w:rFonts w:ascii="Times New Roman" w:hAnsi="Times New Roman"/>
      <w:b/>
    </w:rPr>
  </w:style>
  <w:style w:type="paragraph" w:styleId="BodyText3">
    <w:name w:val="Body Text 3"/>
    <w:basedOn w:val="Normal"/>
    <w:rsid w:val="00D35E95"/>
    <w:pPr>
      <w:tabs>
        <w:tab w:val="left" w:pos="0"/>
        <w:tab w:val="left" w:pos="684"/>
        <w:tab w:val="left" w:pos="1482"/>
        <w:tab w:val="left" w:pos="2166"/>
        <w:tab w:val="left" w:pos="2850"/>
        <w:tab w:val="left" w:pos="3648"/>
        <w:tab w:val="left" w:pos="4332"/>
        <w:tab w:val="left" w:pos="5016"/>
        <w:tab w:val="left" w:pos="5814"/>
        <w:tab w:val="left" w:pos="6498"/>
        <w:tab w:val="left" w:pos="6840"/>
        <w:tab w:val="left" w:pos="7560"/>
        <w:tab w:val="left" w:pos="8280"/>
        <w:tab w:val="left" w:pos="9000"/>
      </w:tabs>
      <w:spacing w:line="480" w:lineRule="auto"/>
      <w:jc w:val="center"/>
    </w:pPr>
    <w:rPr>
      <w:rFonts w:ascii="Charter Bd BT" w:hAnsi="Charter Bd BT"/>
    </w:rPr>
  </w:style>
  <w:style w:type="paragraph" w:customStyle="1" w:styleId="Level1">
    <w:name w:val="Level 1"/>
    <w:basedOn w:val="Normal"/>
    <w:rsid w:val="00D35E95"/>
    <w:pPr>
      <w:numPr>
        <w:numId w:val="1"/>
      </w:numPr>
      <w:ind w:left="1440" w:right="720" w:hanging="720"/>
      <w:outlineLvl w:val="0"/>
    </w:pPr>
    <w:rPr>
      <w:rFonts w:ascii="CG Times" w:hAnsi="CG Times"/>
      <w:snapToGrid w:val="0"/>
    </w:rPr>
  </w:style>
  <w:style w:type="paragraph" w:styleId="FootnoteText">
    <w:name w:val="footnote text"/>
    <w:basedOn w:val="Normal"/>
    <w:semiHidden/>
    <w:rsid w:val="00D35E95"/>
    <w:rPr>
      <w:sz w:val="20"/>
    </w:rPr>
  </w:style>
  <w:style w:type="character" w:styleId="PageNumber">
    <w:name w:val="page number"/>
    <w:basedOn w:val="DefaultParagraphFont"/>
    <w:rsid w:val="00D35E95"/>
  </w:style>
  <w:style w:type="paragraph" w:styleId="BalloonText">
    <w:name w:val="Balloon Text"/>
    <w:basedOn w:val="Normal"/>
    <w:semiHidden/>
    <w:rsid w:val="00D35E95"/>
    <w:rPr>
      <w:rFonts w:ascii="Tahoma" w:hAnsi="Tahoma" w:cs="Charter Bd BT"/>
      <w:sz w:val="16"/>
      <w:szCs w:val="16"/>
    </w:rPr>
  </w:style>
  <w:style w:type="paragraph" w:styleId="ListBullet">
    <w:name w:val="List Bullet"/>
    <w:basedOn w:val="Normal"/>
    <w:rsid w:val="00D35E95"/>
    <w:pPr>
      <w:widowControl/>
      <w:numPr>
        <w:numId w:val="4"/>
      </w:numPr>
    </w:pPr>
    <w:rPr>
      <w:rFonts w:ascii="Times New Roman" w:hAnsi="Times New Roman"/>
    </w:rPr>
  </w:style>
  <w:style w:type="paragraph" w:styleId="ListBullet2">
    <w:name w:val="List Bullet 2"/>
    <w:basedOn w:val="Normal"/>
    <w:rsid w:val="00D35E95"/>
    <w:pPr>
      <w:widowControl/>
      <w:numPr>
        <w:numId w:val="5"/>
      </w:numPr>
    </w:pPr>
    <w:rPr>
      <w:rFonts w:ascii="Times New Roman" w:hAnsi="Times New Roman"/>
    </w:rPr>
  </w:style>
  <w:style w:type="paragraph" w:styleId="ListBullet3">
    <w:name w:val="List Bullet 3"/>
    <w:basedOn w:val="Normal"/>
    <w:rsid w:val="00D35E95"/>
    <w:pPr>
      <w:widowControl/>
      <w:numPr>
        <w:numId w:val="6"/>
      </w:numPr>
    </w:pPr>
    <w:rPr>
      <w:rFonts w:ascii="Times New Roman" w:hAnsi="Times New Roman"/>
    </w:rPr>
  </w:style>
  <w:style w:type="paragraph" w:styleId="ListBullet4">
    <w:name w:val="List Bullet 4"/>
    <w:basedOn w:val="Normal"/>
    <w:rsid w:val="00D35E95"/>
    <w:pPr>
      <w:widowControl/>
      <w:numPr>
        <w:numId w:val="7"/>
      </w:numPr>
    </w:pPr>
    <w:rPr>
      <w:rFonts w:ascii="Times New Roman" w:hAnsi="Times New Roman"/>
    </w:rPr>
  </w:style>
  <w:style w:type="paragraph" w:styleId="ListBullet5">
    <w:name w:val="List Bullet 5"/>
    <w:basedOn w:val="Normal"/>
    <w:rsid w:val="00D35E95"/>
    <w:pPr>
      <w:widowControl/>
      <w:numPr>
        <w:numId w:val="8"/>
      </w:numPr>
    </w:pPr>
    <w:rPr>
      <w:rFonts w:ascii="Times New Roman" w:hAnsi="Times New Roman"/>
    </w:rPr>
  </w:style>
  <w:style w:type="paragraph" w:styleId="ListNumber">
    <w:name w:val="List Number"/>
    <w:basedOn w:val="Normal"/>
    <w:rsid w:val="00D35E95"/>
    <w:pPr>
      <w:widowControl/>
      <w:numPr>
        <w:numId w:val="9"/>
      </w:numPr>
    </w:pPr>
    <w:rPr>
      <w:rFonts w:ascii="Times New Roman" w:hAnsi="Times New Roman"/>
    </w:rPr>
  </w:style>
  <w:style w:type="paragraph" w:styleId="ListNumber2">
    <w:name w:val="List Number 2"/>
    <w:basedOn w:val="Normal"/>
    <w:rsid w:val="00D35E95"/>
    <w:pPr>
      <w:widowControl/>
      <w:numPr>
        <w:numId w:val="10"/>
      </w:numPr>
    </w:pPr>
    <w:rPr>
      <w:rFonts w:ascii="Times New Roman" w:hAnsi="Times New Roman"/>
    </w:rPr>
  </w:style>
  <w:style w:type="paragraph" w:styleId="ListNumber3">
    <w:name w:val="List Number 3"/>
    <w:basedOn w:val="Normal"/>
    <w:rsid w:val="00D35E95"/>
    <w:pPr>
      <w:widowControl/>
      <w:numPr>
        <w:numId w:val="11"/>
      </w:numPr>
    </w:pPr>
    <w:rPr>
      <w:rFonts w:ascii="Times New Roman" w:hAnsi="Times New Roman"/>
    </w:rPr>
  </w:style>
  <w:style w:type="paragraph" w:styleId="ListNumber4">
    <w:name w:val="List Number 4"/>
    <w:basedOn w:val="Normal"/>
    <w:rsid w:val="00D35E95"/>
    <w:pPr>
      <w:widowControl/>
      <w:numPr>
        <w:numId w:val="12"/>
      </w:numPr>
    </w:pPr>
    <w:rPr>
      <w:rFonts w:ascii="Times New Roman" w:hAnsi="Times New Roman"/>
    </w:rPr>
  </w:style>
  <w:style w:type="paragraph" w:styleId="ListNumber5">
    <w:name w:val="List Number 5"/>
    <w:basedOn w:val="Normal"/>
    <w:rsid w:val="00D35E95"/>
    <w:pPr>
      <w:widowControl/>
      <w:numPr>
        <w:numId w:val="13"/>
      </w:numPr>
    </w:pPr>
    <w:rPr>
      <w:rFonts w:ascii="Times New Roman" w:hAnsi="Times New Roman"/>
    </w:rPr>
  </w:style>
  <w:style w:type="paragraph" w:customStyle="1" w:styleId="Level2">
    <w:name w:val="Level 2"/>
    <w:basedOn w:val="Normal"/>
    <w:rsid w:val="00D35E95"/>
    <w:rPr>
      <w:rFonts w:ascii="Times New Roman" w:hAnsi="Times New Roman"/>
    </w:rPr>
  </w:style>
  <w:style w:type="paragraph" w:customStyle="1" w:styleId="NormalInden">
    <w:name w:val="Normal Inden"/>
    <w:basedOn w:val="Normal"/>
    <w:rsid w:val="00D35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720"/>
    </w:pPr>
    <w:rPr>
      <w:rFonts w:ascii="Times New Roman" w:hAnsi="Times New Roman"/>
    </w:rPr>
  </w:style>
  <w:style w:type="character" w:styleId="LineNumber">
    <w:name w:val="line number"/>
    <w:basedOn w:val="DefaultParagraphFont"/>
    <w:rsid w:val="00D35E95"/>
    <w:rPr>
      <w:rFonts w:ascii="Univers" w:hAnsi="Univers"/>
      <w:color w:val="auto"/>
      <w:sz w:val="22"/>
      <w:u w:val="none"/>
    </w:rPr>
  </w:style>
  <w:style w:type="paragraph" w:customStyle="1" w:styleId="Heading4C">
    <w:name w:val="Heading 4 C"/>
    <w:aliases w:val="h4"/>
    <w:basedOn w:val="Normal"/>
    <w:next w:val="Normal"/>
    <w:rsid w:val="00D35E95"/>
    <w:pPr>
      <w:keepNext/>
      <w:keepLines/>
      <w:widowControl/>
      <w:jc w:val="center"/>
      <w:outlineLvl w:val="1"/>
    </w:pPr>
    <w:rPr>
      <w:rFonts w:ascii="Times New Roman" w:hAnsi="Times New Roman"/>
    </w:rPr>
  </w:style>
  <w:style w:type="paragraph" w:customStyle="1" w:styleId="Legal1L2">
    <w:name w:val="Legal1_L2"/>
    <w:basedOn w:val="Normal"/>
    <w:next w:val="Normal"/>
    <w:rsid w:val="00D35E95"/>
    <w:pPr>
      <w:widowControl/>
      <w:tabs>
        <w:tab w:val="num" w:pos="1440"/>
      </w:tabs>
      <w:spacing w:after="480" w:line="480" w:lineRule="auto"/>
      <w:ind w:left="1440" w:hanging="720"/>
      <w:outlineLvl w:val="1"/>
    </w:pPr>
    <w:rPr>
      <w:rFonts w:ascii="Times New Roman" w:hAnsi="Times New Roman"/>
    </w:rPr>
  </w:style>
  <w:style w:type="paragraph" w:customStyle="1" w:styleId="StyleJustifiedLeft05Firstline05After12ptLin">
    <w:name w:val="Style Justified Left:  0.5&quot; First line:  0.5&quot; After:  12 pt Lin..."/>
    <w:basedOn w:val="Tariff3"/>
    <w:link w:val="StyleJustifiedLeft05Firstline05After12ptLinChar"/>
    <w:rsid w:val="00FE3B9F"/>
    <w:pPr>
      <w:spacing w:line="480" w:lineRule="auto"/>
      <w:ind w:left="720" w:firstLine="720"/>
    </w:pPr>
  </w:style>
  <w:style w:type="character" w:customStyle="1" w:styleId="Tariff3Char">
    <w:name w:val="Tariff3 Char"/>
    <w:basedOn w:val="DefaultParagraphFont"/>
    <w:link w:val="Tariff3"/>
    <w:rsid w:val="00FE3B9F"/>
    <w:rPr>
      <w:rFonts w:ascii="CG Times" w:hAnsi="CG Times"/>
      <w:b/>
      <w:sz w:val="24"/>
      <w:lang w:val="en-US" w:eastAsia="en-US" w:bidi="ar-SA"/>
    </w:rPr>
  </w:style>
  <w:style w:type="character" w:customStyle="1" w:styleId="StyleJustifiedLeft05Firstline05After12ptLinChar">
    <w:name w:val="Style Justified Left:  0.5&quot; First line:  0.5&quot; After:  12 pt Lin... Char"/>
    <w:basedOn w:val="Tariff3Char"/>
    <w:link w:val="StyleJustifiedLeft05Firstline05After12ptLin"/>
    <w:rsid w:val="00FE3B9F"/>
    <w:rPr>
      <w:rFonts w:ascii="CG Times" w:hAnsi="CG Times"/>
      <w:b/>
      <w:sz w:val="24"/>
      <w:lang w:val="en-US" w:eastAsia="en-US" w:bidi="ar-SA"/>
    </w:rPr>
  </w:style>
  <w:style w:type="character" w:styleId="FollowedHyperlink">
    <w:name w:val="FollowedHyperlink"/>
    <w:basedOn w:val="DefaultParagraphFont"/>
    <w:rsid w:val="00C10461"/>
    <w:rPr>
      <w:color w:val="800080"/>
      <w:u w:val="single"/>
    </w:rPr>
  </w:style>
  <w:style w:type="character" w:styleId="Strong">
    <w:name w:val="Strong"/>
    <w:basedOn w:val="DefaultParagraphFont"/>
    <w:qFormat/>
    <w:rsid w:val="00F90E99"/>
    <w:rPr>
      <w:b/>
      <w:bCs/>
    </w:rPr>
  </w:style>
  <w:style w:type="paragraph" w:styleId="ListParagraph">
    <w:name w:val="List Paragraph"/>
    <w:basedOn w:val="Normal"/>
    <w:uiPriority w:val="34"/>
    <w:qFormat/>
    <w:rsid w:val="0098128A"/>
    <w:pPr>
      <w:ind w:left="720"/>
    </w:pPr>
  </w:style>
  <w:style w:type="character" w:customStyle="1" w:styleId="FooterChar">
    <w:name w:val="Footer Char"/>
    <w:basedOn w:val="DefaultParagraphFont"/>
    <w:link w:val="Footer"/>
    <w:semiHidden/>
    <w:locked/>
    <w:rsid w:val="00C42C5E"/>
    <w:rPr>
      <w:rFonts w:ascii="Courier" w:hAnsi="Courier"/>
      <w:sz w:val="24"/>
      <w:lang w:val="en-US" w:eastAsia="en-US" w:bidi="ar-SA"/>
    </w:rPr>
  </w:style>
  <w:style w:type="paragraph" w:customStyle="1" w:styleId="Normal7">
    <w:name w:val="Normal_7"/>
    <w:qFormat/>
    <w:rsid w:val="005835CF"/>
    <w:pPr>
      <w:widowControl w:val="0"/>
      <w:spacing w:after="200" w:line="276" w:lineRule="auto"/>
    </w:pPr>
    <w:rPr>
      <w:rFonts w:ascii="Courier" w:eastAsia="Calibri" w:hAnsi="Courie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282A-5DAB-4876-B1AF-172939D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14011</Words>
  <Characters>79632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2015-04-22T17:00:00Z</dcterms:created>
  <dcterms:modified xsi:type="dcterms:W3CDTF">2015-04-22T17:13:00Z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aCAAFtiNfm4Jus87x9qCK34Ifb1vw3heh7sXe7mT6DopVCzV0lI+NHshZx/nkxnaU6EwhRpOYyc6NZa/
R2q4A57vW0C89r/6RWiTa3IPLGdmCisveJfLqn4At3nbMHCLQKcd/ez4OzfXS0qcsE31wV9XRw==</vt:lpwstr>
  </property>
  <property fmtid="{D5CDD505-2E9C-101B-9397-08002B2CF9AE}" pid="3" name="RESPONSE_SENDER_NAME">
    <vt:lpwstr>sAAA4E8dREqJqIpluEHj4TxU9EoVt7WchlmvbVIWU0EwgVo=</vt:lpwstr>
  </property>
  <property fmtid="{D5CDD505-2E9C-101B-9397-08002B2CF9AE}" pid="4" name="EMAIL_OWNER_ADDRESS">
    <vt:lpwstr>4AAAMz5NUQ6P8J83Lh7MoI+jWwixj/wNVmArk7E2T9sEgNTYB/HoHF0y1Q==</vt:lpwstr>
  </property>
</Properties>
</file>