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4D" w:rsidRDefault="00FA75FD">
      <w:pPr>
        <w:pStyle w:val="Heading1"/>
        <w:jc w:val="center"/>
        <w:rPr>
          <w:rFonts w:eastAsia="Arial"/>
          <w:u w:val="single"/>
        </w:rPr>
      </w:pPr>
      <w:r>
        <w:rPr>
          <w:rFonts w:eastAsia="Arial"/>
          <w:u w:val="single"/>
        </w:rPr>
        <w:t xml:space="preserve">Supplemental </w:t>
      </w:r>
      <w:r w:rsidR="00033F77">
        <w:rPr>
          <w:rFonts w:eastAsia="Arial"/>
          <w:u w:val="single"/>
        </w:rPr>
        <w:t>Application for Net</w:t>
      </w:r>
      <w:r w:rsidR="00033F77">
        <w:rPr>
          <w:rFonts w:eastAsia="Arial"/>
          <w:spacing w:val="2"/>
          <w:u w:val="single"/>
        </w:rPr>
        <w:t>w</w:t>
      </w:r>
      <w:r w:rsidR="00033F77">
        <w:rPr>
          <w:rFonts w:eastAsia="Arial"/>
          <w:u w:val="single"/>
        </w:rPr>
        <w:t>ork</w:t>
      </w:r>
      <w:r w:rsidR="00033F77">
        <w:rPr>
          <w:rFonts w:eastAsia="Arial"/>
          <w:spacing w:val="1"/>
          <w:u w:val="single"/>
        </w:rPr>
        <w:t xml:space="preserve"> </w:t>
      </w:r>
      <w:r w:rsidR="00033F77">
        <w:rPr>
          <w:rFonts w:eastAsia="Arial"/>
          <w:u w:val="single"/>
        </w:rPr>
        <w:t>Customers</w:t>
      </w:r>
    </w:p>
    <w:p w:rsidR="0044554D" w:rsidRDefault="0044554D">
      <w:pPr>
        <w:spacing w:after="0" w:line="240" w:lineRule="auto"/>
        <w:ind w:left="218" w:right="-2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</w:pPr>
    </w:p>
    <w:p w:rsidR="00FA75FD" w:rsidRPr="00FA75FD" w:rsidRDefault="00033F77" w:rsidP="00FA75FD">
      <w:pPr>
        <w:pStyle w:val="Heading2"/>
        <w:rPr>
          <w:rFonts w:eastAsia="Arial"/>
        </w:rPr>
      </w:pPr>
      <w:r>
        <w:rPr>
          <w:rFonts w:eastAsia="Arial"/>
        </w:rPr>
        <w:t>Introduction</w:t>
      </w:r>
    </w:p>
    <w:p w:rsidR="0044554D" w:rsidRDefault="00033F77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An Eligible Customer </w:t>
      </w:r>
      <w:r w:rsidR="00FA75FD">
        <w:rPr>
          <w:rFonts w:ascii="Times New Roman" w:eastAsia="Arial" w:hAnsi="Times New Roman" w:cs="Times New Roman"/>
          <w:sz w:val="24"/>
          <w:szCs w:val="24"/>
        </w:rPr>
        <w:t xml:space="preserve">or current Network Customer </w:t>
      </w:r>
      <w:r>
        <w:rPr>
          <w:rFonts w:ascii="Times New Roman" w:eastAsia="Arial" w:hAnsi="Times New Roman" w:cs="Times New Roman"/>
          <w:sz w:val="24"/>
          <w:szCs w:val="24"/>
        </w:rPr>
        <w:t xml:space="preserve">requesting service under Part III </w:t>
      </w:r>
      <w:r w:rsidR="00422D1A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="00C10B05">
        <w:rPr>
          <w:rFonts w:ascii="Times New Roman" w:eastAsia="Arial" w:hAnsi="Times New Roman" w:cs="Times New Roman"/>
          <w:sz w:val="24"/>
          <w:szCs w:val="24"/>
        </w:rPr>
        <w:t xml:space="preserve">Part </w:t>
      </w:r>
      <w:r w:rsidR="00422D1A">
        <w:rPr>
          <w:rFonts w:ascii="Times New Roman" w:eastAsia="Arial" w:hAnsi="Times New Roman" w:cs="Times New Roman"/>
          <w:sz w:val="24"/>
          <w:szCs w:val="24"/>
        </w:rPr>
        <w:t>IV</w:t>
      </w:r>
      <w:r w:rsidR="00C10B0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of NV Energy’s Open Access Transmission Tariff (Tariff) must </w:t>
      </w:r>
      <w:r w:rsidR="00FA75FD">
        <w:rPr>
          <w:rFonts w:ascii="Times New Roman" w:eastAsia="Arial" w:hAnsi="Times New Roman" w:cs="Times New Roman"/>
          <w:sz w:val="24"/>
          <w:szCs w:val="24"/>
        </w:rPr>
        <w:t xml:space="preserve">fill out and submit the following Supplemental Application for Network Service to the Transmission Provider.  </w:t>
      </w:r>
      <w:r w:rsidR="00D12176">
        <w:rPr>
          <w:rFonts w:ascii="Times New Roman" w:eastAsia="Arial" w:hAnsi="Times New Roman" w:cs="Times New Roman"/>
          <w:sz w:val="24"/>
          <w:szCs w:val="24"/>
        </w:rPr>
        <w:t xml:space="preserve">This Application is a supplement to what must be provided by the Network/Eligible Customer in NITS on OASIS.  </w:t>
      </w:r>
      <w:r w:rsidR="00FA75FD" w:rsidRPr="00FA75FD">
        <w:rPr>
          <w:rFonts w:ascii="Times New Roman" w:eastAsia="Arial" w:hAnsi="Times New Roman" w:cs="Times New Roman"/>
          <w:sz w:val="24"/>
          <w:szCs w:val="24"/>
        </w:rPr>
        <w:t xml:space="preserve">Please email the supplemental application to: </w:t>
      </w:r>
      <w:hyperlink r:id="rId8" w:history="1">
        <w:r w:rsidR="00FA75FD" w:rsidRPr="00FA75FD">
          <w:rPr>
            <w:rStyle w:val="Hyperlink"/>
            <w:rFonts w:ascii="Times New Roman" w:eastAsia="Arial" w:hAnsi="Times New Roman" w:cs="Times New Roman"/>
            <w:sz w:val="24"/>
            <w:szCs w:val="24"/>
          </w:rPr>
          <w:t>TransmissionServices@NVEnergy.com</w:t>
        </w:r>
      </w:hyperlink>
    </w:p>
    <w:p w:rsidR="0044554D" w:rsidRDefault="0044554D">
      <w:pPr>
        <w:spacing w:after="0" w:line="240" w:lineRule="auto"/>
        <w:ind w:left="218" w:right="-20"/>
        <w:rPr>
          <w:rFonts w:ascii="Times New Roman" w:eastAsia="Arial" w:hAnsi="Times New Roman" w:cs="Times New Roman"/>
          <w:sz w:val="24"/>
          <w:szCs w:val="24"/>
        </w:rPr>
      </w:pPr>
    </w:p>
    <w:p w:rsidR="0044554D" w:rsidRDefault="00033F77">
      <w:pPr>
        <w:pStyle w:val="Heading2"/>
        <w:rPr>
          <w:rFonts w:eastAsia="Arial"/>
        </w:rPr>
      </w:pPr>
      <w:r>
        <w:rPr>
          <w:rFonts w:eastAsia="Arial"/>
        </w:rPr>
        <w:t xml:space="preserve">Network Customer </w:t>
      </w:r>
      <w:r w:rsidR="00FA75FD">
        <w:rPr>
          <w:rFonts w:eastAsia="Arial"/>
        </w:rPr>
        <w:t xml:space="preserve">Supplemental </w:t>
      </w:r>
      <w:r>
        <w:rPr>
          <w:rFonts w:eastAsia="Arial"/>
        </w:rPr>
        <w:t>Application: Attachment 1</w:t>
      </w:r>
    </w:p>
    <w:p w:rsidR="0044554D" w:rsidRDefault="00033F77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 Comple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ed Applica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ion shall provide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all of the information included in 18 CFR § 2.20 including but not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limited to the followi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g:</w:t>
      </w:r>
    </w:p>
    <w:p w:rsidR="0044554D" w:rsidRDefault="0044554D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554D" w:rsidRDefault="00033F77">
      <w:pPr>
        <w:pStyle w:val="ListParagraph"/>
        <w:numPr>
          <w:ilvl w:val="0"/>
          <w:numId w:val="9"/>
        </w:numPr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The identi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 xml:space="preserve">y of the </w:t>
      </w:r>
      <w:r w:rsidR="00D12176">
        <w:rPr>
          <w:rFonts w:ascii="Times New Roman" w:eastAsia="Arial" w:hAnsi="Times New Roman" w:cs="Times New Roman"/>
          <w:sz w:val="24"/>
          <w:szCs w:val="24"/>
        </w:rPr>
        <w:t>party requesting service:</w:t>
      </w:r>
    </w:p>
    <w:p w:rsidR="00D12176" w:rsidRDefault="00D12176" w:rsidP="00D12176">
      <w:pPr>
        <w:pStyle w:val="ListParagraph"/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11"/>
        </w:numPr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Company Name: ________________________________________________</w:t>
      </w:r>
    </w:p>
    <w:p w:rsidR="0044554D" w:rsidRDefault="0044554D">
      <w:pPr>
        <w:pStyle w:val="ListParagraph"/>
        <w:spacing w:after="0" w:line="240" w:lineRule="auto"/>
        <w:ind w:left="1170" w:right="348"/>
        <w:rPr>
          <w:rFonts w:ascii="Times New Roman" w:eastAsia="Arial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11"/>
        </w:numPr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Contact Person: _________________________________________________</w:t>
      </w:r>
    </w:p>
    <w:p w:rsidR="0044554D" w:rsidRDefault="0044554D">
      <w:pPr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11"/>
        </w:numPr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Telephone Number: ______________________________________________</w:t>
      </w:r>
    </w:p>
    <w:p w:rsidR="0044554D" w:rsidRDefault="0044554D">
      <w:pPr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11"/>
        </w:numPr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Email Address: __________________________________________________</w:t>
      </w:r>
    </w:p>
    <w:p w:rsidR="00D12176" w:rsidRPr="00D12176" w:rsidRDefault="00D12176" w:rsidP="00D12176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:rsidR="00D12176" w:rsidRDefault="00D12176">
      <w:pPr>
        <w:pStyle w:val="ListParagraph"/>
        <w:numPr>
          <w:ilvl w:val="0"/>
          <w:numId w:val="11"/>
        </w:numPr>
        <w:spacing w:after="0" w:line="240" w:lineRule="auto"/>
        <w:ind w:right="34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AREF # for the NITS Application Submittal in NITS on OASIS: ___________</w:t>
      </w:r>
    </w:p>
    <w:p w:rsidR="0044554D" w:rsidRDefault="0044554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554D" w:rsidRDefault="0044554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A6811" w:rsidRPr="00AA6811" w:rsidRDefault="00033F77">
      <w:pPr>
        <w:pStyle w:val="ListParagraph"/>
        <w:numPr>
          <w:ilvl w:val="0"/>
          <w:numId w:val="9"/>
        </w:numPr>
        <w:tabs>
          <w:tab w:val="left" w:pos="8640"/>
        </w:tabs>
        <w:spacing w:after="0" w:line="271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 description of the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etwork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Load at each delivery point.  This description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should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separately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ide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Arial" w:hAnsi="Times New Roman" w:cs="Times New Roman"/>
          <w:sz w:val="24"/>
          <w:szCs w:val="24"/>
        </w:rPr>
        <w:t>tify and provide the Eligible Customer's best estimate of the total loads to be served at each transmission voltage level, and the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loads to be served from each Transmission Provider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substation at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the same transmission voltage level.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AA6811">
        <w:rPr>
          <w:rFonts w:ascii="Times New Roman" w:eastAsia="Arial" w:hAnsi="Times New Roman" w:cs="Times New Roman"/>
          <w:spacing w:val="1"/>
          <w:sz w:val="24"/>
          <w:szCs w:val="24"/>
        </w:rPr>
        <w:t>This should be submitted to the Transmission Provider in a spreadsheet format.</w:t>
      </w:r>
    </w:p>
    <w:p w:rsidR="00AA6811" w:rsidRDefault="00AA6811" w:rsidP="00AA6811">
      <w:pPr>
        <w:pStyle w:val="ListParagraph"/>
        <w:tabs>
          <w:tab w:val="left" w:pos="8640"/>
        </w:tabs>
        <w:spacing w:after="0" w:line="271" w:lineRule="exact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</w:p>
    <w:tbl>
      <w:tblPr>
        <w:tblW w:w="10326" w:type="dxa"/>
        <w:tblLook w:val="04A0" w:firstRow="1" w:lastRow="0" w:firstColumn="1" w:lastColumn="0" w:noHBand="0" w:noVBand="1"/>
      </w:tblPr>
      <w:tblGrid>
        <w:gridCol w:w="1021"/>
        <w:gridCol w:w="919"/>
        <w:gridCol w:w="3168"/>
        <w:gridCol w:w="3049"/>
        <w:gridCol w:w="1040"/>
        <w:gridCol w:w="1130"/>
      </w:tblGrid>
      <w:tr w:rsidR="00AA6811" w:rsidRPr="00AA6811" w:rsidTr="00AA6811">
        <w:trPr>
          <w:trHeight w:val="167"/>
        </w:trPr>
        <w:tc>
          <w:tcPr>
            <w:tcW w:w="10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Point(s) of Delivery</w:t>
            </w:r>
          </w:p>
        </w:tc>
      </w:tr>
      <w:tr w:rsidR="00AA6811" w:rsidRPr="00AA6811" w:rsidTr="00AA6811">
        <w:trPr>
          <w:trHeight w:val="50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Premise #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Facility Name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Transmission Provider Substation Served 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Delivery Voltage Level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MW or % of Load</w:t>
            </w:r>
          </w:p>
        </w:tc>
      </w:tr>
      <w:tr w:rsidR="00AA6811" w:rsidRPr="00AA6811" w:rsidTr="00AA6811">
        <w:trPr>
          <w:trHeight w:val="22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6811" w:rsidRPr="00AA6811" w:rsidTr="00AA6811">
        <w:trPr>
          <w:trHeight w:val="16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11" w:rsidRPr="00AA6811" w:rsidRDefault="00AA6811" w:rsidP="00AA681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A68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A6811" w:rsidRDefault="00AA6811" w:rsidP="00AA6811">
      <w:pPr>
        <w:pStyle w:val="ListParagraph"/>
        <w:tabs>
          <w:tab w:val="left" w:pos="8640"/>
        </w:tabs>
        <w:spacing w:after="0" w:line="271" w:lineRule="exact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AA6811" w:rsidRDefault="00AA6811" w:rsidP="00AA6811">
      <w:pPr>
        <w:pStyle w:val="ListParagraph"/>
        <w:tabs>
          <w:tab w:val="left" w:pos="8640"/>
        </w:tabs>
        <w:spacing w:after="0" w:line="271" w:lineRule="exact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AA6811" w:rsidRDefault="00AA6811" w:rsidP="00AA6811">
      <w:pPr>
        <w:pStyle w:val="ListParagraph"/>
        <w:tabs>
          <w:tab w:val="left" w:pos="8640"/>
        </w:tabs>
        <w:spacing w:after="0" w:line="271" w:lineRule="exact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AA6811" w:rsidRDefault="00AA6811" w:rsidP="00AA6811">
      <w:pPr>
        <w:pStyle w:val="ListParagraph"/>
        <w:tabs>
          <w:tab w:val="left" w:pos="8640"/>
        </w:tabs>
        <w:spacing w:after="0" w:line="271" w:lineRule="exact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AA6811" w:rsidRPr="00AA6811" w:rsidRDefault="00AA6811" w:rsidP="00AA6811">
      <w:pPr>
        <w:pStyle w:val="ListParagraph"/>
        <w:tabs>
          <w:tab w:val="left" w:pos="8640"/>
        </w:tabs>
        <w:spacing w:after="0" w:line="271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44554D" w:rsidRDefault="00EB6816">
      <w:pPr>
        <w:pStyle w:val="ListParagraph"/>
        <w:numPr>
          <w:ilvl w:val="0"/>
          <w:numId w:val="9"/>
        </w:numPr>
        <w:tabs>
          <w:tab w:val="left" w:pos="8640"/>
        </w:tabs>
        <w:spacing w:after="0" w:line="271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Provide </w:t>
      </w:r>
      <w:r w:rsidR="00033F77">
        <w:rPr>
          <w:rFonts w:ascii="Times New Roman" w:eastAsia="Arial" w:hAnsi="Times New Roman" w:cs="Times New Roman"/>
          <w:sz w:val="24"/>
          <w:szCs w:val="24"/>
        </w:rPr>
        <w:t xml:space="preserve">a ten (10) year </w:t>
      </w:r>
      <w:r>
        <w:rPr>
          <w:rFonts w:ascii="Times New Roman" w:eastAsia="Arial" w:hAnsi="Times New Roman" w:cs="Times New Roman"/>
          <w:sz w:val="24"/>
          <w:szCs w:val="24"/>
        </w:rPr>
        <w:t xml:space="preserve">load </w:t>
      </w:r>
      <w:r w:rsidR="00033F77">
        <w:rPr>
          <w:rFonts w:ascii="Times New Roman" w:eastAsia="Arial" w:hAnsi="Times New Roman" w:cs="Times New Roman"/>
          <w:sz w:val="24"/>
          <w:szCs w:val="24"/>
        </w:rPr>
        <w:t>forecast of summer and winter load and resource requirements beginning wi</w:t>
      </w:r>
      <w:r w:rsidR="00033F77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033F77">
        <w:rPr>
          <w:rFonts w:ascii="Times New Roman" w:eastAsia="Arial" w:hAnsi="Times New Roman" w:cs="Times New Roman"/>
          <w:sz w:val="24"/>
          <w:szCs w:val="24"/>
        </w:rPr>
        <w:t>h the first year after the service</w:t>
      </w:r>
      <w:r w:rsidR="00033F7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033F77">
        <w:rPr>
          <w:rFonts w:ascii="Times New Roman" w:eastAsia="Arial" w:hAnsi="Times New Roman" w:cs="Times New Roman"/>
          <w:sz w:val="24"/>
          <w:szCs w:val="24"/>
        </w:rPr>
        <w:t>is scheduled to commence along</w:t>
      </w:r>
      <w:r>
        <w:rPr>
          <w:rFonts w:ascii="Times New Roman" w:eastAsia="Arial" w:hAnsi="Times New Roman" w:cs="Times New Roman"/>
          <w:sz w:val="24"/>
          <w:szCs w:val="24"/>
        </w:rPr>
        <w:t xml:space="preserve"> with the following information. This should be provided to the Transmission Provider in a Spreadsheet format.</w:t>
      </w:r>
    </w:p>
    <w:p w:rsidR="0044554D" w:rsidRDefault="0044554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554D" w:rsidRDefault="0044554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554D" w:rsidRDefault="00033F77">
      <w:pPr>
        <w:pStyle w:val="ListParagraph"/>
        <w:numPr>
          <w:ilvl w:val="0"/>
          <w:numId w:val="16"/>
        </w:numPr>
        <w:spacing w:before="29" w:after="0" w:line="240" w:lineRule="auto"/>
        <w:ind w:right="7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The amount and location of any int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 xml:space="preserve">rruptible loads included in the Network Load.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This shall include the summer and winter capacity requirements for each interrupti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Arial" w:hAnsi="Times New Roman" w:cs="Times New Roman"/>
          <w:sz w:val="24"/>
          <w:szCs w:val="24"/>
        </w:rPr>
        <w:t>le load (had such load not been interruptible), that portion of the load subject to interruption, the conditions under whi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Arial" w:hAnsi="Times New Roman" w:cs="Times New Roman"/>
          <w:sz w:val="24"/>
          <w:szCs w:val="24"/>
        </w:rPr>
        <w:t>h an interruption can be implemented and any limitations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the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z w:val="24"/>
          <w:szCs w:val="24"/>
        </w:rPr>
        <w:t xml:space="preserve">ount and frequency of interruptions.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An Eligible Customer should ident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fy the amount of interruptible customer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Arial" w:hAnsi="Times New Roman" w:cs="Times New Roman"/>
          <w:sz w:val="24"/>
          <w:szCs w:val="24"/>
        </w:rPr>
        <w:t>oad (if any) included in the ten (10) year load forecast provided in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response to 3 abo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Arial" w:hAnsi="Times New Roman" w:cs="Times New Roman"/>
          <w:sz w:val="24"/>
          <w:szCs w:val="24"/>
        </w:rPr>
        <w:t>e;</w:t>
      </w:r>
    </w:p>
    <w:p w:rsidR="0044554D" w:rsidRDefault="0044554D">
      <w:pPr>
        <w:tabs>
          <w:tab w:val="left" w:pos="8640"/>
        </w:tabs>
        <w:spacing w:after="0" w:line="271" w:lineRule="exact"/>
        <w:ind w:right="-20"/>
        <w:rPr>
          <w:rFonts w:ascii="Times New Roman" w:hAnsi="Times New Roman" w:cs="Times New Roman"/>
          <w:sz w:val="26"/>
          <w:szCs w:val="26"/>
        </w:rPr>
      </w:pPr>
    </w:p>
    <w:p w:rsidR="0044554D" w:rsidRDefault="00033F77">
      <w:pPr>
        <w:pStyle w:val="ListParagraph"/>
        <w:numPr>
          <w:ilvl w:val="0"/>
          <w:numId w:val="17"/>
        </w:numPr>
        <w:tabs>
          <w:tab w:val="left" w:pos="8640"/>
        </w:tabs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Point of Delivery: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44554D" w:rsidRDefault="0044554D">
      <w:pPr>
        <w:tabs>
          <w:tab w:val="left" w:pos="86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17"/>
        </w:numPr>
        <w:tabs>
          <w:tab w:val="left" w:pos="8600"/>
        </w:tabs>
        <w:spacing w:before="29"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position w:val="-1"/>
          <w:sz w:val="24"/>
          <w:szCs w:val="24"/>
        </w:rPr>
        <w:t>Total Interruptible Load Served at this POD (MW):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44554D" w:rsidRDefault="0044554D">
      <w:pPr>
        <w:tabs>
          <w:tab w:val="left" w:pos="8660"/>
        </w:tabs>
        <w:spacing w:before="29" w:after="0" w:line="271" w:lineRule="exact"/>
        <w:ind w:right="-20"/>
        <w:rPr>
          <w:rFonts w:ascii="Times New Roman" w:hAnsi="Times New Roman" w:cs="Times New Roman"/>
          <w:sz w:val="12"/>
          <w:szCs w:val="12"/>
        </w:rPr>
      </w:pPr>
    </w:p>
    <w:p w:rsidR="0044554D" w:rsidRDefault="00033F77">
      <w:pPr>
        <w:pStyle w:val="ListParagraph"/>
        <w:numPr>
          <w:ilvl w:val="0"/>
          <w:numId w:val="17"/>
        </w:numPr>
        <w:tabs>
          <w:tab w:val="left" w:pos="8660"/>
        </w:tabs>
        <w:spacing w:before="29"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position w:val="-1"/>
          <w:sz w:val="24"/>
          <w:szCs w:val="24"/>
        </w:rPr>
        <w:t>Transmission Provide</w:t>
      </w:r>
      <w:r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’s Substation(s):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44554D" w:rsidRDefault="0044554D">
      <w:pPr>
        <w:tabs>
          <w:tab w:val="left" w:pos="866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17"/>
        </w:numPr>
        <w:tabs>
          <w:tab w:val="left" w:pos="8660"/>
        </w:tabs>
        <w:spacing w:before="29"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Voltage Level for this POD: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44554D" w:rsidRDefault="0044554D">
      <w:pPr>
        <w:tabs>
          <w:tab w:val="left" w:pos="868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17"/>
        </w:numPr>
        <w:tabs>
          <w:tab w:val="left" w:pos="8680"/>
        </w:tabs>
        <w:spacing w:before="29" w:after="0" w:line="271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Ten Year Load Forecast Attached:  </w:t>
      </w:r>
      <w:r>
        <w:rPr>
          <w:rFonts w:ascii="Arial" w:eastAsia="Arial" w:hAnsi="Arial" w:cs="Arial"/>
          <w:position w:val="-1"/>
          <w:sz w:val="24"/>
          <w:szCs w:val="24"/>
        </w:rPr>
        <w:t>□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Yes  </w:t>
      </w:r>
      <w:r>
        <w:rPr>
          <w:rFonts w:ascii="Arial" w:eastAsia="Arial" w:hAnsi="Arial" w:cs="Arial"/>
          <w:position w:val="-1"/>
          <w:sz w:val="24"/>
          <w:szCs w:val="24"/>
        </w:rPr>
        <w:t>□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No</w:t>
      </w:r>
    </w:p>
    <w:p w:rsidR="0044554D" w:rsidRDefault="0044554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554D" w:rsidRDefault="00033F77">
      <w:pPr>
        <w:pStyle w:val="ListParagraph"/>
        <w:numPr>
          <w:ilvl w:val="0"/>
          <w:numId w:val="17"/>
        </w:numPr>
        <w:spacing w:before="29" w:after="0" w:line="271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Limitations on the amount and frequency of interruptions: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44554D" w:rsidRDefault="00033F77">
      <w:pPr>
        <w:spacing w:after="0" w:line="200" w:lineRule="exact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4554D" w:rsidRDefault="00033F77">
      <w:pPr>
        <w:pStyle w:val="ListParagraph"/>
        <w:numPr>
          <w:ilvl w:val="0"/>
          <w:numId w:val="17"/>
        </w:numPr>
        <w:spacing w:before="29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List all PODs – the same information is required for all the</w:t>
      </w:r>
    </w:p>
    <w:p w:rsidR="0044554D" w:rsidRDefault="00033F77">
      <w:pPr>
        <w:tabs>
          <w:tab w:val="left" w:pos="8600"/>
        </w:tabs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                 PODs: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44554D" w:rsidRDefault="0044554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554D" w:rsidRDefault="0044554D">
      <w:pPr>
        <w:pStyle w:val="ListParagraph"/>
        <w:spacing w:before="29" w:after="0" w:line="240" w:lineRule="auto"/>
        <w:ind w:right="1138"/>
        <w:jc w:val="both"/>
        <w:rPr>
          <w:rFonts w:ascii="Times New Roman" w:eastAsia="Arial" w:hAnsi="Times New Roman" w:cs="Times New Roman"/>
          <w:spacing w:val="26"/>
          <w:sz w:val="24"/>
          <w:szCs w:val="24"/>
        </w:rPr>
      </w:pPr>
    </w:p>
    <w:p w:rsidR="0044554D" w:rsidRDefault="00033F77" w:rsidP="00D619F7">
      <w:pPr>
        <w:pStyle w:val="ListParagraph"/>
        <w:numPr>
          <w:ilvl w:val="0"/>
          <w:numId w:val="30"/>
        </w:numPr>
        <w:spacing w:before="29" w:after="0" w:line="240" w:lineRule="auto"/>
        <w:ind w:right="8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Description of Eligible/Network C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Arial" w:hAnsi="Times New Roman" w:cs="Times New Roman"/>
          <w:sz w:val="24"/>
          <w:szCs w:val="24"/>
        </w:rPr>
        <w:t>stomer's transmission system</w:t>
      </w:r>
      <w:r w:rsidR="007E3295">
        <w:rPr>
          <w:rFonts w:ascii="Times New Roman" w:eastAsia="Arial" w:hAnsi="Times New Roman" w:cs="Times New Roman"/>
          <w:sz w:val="24"/>
          <w:szCs w:val="24"/>
        </w:rPr>
        <w:t xml:space="preserve"> (if applicable)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44554D" w:rsidRDefault="0044554D">
      <w:pPr>
        <w:pStyle w:val="ListParagraph"/>
        <w:spacing w:before="29" w:after="0" w:line="240" w:lineRule="auto"/>
        <w:ind w:right="880"/>
        <w:rPr>
          <w:rFonts w:ascii="Times New Roman" w:eastAsia="Arial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22"/>
        </w:numPr>
        <w:spacing w:after="0" w:line="240" w:lineRule="auto"/>
        <w:ind w:right="6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Load flow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nd stability data, such as real and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reactive components of the load, lines, transformer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, reactive devices and load type, including normal and emergency ratings of all transmission equipment, in the current version of PSLF or PSS/E. Check if attached to this Application: </w:t>
      </w:r>
      <w:r>
        <w:rPr>
          <w:rFonts w:ascii="Arial" w:eastAsia="Arial" w:hAnsi="Arial" w:cs="Arial"/>
          <w:position w:val="-1"/>
          <w:sz w:val="24"/>
          <w:szCs w:val="24"/>
        </w:rPr>
        <w:t>□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Yes  </w:t>
      </w:r>
      <w:r>
        <w:rPr>
          <w:rFonts w:ascii="Arial" w:eastAsia="Arial" w:hAnsi="Arial" w:cs="Arial"/>
          <w:position w:val="-1"/>
          <w:sz w:val="24"/>
          <w:szCs w:val="24"/>
        </w:rPr>
        <w:t>□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No</w:t>
      </w:r>
    </w:p>
    <w:p w:rsidR="0044554D" w:rsidRDefault="0044554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22"/>
        </w:numPr>
        <w:spacing w:before="29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Operating restrictions needed for relia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Arial" w:hAnsi="Times New Roman" w:cs="Times New Roman"/>
          <w:sz w:val="24"/>
          <w:szCs w:val="24"/>
        </w:rPr>
        <w:t>ility</w:t>
      </w:r>
    </w:p>
    <w:p w:rsidR="0044554D" w:rsidRDefault="00033F77">
      <w:pPr>
        <w:pStyle w:val="ListParagraph"/>
        <w:spacing w:before="29" w:after="0" w:line="240" w:lineRule="auto"/>
        <w:ind w:left="108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</w:t>
      </w:r>
    </w:p>
    <w:p w:rsidR="0044554D" w:rsidRDefault="0044554D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22"/>
        </w:numPr>
        <w:spacing w:before="29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Operating guides e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Arial" w:hAnsi="Times New Roman" w:cs="Times New Roman"/>
          <w:sz w:val="24"/>
          <w:szCs w:val="24"/>
        </w:rPr>
        <w:t xml:space="preserve">ployed by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>ystem operators</w:t>
      </w:r>
    </w:p>
    <w:p w:rsidR="0044554D" w:rsidRDefault="00033F77">
      <w:pPr>
        <w:pStyle w:val="ListParagraph"/>
        <w:spacing w:before="29" w:after="0" w:line="240" w:lineRule="auto"/>
        <w:ind w:left="108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</w:t>
      </w:r>
    </w:p>
    <w:p w:rsidR="0044554D" w:rsidRDefault="0044554D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22"/>
        </w:numPr>
        <w:spacing w:before="29" w:after="0" w:line="240" w:lineRule="auto"/>
        <w:ind w:right="55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Contractual restrictions or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committed uses of the Eligible Customer's transmission syste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z w:val="24"/>
          <w:szCs w:val="24"/>
        </w:rPr>
        <w:t>, other than the Eligible Customer's Network Loads and Resources</w:t>
      </w:r>
    </w:p>
    <w:p w:rsidR="0044554D" w:rsidRDefault="00033F77">
      <w:pPr>
        <w:pStyle w:val="ListParagraph"/>
        <w:spacing w:before="29" w:after="0" w:line="240" w:lineRule="auto"/>
        <w:ind w:left="108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</w:t>
      </w:r>
    </w:p>
    <w:p w:rsidR="0044554D" w:rsidRDefault="0044554D">
      <w:pPr>
        <w:spacing w:before="29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44554D" w:rsidRDefault="00033F77">
      <w:pPr>
        <w:pStyle w:val="ListParagraph"/>
        <w:numPr>
          <w:ilvl w:val="0"/>
          <w:numId w:val="22"/>
        </w:numPr>
        <w:spacing w:before="29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Ten (10) year projection of system expansions or upgrades</w:t>
      </w:r>
    </w:p>
    <w:p w:rsidR="0044554D" w:rsidRDefault="00033F77">
      <w:pPr>
        <w:pStyle w:val="ListParagraph"/>
        <w:spacing w:before="29" w:after="0" w:line="240" w:lineRule="auto"/>
        <w:ind w:left="108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</w:t>
      </w:r>
    </w:p>
    <w:p w:rsidR="0044554D" w:rsidRDefault="0044554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554D" w:rsidRDefault="00033F77">
      <w:pPr>
        <w:pStyle w:val="ListParagraph"/>
        <w:numPr>
          <w:ilvl w:val="0"/>
          <w:numId w:val="22"/>
        </w:numPr>
        <w:spacing w:before="29" w:after="0" w:line="240" w:lineRule="auto"/>
        <w:ind w:right="7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4"/>
          <w:szCs w:val="24"/>
        </w:rPr>
        <w:t>Transmission System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maps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that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nclude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any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proposed expansions</w:t>
      </w:r>
      <w:r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or upgrades</w:t>
      </w:r>
    </w:p>
    <w:p w:rsidR="0044554D" w:rsidRDefault="00033F77">
      <w:pPr>
        <w:pStyle w:val="ListParagraph"/>
        <w:spacing w:before="29" w:after="0" w:line="240" w:lineRule="auto"/>
        <w:ind w:left="108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</w:t>
      </w:r>
    </w:p>
    <w:p w:rsidR="0044554D" w:rsidRDefault="0044554D">
      <w:pPr>
        <w:spacing w:before="29" w:after="0" w:line="240" w:lineRule="auto"/>
        <w:ind w:right="776"/>
        <w:rPr>
          <w:rFonts w:ascii="Times New Roman" w:hAnsi="Times New Roman" w:cs="Times New Roman"/>
          <w:sz w:val="20"/>
          <w:szCs w:val="20"/>
        </w:rPr>
      </w:pPr>
    </w:p>
    <w:p w:rsidR="0044554D" w:rsidRDefault="00033F77">
      <w:pPr>
        <w:pStyle w:val="ListParagraph"/>
        <w:numPr>
          <w:ilvl w:val="0"/>
          <w:numId w:val="22"/>
        </w:numPr>
        <w:spacing w:before="29" w:after="0" w:line="240" w:lineRule="auto"/>
        <w:ind w:right="14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Thermal ratings of Eli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Arial" w:hAnsi="Times New Roman" w:cs="Times New Roman"/>
          <w:sz w:val="24"/>
          <w:szCs w:val="24"/>
        </w:rPr>
        <w:t>ible Customer's Contr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l Area ties with other Control Areas</w:t>
      </w:r>
    </w:p>
    <w:p w:rsidR="0044554D" w:rsidRDefault="00033F77">
      <w:pPr>
        <w:pStyle w:val="ListParagraph"/>
        <w:spacing w:before="29" w:after="0" w:line="240" w:lineRule="auto"/>
        <w:ind w:left="108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</w:t>
      </w:r>
    </w:p>
    <w:p w:rsidR="0044554D" w:rsidRDefault="0044554D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4554D" w:rsidSect="00D3761C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9A" w:rsidRDefault="003D219A">
      <w:pPr>
        <w:spacing w:after="0" w:line="240" w:lineRule="auto"/>
      </w:pPr>
      <w:r>
        <w:separator/>
      </w:r>
    </w:p>
  </w:endnote>
  <w:endnote w:type="continuationSeparator" w:id="0">
    <w:p w:rsidR="003D219A" w:rsidRDefault="003D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451958"/>
      <w:docPartObj>
        <w:docPartGallery w:val="Page Numbers (Bottom of Page)"/>
        <w:docPartUnique/>
      </w:docPartObj>
    </w:sdtPr>
    <w:sdtEndPr/>
    <w:sdtContent>
      <w:sdt>
        <w:sdtPr>
          <w:id w:val="692730941"/>
          <w:docPartObj>
            <w:docPartGallery w:val="Page Numbers (Top of Page)"/>
            <w:docPartUnique/>
          </w:docPartObj>
        </w:sdtPr>
        <w:sdtEndPr/>
        <w:sdtContent>
          <w:p w:rsidR="0044554D" w:rsidRDefault="00033F77">
            <w:pPr>
              <w:pStyle w:val="Footer"/>
              <w:jc w:val="right"/>
            </w:pPr>
            <w:r>
              <w:t xml:space="preserve">Page </w:t>
            </w:r>
            <w:r w:rsidR="00D376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3761C">
              <w:rPr>
                <w:b/>
                <w:bCs/>
                <w:sz w:val="24"/>
                <w:szCs w:val="24"/>
              </w:rPr>
              <w:fldChar w:fldCharType="separate"/>
            </w:r>
            <w:r w:rsidR="003D219A">
              <w:rPr>
                <w:b/>
                <w:bCs/>
                <w:noProof/>
              </w:rPr>
              <w:t>1</w:t>
            </w:r>
            <w:r w:rsidR="00D376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:rsidR="0044554D" w:rsidRDefault="0044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9A" w:rsidRDefault="003D219A">
      <w:pPr>
        <w:spacing w:after="0" w:line="240" w:lineRule="auto"/>
      </w:pPr>
      <w:r>
        <w:separator/>
      </w:r>
    </w:p>
  </w:footnote>
  <w:footnote w:type="continuationSeparator" w:id="0">
    <w:p w:rsidR="003D219A" w:rsidRDefault="003D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554"/>
    <w:multiLevelType w:val="hybridMultilevel"/>
    <w:tmpl w:val="BC5A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39D5"/>
    <w:multiLevelType w:val="hybridMultilevel"/>
    <w:tmpl w:val="3D509198"/>
    <w:lvl w:ilvl="0" w:tplc="3058F79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275D3"/>
    <w:multiLevelType w:val="hybridMultilevel"/>
    <w:tmpl w:val="FEA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E97"/>
    <w:multiLevelType w:val="hybridMultilevel"/>
    <w:tmpl w:val="23C2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CCC"/>
    <w:multiLevelType w:val="hybridMultilevel"/>
    <w:tmpl w:val="6628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645B"/>
    <w:multiLevelType w:val="hybridMultilevel"/>
    <w:tmpl w:val="692E9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6D1A17"/>
    <w:multiLevelType w:val="hybridMultilevel"/>
    <w:tmpl w:val="536E0C1C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C7B514A"/>
    <w:multiLevelType w:val="hybridMultilevel"/>
    <w:tmpl w:val="6C7AF34A"/>
    <w:lvl w:ilvl="0" w:tplc="334C480C">
      <w:start w:val="1"/>
      <w:numFmt w:val="lowerRoman"/>
      <w:lvlText w:val="%1."/>
      <w:lvlJc w:val="left"/>
      <w:pPr>
        <w:ind w:left="26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8" w15:restartNumberingAfterBreak="0">
    <w:nsid w:val="1D310687"/>
    <w:multiLevelType w:val="hybridMultilevel"/>
    <w:tmpl w:val="143800BC"/>
    <w:lvl w:ilvl="0" w:tplc="F74A5E2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C55F5"/>
    <w:multiLevelType w:val="hybridMultilevel"/>
    <w:tmpl w:val="D56ABFFA"/>
    <w:lvl w:ilvl="0" w:tplc="3058F796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3EC52A5"/>
    <w:multiLevelType w:val="hybridMultilevel"/>
    <w:tmpl w:val="860CE6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F15770"/>
    <w:multiLevelType w:val="hybridMultilevel"/>
    <w:tmpl w:val="B5FAA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82FB3"/>
    <w:multiLevelType w:val="hybridMultilevel"/>
    <w:tmpl w:val="797C0A5E"/>
    <w:lvl w:ilvl="0" w:tplc="3058F79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04F7"/>
    <w:multiLevelType w:val="hybridMultilevel"/>
    <w:tmpl w:val="18A4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92357"/>
    <w:multiLevelType w:val="hybridMultilevel"/>
    <w:tmpl w:val="3BDEF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C7F60"/>
    <w:multiLevelType w:val="hybridMultilevel"/>
    <w:tmpl w:val="D96E0CB0"/>
    <w:lvl w:ilvl="0" w:tplc="090A1B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D0E29"/>
    <w:multiLevelType w:val="hybridMultilevel"/>
    <w:tmpl w:val="BDB2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0827"/>
    <w:multiLevelType w:val="hybridMultilevel"/>
    <w:tmpl w:val="536E0C1C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4D1D1CCF"/>
    <w:multiLevelType w:val="hybridMultilevel"/>
    <w:tmpl w:val="BC44FF36"/>
    <w:lvl w:ilvl="0" w:tplc="3058F796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8B55FDB"/>
    <w:multiLevelType w:val="hybridMultilevel"/>
    <w:tmpl w:val="2EC0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355B6"/>
    <w:multiLevelType w:val="hybridMultilevel"/>
    <w:tmpl w:val="D56ABFFA"/>
    <w:lvl w:ilvl="0" w:tplc="3058F796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C805E4F"/>
    <w:multiLevelType w:val="hybridMultilevel"/>
    <w:tmpl w:val="A9628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053F86"/>
    <w:multiLevelType w:val="hybridMultilevel"/>
    <w:tmpl w:val="63761930"/>
    <w:lvl w:ilvl="0" w:tplc="687E01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C02F2"/>
    <w:multiLevelType w:val="hybridMultilevel"/>
    <w:tmpl w:val="4490D6BA"/>
    <w:lvl w:ilvl="0" w:tplc="F0AA40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D2123F"/>
    <w:multiLevelType w:val="hybridMultilevel"/>
    <w:tmpl w:val="536E0C1C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66B20886"/>
    <w:multiLevelType w:val="hybridMultilevel"/>
    <w:tmpl w:val="7688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775CA"/>
    <w:multiLevelType w:val="hybridMultilevel"/>
    <w:tmpl w:val="3ED03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722B9"/>
    <w:multiLevelType w:val="hybridMultilevel"/>
    <w:tmpl w:val="81529E40"/>
    <w:lvl w:ilvl="0" w:tplc="818EB68A">
      <w:start w:val="1"/>
      <w:numFmt w:val="lowerRoman"/>
      <w:lvlText w:val="%1."/>
      <w:lvlJc w:val="left"/>
      <w:pPr>
        <w:ind w:left="2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8" w15:restartNumberingAfterBreak="0">
    <w:nsid w:val="7D03417C"/>
    <w:multiLevelType w:val="hybridMultilevel"/>
    <w:tmpl w:val="C5BA0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C15C0"/>
    <w:multiLevelType w:val="hybridMultilevel"/>
    <w:tmpl w:val="5296BB0A"/>
    <w:lvl w:ilvl="0" w:tplc="3058F79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27"/>
  </w:num>
  <w:num w:numId="9">
    <w:abstractNumId w:val="15"/>
  </w:num>
  <w:num w:numId="10">
    <w:abstractNumId w:val="8"/>
  </w:num>
  <w:num w:numId="11">
    <w:abstractNumId w:val="18"/>
  </w:num>
  <w:num w:numId="12">
    <w:abstractNumId w:val="20"/>
  </w:num>
  <w:num w:numId="13">
    <w:abstractNumId w:val="25"/>
  </w:num>
  <w:num w:numId="14">
    <w:abstractNumId w:val="3"/>
  </w:num>
  <w:num w:numId="15">
    <w:abstractNumId w:val="2"/>
  </w:num>
  <w:num w:numId="16">
    <w:abstractNumId w:val="22"/>
  </w:num>
  <w:num w:numId="17">
    <w:abstractNumId w:val="1"/>
  </w:num>
  <w:num w:numId="18">
    <w:abstractNumId w:val="9"/>
  </w:num>
  <w:num w:numId="19">
    <w:abstractNumId w:val="28"/>
  </w:num>
  <w:num w:numId="20">
    <w:abstractNumId w:val="16"/>
  </w:num>
  <w:num w:numId="21">
    <w:abstractNumId w:val="0"/>
  </w:num>
  <w:num w:numId="22">
    <w:abstractNumId w:val="29"/>
  </w:num>
  <w:num w:numId="23">
    <w:abstractNumId w:val="19"/>
  </w:num>
  <w:num w:numId="24">
    <w:abstractNumId w:val="12"/>
  </w:num>
  <w:num w:numId="25">
    <w:abstractNumId w:val="11"/>
  </w:num>
  <w:num w:numId="26">
    <w:abstractNumId w:val="14"/>
  </w:num>
  <w:num w:numId="27">
    <w:abstractNumId w:val="13"/>
  </w:num>
  <w:num w:numId="28">
    <w:abstractNumId w:val="21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4D"/>
    <w:rsid w:val="0000553E"/>
    <w:rsid w:val="00033F77"/>
    <w:rsid w:val="0003572B"/>
    <w:rsid w:val="0035223E"/>
    <w:rsid w:val="003D219A"/>
    <w:rsid w:val="00417B81"/>
    <w:rsid w:val="00422D1A"/>
    <w:rsid w:val="0044554D"/>
    <w:rsid w:val="00611562"/>
    <w:rsid w:val="007714CF"/>
    <w:rsid w:val="007E3295"/>
    <w:rsid w:val="00AA6811"/>
    <w:rsid w:val="00C10B05"/>
    <w:rsid w:val="00D12176"/>
    <w:rsid w:val="00D3761C"/>
    <w:rsid w:val="00D619F7"/>
    <w:rsid w:val="00E75441"/>
    <w:rsid w:val="00EB6816"/>
    <w:rsid w:val="00FA75FD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234A4-8A63-444B-A5CE-FB969963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missionServices@NVEner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18FA-0E6F-40F6-AE7A-D63A7904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 Energy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2017-01-12T20:20:00Z</dcterms:created>
  <dcterms:modified xsi:type="dcterms:W3CDTF">2017-01-13T18:26:00Z</dcterms:modified>
</cp:coreProperties>
</file>