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74" w:rsidRDefault="007B4758" w:rsidP="00BC6F34">
      <w:pPr>
        <w:spacing w:before="16" w:line="316" w:lineRule="exact"/>
        <w:jc w:val="center"/>
        <w:textAlignment w:val="baseline"/>
        <w:rPr>
          <w:rFonts w:eastAsia="Times New Roman"/>
          <w:b/>
          <w:color w:val="000000"/>
          <w:spacing w:val="-2"/>
          <w:sz w:val="36"/>
          <w:szCs w:val="36"/>
        </w:rPr>
      </w:pPr>
      <w:r w:rsidRPr="007B4758">
        <w:rPr>
          <w:noProof/>
          <w:sz w:val="36"/>
          <w:szCs w:val="36"/>
        </w:rPr>
        <w:pict>
          <v:shapetype id="_x0000_t202" coordsize="21600,21600" o:spt="202" path="m,l,21600r21600,l21600,xe">
            <v:stroke joinstyle="miter"/>
            <v:path gradientshapeok="t" o:connecttype="rect"/>
          </v:shapetype>
          <v:shape id="_x0000_s0" o:spid="_x0000_s1026" type="#_x0000_t202" style="position:absolute;left:0;text-align:left;margin-left:299.15pt;margin-top:732.35pt;width:13.25pt;height:13.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" filled="f" stroked="f">
            <v:textbox inset="0,0,0,0">
              <w:txbxContent>
                <w:p w:rsidR="002F1F87" w:rsidRDefault="002F1F87">
                  <w:pPr>
                    <w:spacing w:before="3" w:line="268" w:lineRule="exact"/>
                    <w:textAlignment w:val="baseline"/>
                    <w:rPr>
                      <w:rFonts w:eastAsia="Times New Roman"/>
                      <w:color w:val="000000"/>
                      <w:sz w:val="24"/>
                    </w:rPr>
                  </w:pPr>
                </w:p>
              </w:txbxContent>
            </v:textbox>
            <w10:wrap type="square" anchorx="page" anchory="page"/>
          </v:shape>
        </w:pict>
      </w:r>
      <w:r w:rsidR="003A652D" w:rsidRPr="00833887">
        <w:rPr>
          <w:rFonts w:eastAsia="Times New Roman"/>
          <w:b/>
          <w:color w:val="000000"/>
          <w:spacing w:val="-2"/>
          <w:sz w:val="36"/>
          <w:szCs w:val="36"/>
        </w:rPr>
        <w:t xml:space="preserve">Summary of </w:t>
      </w:r>
      <w:r w:rsidR="00BC6F34" w:rsidRPr="00833887">
        <w:rPr>
          <w:rFonts w:eastAsia="Times New Roman"/>
          <w:b/>
          <w:color w:val="000000"/>
          <w:spacing w:val="-2"/>
          <w:sz w:val="36"/>
          <w:szCs w:val="36"/>
        </w:rPr>
        <w:t xml:space="preserve">Proposed </w:t>
      </w:r>
      <w:r w:rsidR="00076612">
        <w:rPr>
          <w:rFonts w:eastAsia="Times New Roman"/>
          <w:b/>
          <w:color w:val="000000"/>
          <w:spacing w:val="-2"/>
          <w:sz w:val="36"/>
          <w:szCs w:val="36"/>
        </w:rPr>
        <w:t xml:space="preserve">Changes to </w:t>
      </w:r>
      <w:r w:rsidR="00833887" w:rsidRPr="00833887">
        <w:rPr>
          <w:rFonts w:eastAsia="Times New Roman"/>
          <w:b/>
          <w:color w:val="000000"/>
          <w:spacing w:val="-2"/>
          <w:sz w:val="36"/>
          <w:szCs w:val="36"/>
        </w:rPr>
        <w:t xml:space="preserve">NV Energy </w:t>
      </w:r>
      <w:r w:rsidR="00076612">
        <w:rPr>
          <w:rFonts w:eastAsia="Times New Roman"/>
          <w:b/>
          <w:color w:val="000000"/>
          <w:spacing w:val="-2"/>
          <w:sz w:val="36"/>
          <w:szCs w:val="36"/>
        </w:rPr>
        <w:t>Open Access Transmission Tariff for Participation in Energy Imbalance Market</w:t>
      </w:r>
    </w:p>
    <w:p w:rsidR="00076612" w:rsidRDefault="00076612" w:rsidP="00BC6F34">
      <w:pPr>
        <w:spacing w:before="16" w:line="316" w:lineRule="exact"/>
        <w:jc w:val="center"/>
        <w:textAlignment w:val="baseline"/>
        <w:rPr>
          <w:rFonts w:eastAsia="Times New Roman"/>
          <w:b/>
          <w:color w:val="000000"/>
          <w:spacing w:val="-2"/>
          <w:sz w:val="36"/>
          <w:szCs w:val="36"/>
        </w:rPr>
      </w:pPr>
    </w:p>
    <w:p w:rsidR="00076612" w:rsidRPr="00833887" w:rsidRDefault="00076612" w:rsidP="00BC6F34">
      <w:pPr>
        <w:spacing w:before="16" w:line="316" w:lineRule="exact"/>
        <w:jc w:val="center"/>
        <w:textAlignment w:val="baseline"/>
        <w:rPr>
          <w:rFonts w:eastAsia="Times New Roman"/>
          <w:b/>
          <w:color w:val="000000"/>
          <w:spacing w:val="-2"/>
          <w:sz w:val="36"/>
          <w:szCs w:val="36"/>
        </w:rPr>
      </w:pPr>
      <w:r>
        <w:rPr>
          <w:rFonts w:eastAsia="Times New Roman"/>
          <w:b/>
          <w:color w:val="000000"/>
          <w:spacing w:val="-2"/>
          <w:sz w:val="36"/>
          <w:szCs w:val="36"/>
        </w:rPr>
        <w:t>September 22, 2014</w:t>
      </w:r>
    </w:p>
    <w:p w:rsidR="00BC6F34" w:rsidRPr="00833887" w:rsidRDefault="00BC6F34" w:rsidP="00BC6F34">
      <w:pPr>
        <w:spacing w:before="16" w:line="316" w:lineRule="exact"/>
        <w:textAlignment w:val="baseline"/>
        <w:rPr>
          <w:rFonts w:eastAsia="Times New Roman"/>
          <w:b/>
          <w:color w:val="000000"/>
          <w:spacing w:val="-2"/>
          <w:sz w:val="36"/>
          <w:szCs w:val="36"/>
        </w:rPr>
      </w:pPr>
    </w:p>
    <w:p w:rsidR="00BC6F34" w:rsidRDefault="00BC6F34" w:rsidP="00BC6F34">
      <w:pPr>
        <w:spacing w:before="16" w:line="316" w:lineRule="exact"/>
        <w:textAlignment w:val="baseline"/>
        <w:rPr>
          <w:rFonts w:eastAsia="Times New Roman"/>
          <w:b/>
          <w:color w:val="000000"/>
          <w:spacing w:val="-2"/>
          <w:sz w:val="24"/>
        </w:rPr>
      </w:pPr>
    </w:p>
    <w:tbl>
      <w:tblPr>
        <w:tblStyle w:val="TableGrid"/>
        <w:tblW w:w="0" w:type="auto"/>
        <w:tblLook w:val="04A0"/>
      </w:tblPr>
      <w:tblGrid>
        <w:gridCol w:w="1638"/>
        <w:gridCol w:w="7938"/>
      </w:tblGrid>
      <w:tr w:rsidR="00BC6F34" w:rsidTr="00076612">
        <w:trPr>
          <w:tblHeader/>
        </w:trPr>
        <w:tc>
          <w:tcPr>
            <w:tcW w:w="1638" w:type="dxa"/>
          </w:tcPr>
          <w:p w:rsidR="00BC6F34" w:rsidRDefault="00F33BCD" w:rsidP="00F33BCD">
            <w:pPr>
              <w:spacing w:before="16" w:line="316" w:lineRule="exact"/>
              <w:jc w:val="center"/>
              <w:textAlignment w:val="baseline"/>
              <w:rPr>
                <w:rFonts w:eastAsia="Times New Roman"/>
                <w:b/>
                <w:color w:val="000000"/>
                <w:spacing w:val="-2"/>
                <w:sz w:val="24"/>
              </w:rPr>
            </w:pPr>
            <w:r>
              <w:rPr>
                <w:rFonts w:eastAsia="Times New Roman"/>
                <w:b/>
                <w:color w:val="000000"/>
                <w:spacing w:val="-2"/>
                <w:sz w:val="24"/>
              </w:rPr>
              <w:t>Tariff Section</w:t>
            </w:r>
          </w:p>
        </w:tc>
        <w:tc>
          <w:tcPr>
            <w:tcW w:w="7938" w:type="dxa"/>
          </w:tcPr>
          <w:p w:rsidR="00BC6F34" w:rsidRDefault="00076612" w:rsidP="00471455">
            <w:pPr>
              <w:spacing w:before="16" w:line="316" w:lineRule="exact"/>
              <w:jc w:val="center"/>
              <w:textAlignment w:val="baseline"/>
              <w:rPr>
                <w:rFonts w:eastAsia="Times New Roman"/>
                <w:b/>
                <w:color w:val="000000"/>
                <w:spacing w:val="-2"/>
                <w:sz w:val="24"/>
              </w:rPr>
            </w:pPr>
            <w:r>
              <w:rPr>
                <w:rFonts w:eastAsia="Times New Roman"/>
                <w:b/>
                <w:color w:val="000000"/>
                <w:spacing w:val="-2"/>
                <w:sz w:val="24"/>
              </w:rPr>
              <w:t xml:space="preserve">Description of </w:t>
            </w:r>
            <w:r w:rsidR="00471455">
              <w:rPr>
                <w:rFonts w:eastAsia="Times New Roman"/>
                <w:b/>
                <w:color w:val="000000"/>
                <w:spacing w:val="-2"/>
                <w:sz w:val="24"/>
              </w:rPr>
              <w:t>Substantive</w:t>
            </w:r>
            <w:r w:rsidR="00F33BCD">
              <w:rPr>
                <w:rFonts w:eastAsia="Times New Roman"/>
                <w:b/>
                <w:color w:val="000000"/>
                <w:spacing w:val="-2"/>
                <w:sz w:val="24"/>
              </w:rPr>
              <w:t xml:space="preserve"> Change</w:t>
            </w:r>
          </w:p>
        </w:tc>
      </w:tr>
      <w:tr w:rsidR="00BC6F34" w:rsidTr="00076612">
        <w:tc>
          <w:tcPr>
            <w:tcW w:w="1638" w:type="dxa"/>
          </w:tcPr>
          <w:p w:rsidR="00BC6F34" w:rsidRDefault="00F33BCD" w:rsidP="00850942">
            <w:pPr>
              <w:textAlignment w:val="baseline"/>
              <w:rPr>
                <w:rFonts w:eastAsia="Times New Roman"/>
                <w:b/>
                <w:color w:val="000000"/>
                <w:spacing w:val="-2"/>
                <w:sz w:val="24"/>
              </w:rPr>
            </w:pPr>
            <w:r>
              <w:rPr>
                <w:rFonts w:eastAsia="Times New Roman"/>
                <w:color w:val="000000"/>
              </w:rPr>
              <w:t>Table of Contents</w:t>
            </w:r>
          </w:p>
        </w:tc>
        <w:tc>
          <w:tcPr>
            <w:tcW w:w="7938" w:type="dxa"/>
          </w:tcPr>
          <w:p w:rsidR="00BC6F34" w:rsidRDefault="004D2177" w:rsidP="00850942">
            <w:pPr>
              <w:textAlignment w:val="baseline"/>
              <w:rPr>
                <w:rFonts w:eastAsia="Times New Roman"/>
                <w:b/>
                <w:color w:val="000000"/>
                <w:spacing w:val="-2"/>
                <w:sz w:val="24"/>
              </w:rPr>
            </w:pPr>
            <w:r>
              <w:rPr>
                <w:rFonts w:eastAsia="Times New Roman"/>
                <w:color w:val="000000"/>
              </w:rPr>
              <w:t>C</w:t>
            </w:r>
            <w:r w:rsidR="00F33BCD">
              <w:rPr>
                <w:rFonts w:eastAsia="Times New Roman"/>
                <w:color w:val="000000"/>
              </w:rPr>
              <w:t>hange</w:t>
            </w:r>
            <w:r w:rsidR="00C21E7D">
              <w:rPr>
                <w:rFonts w:eastAsia="Times New Roman"/>
                <w:color w:val="000000"/>
              </w:rPr>
              <w:t>d</w:t>
            </w:r>
            <w:r w:rsidR="00F33BCD">
              <w:rPr>
                <w:rFonts w:eastAsia="Times New Roman"/>
                <w:color w:val="000000"/>
              </w:rPr>
              <w:t xml:space="preserve"> to reflect </w:t>
            </w:r>
            <w:r w:rsidR="00C21E7D">
              <w:rPr>
                <w:rFonts w:eastAsia="Times New Roman"/>
                <w:color w:val="000000"/>
              </w:rPr>
              <w:t xml:space="preserve">revised and </w:t>
            </w:r>
            <w:r w:rsidR="00F33BCD">
              <w:rPr>
                <w:rFonts w:eastAsia="Times New Roman"/>
                <w:color w:val="000000"/>
              </w:rPr>
              <w:t xml:space="preserve">new </w:t>
            </w:r>
            <w:r w:rsidR="00C21E7D">
              <w:rPr>
                <w:rFonts w:eastAsia="Times New Roman"/>
                <w:color w:val="000000"/>
              </w:rPr>
              <w:t>t</w:t>
            </w:r>
            <w:r w:rsidR="00F33BCD">
              <w:rPr>
                <w:rFonts w:eastAsia="Times New Roman"/>
                <w:color w:val="000000"/>
              </w:rPr>
              <w:t xml:space="preserve">ariff sections </w:t>
            </w:r>
            <w:r w:rsidR="00C21E7D">
              <w:rPr>
                <w:rFonts w:eastAsia="Times New Roman"/>
                <w:color w:val="000000"/>
              </w:rPr>
              <w:t xml:space="preserve">from </w:t>
            </w:r>
            <w:r w:rsidR="00F33BCD">
              <w:rPr>
                <w:rFonts w:eastAsia="Times New Roman"/>
                <w:color w:val="000000"/>
              </w:rPr>
              <w:t>th</w:t>
            </w:r>
            <w:r w:rsidR="00C21E7D">
              <w:rPr>
                <w:rFonts w:eastAsia="Times New Roman"/>
                <w:color w:val="000000"/>
              </w:rPr>
              <w:t>e</w:t>
            </w:r>
            <w:r w:rsidR="00F33BCD">
              <w:rPr>
                <w:rFonts w:eastAsia="Times New Roman"/>
                <w:color w:val="000000"/>
              </w:rPr>
              <w:t xml:space="preserve"> </w:t>
            </w:r>
            <w:r>
              <w:rPr>
                <w:rFonts w:eastAsia="Times New Roman"/>
                <w:color w:val="000000"/>
              </w:rPr>
              <w:t xml:space="preserve">EIM </w:t>
            </w:r>
            <w:r w:rsidR="00F33BCD">
              <w:rPr>
                <w:rFonts w:eastAsia="Times New Roman"/>
                <w:color w:val="000000"/>
              </w:rPr>
              <w:t>filing</w:t>
            </w:r>
          </w:p>
        </w:tc>
      </w:tr>
      <w:tr w:rsidR="00BC6F34" w:rsidTr="00076612">
        <w:tc>
          <w:tcPr>
            <w:tcW w:w="1638" w:type="dxa"/>
          </w:tcPr>
          <w:p w:rsidR="00BC6F34" w:rsidRDefault="004D2177" w:rsidP="00850942">
            <w:pPr>
              <w:textAlignment w:val="baseline"/>
              <w:rPr>
                <w:rFonts w:eastAsia="Times New Roman"/>
                <w:b/>
                <w:color w:val="000000"/>
                <w:spacing w:val="-2"/>
                <w:sz w:val="24"/>
              </w:rPr>
            </w:pPr>
            <w:r>
              <w:rPr>
                <w:rFonts w:eastAsia="Times New Roman"/>
                <w:color w:val="000000"/>
              </w:rPr>
              <w:t>Section 1.5</w:t>
            </w:r>
            <w:r w:rsidR="00F33BCD">
              <w:rPr>
                <w:rFonts w:eastAsia="Times New Roman"/>
                <w:color w:val="000000"/>
              </w:rPr>
              <w:t>A</w:t>
            </w:r>
          </w:p>
        </w:tc>
        <w:tc>
          <w:tcPr>
            <w:tcW w:w="7938" w:type="dxa"/>
          </w:tcPr>
          <w:p w:rsidR="00BC6F34" w:rsidRDefault="00F33BCD" w:rsidP="00850942">
            <w:pPr>
              <w:textAlignment w:val="baseline"/>
              <w:rPr>
                <w:rFonts w:eastAsia="Times New Roman"/>
                <w:b/>
                <w:color w:val="000000"/>
                <w:spacing w:val="-2"/>
                <w:sz w:val="24"/>
              </w:rPr>
            </w:pPr>
            <w:r>
              <w:rPr>
                <w:rFonts w:eastAsia="Times New Roman"/>
                <w:color w:val="000000"/>
              </w:rPr>
              <w:t>Added definition of Balancing Authority (BA)</w:t>
            </w:r>
            <w:r w:rsidR="004D2177">
              <w:rPr>
                <w:rFonts w:eastAsia="Times New Roman"/>
                <w:color w:val="000000"/>
              </w:rPr>
              <w:t xml:space="preserve"> </w:t>
            </w:r>
            <w:r>
              <w:rPr>
                <w:rFonts w:eastAsia="Times New Roman"/>
                <w:color w:val="000000"/>
              </w:rPr>
              <w:t>based on NERC Glossary of Terms to reflect NV Energy’s continuing reliability responsibilities under the EIM</w:t>
            </w:r>
          </w:p>
        </w:tc>
      </w:tr>
      <w:tr w:rsidR="00BC6F34" w:rsidTr="00076612">
        <w:tc>
          <w:tcPr>
            <w:tcW w:w="1638" w:type="dxa"/>
          </w:tcPr>
          <w:p w:rsidR="00BC6F34" w:rsidRDefault="00F33BCD" w:rsidP="00850942">
            <w:pPr>
              <w:textAlignment w:val="baseline"/>
              <w:rPr>
                <w:rFonts w:eastAsia="Times New Roman"/>
                <w:b/>
                <w:color w:val="000000"/>
                <w:spacing w:val="-2"/>
                <w:sz w:val="24"/>
              </w:rPr>
            </w:pPr>
            <w:r>
              <w:rPr>
                <w:rFonts w:eastAsia="Times New Roman"/>
                <w:color w:val="000000"/>
              </w:rPr>
              <w:t>Section 1.</w:t>
            </w:r>
            <w:r w:rsidR="004D2177">
              <w:rPr>
                <w:rFonts w:eastAsia="Times New Roman"/>
                <w:color w:val="000000"/>
              </w:rPr>
              <w:t>5</w:t>
            </w:r>
            <w:r>
              <w:rPr>
                <w:rFonts w:eastAsia="Times New Roman"/>
                <w:color w:val="000000"/>
              </w:rPr>
              <w:t>B</w:t>
            </w:r>
          </w:p>
        </w:tc>
        <w:tc>
          <w:tcPr>
            <w:tcW w:w="7938" w:type="dxa"/>
          </w:tcPr>
          <w:p w:rsidR="00BC6F34" w:rsidRDefault="00F33BCD" w:rsidP="00850942">
            <w:pPr>
              <w:textAlignment w:val="baseline"/>
              <w:rPr>
                <w:rFonts w:eastAsia="Times New Roman"/>
                <w:b/>
                <w:color w:val="000000"/>
                <w:spacing w:val="-2"/>
                <w:sz w:val="24"/>
              </w:rPr>
            </w:pPr>
            <w:r>
              <w:rPr>
                <w:rFonts w:eastAsia="Times New Roman"/>
                <w:color w:val="000000"/>
              </w:rPr>
              <w:t>Added definition of Balancing Authority Area (BAA) based on NERC Glossary of Terms to reflect the area for which NV Energy will continue to exercise BA responsibilities under the EIM</w:t>
            </w:r>
            <w:r w:rsidR="004D2177">
              <w:rPr>
                <w:rFonts w:eastAsia="Times New Roman"/>
                <w:color w:val="000000"/>
              </w:rPr>
              <w:t xml:space="preserve"> and to update terminology in OATT from prior use of “Control Area”</w:t>
            </w:r>
            <w:r>
              <w:rPr>
                <w:rFonts w:eastAsia="Times New Roman"/>
                <w:color w:val="000000"/>
              </w:rPr>
              <w:t>.</w:t>
            </w:r>
          </w:p>
        </w:tc>
      </w:tr>
      <w:tr w:rsidR="00BC6F34" w:rsidTr="00076612">
        <w:tc>
          <w:tcPr>
            <w:tcW w:w="1638" w:type="dxa"/>
          </w:tcPr>
          <w:p w:rsidR="00BC6F34" w:rsidRDefault="00850942" w:rsidP="00850942">
            <w:pPr>
              <w:textAlignment w:val="baseline"/>
              <w:rPr>
                <w:rFonts w:eastAsia="Times New Roman"/>
                <w:b/>
                <w:color w:val="000000"/>
                <w:spacing w:val="-2"/>
                <w:sz w:val="24"/>
              </w:rPr>
            </w:pPr>
            <w:r>
              <w:rPr>
                <w:rFonts w:eastAsia="Times New Roman"/>
                <w:color w:val="000000"/>
              </w:rPr>
              <w:t>Section 1.5</w:t>
            </w:r>
            <w:r w:rsidR="00F33BCD">
              <w:rPr>
                <w:rFonts w:eastAsia="Times New Roman"/>
                <w:color w:val="000000"/>
              </w:rPr>
              <w:t>C</w:t>
            </w:r>
          </w:p>
        </w:tc>
        <w:tc>
          <w:tcPr>
            <w:tcW w:w="7938" w:type="dxa"/>
          </w:tcPr>
          <w:p w:rsidR="00BC6F34" w:rsidRDefault="00F33BCD" w:rsidP="00850942">
            <w:pPr>
              <w:textAlignment w:val="baseline"/>
              <w:rPr>
                <w:rFonts w:eastAsia="Times New Roman"/>
                <w:b/>
                <w:color w:val="000000"/>
                <w:spacing w:val="-2"/>
                <w:sz w:val="24"/>
              </w:rPr>
            </w:pPr>
            <w:r>
              <w:rPr>
                <w:rFonts w:eastAsia="Times New Roman"/>
                <w:color w:val="000000"/>
                <w:spacing w:val="-2"/>
              </w:rPr>
              <w:t>Added definition of Bid Cost Recovery (BCR) to reflect that the NV Energy EIM Entity will be responsible for an allocated share of BCR costs under Section 29.11(f) of the CAISO Tariff</w:t>
            </w:r>
          </w:p>
        </w:tc>
      </w:tr>
      <w:tr w:rsidR="004737A9" w:rsidTr="00076612">
        <w:tc>
          <w:tcPr>
            <w:tcW w:w="1638" w:type="dxa"/>
          </w:tcPr>
          <w:p w:rsidR="004737A9" w:rsidRDefault="00953756" w:rsidP="00850942">
            <w:pPr>
              <w:textAlignment w:val="baseline"/>
              <w:rPr>
                <w:rFonts w:eastAsia="Times New Roman"/>
                <w:color w:val="000000"/>
              </w:rPr>
            </w:pPr>
            <w:r>
              <w:rPr>
                <w:rFonts w:eastAsia="Times New Roman"/>
                <w:color w:val="000000"/>
              </w:rPr>
              <w:t>Section 1.5</w:t>
            </w:r>
            <w:r w:rsidR="004737A9">
              <w:rPr>
                <w:rFonts w:eastAsia="Times New Roman"/>
                <w:color w:val="000000"/>
              </w:rPr>
              <w:t>D</w:t>
            </w:r>
          </w:p>
        </w:tc>
        <w:tc>
          <w:tcPr>
            <w:tcW w:w="7938" w:type="dxa"/>
          </w:tcPr>
          <w:p w:rsidR="004737A9" w:rsidRDefault="004737A9" w:rsidP="00850942">
            <w:pPr>
              <w:textAlignment w:val="baseline"/>
              <w:rPr>
                <w:rFonts w:eastAsia="Times New Roman"/>
                <w:color w:val="000000"/>
              </w:rPr>
            </w:pPr>
            <w:r>
              <w:rPr>
                <w:rFonts w:eastAsia="Times New Roman"/>
                <w:color w:val="000000"/>
              </w:rPr>
              <w:t>Added definition of California Independent System Operator Corporation (CAISO) to identify the CAISO as the Market Operator.</w:t>
            </w:r>
          </w:p>
        </w:tc>
      </w:tr>
      <w:tr w:rsidR="004737A9" w:rsidTr="00076612">
        <w:tc>
          <w:tcPr>
            <w:tcW w:w="1638" w:type="dxa"/>
          </w:tcPr>
          <w:p w:rsidR="004737A9" w:rsidRDefault="00953756" w:rsidP="00850942">
            <w:pPr>
              <w:textAlignment w:val="baseline"/>
              <w:rPr>
                <w:rFonts w:eastAsia="Times New Roman"/>
                <w:color w:val="000000"/>
              </w:rPr>
            </w:pPr>
            <w:r>
              <w:rPr>
                <w:rFonts w:eastAsia="Times New Roman"/>
                <w:color w:val="000000"/>
              </w:rPr>
              <w:t>Section 1.5</w:t>
            </w:r>
            <w:r w:rsidR="004737A9">
              <w:rPr>
                <w:rFonts w:eastAsia="Times New Roman"/>
                <w:color w:val="000000"/>
              </w:rPr>
              <w:t>E</w:t>
            </w:r>
          </w:p>
        </w:tc>
        <w:tc>
          <w:tcPr>
            <w:tcW w:w="7938" w:type="dxa"/>
          </w:tcPr>
          <w:p w:rsidR="004737A9" w:rsidRDefault="004737A9" w:rsidP="00850942">
            <w:pPr>
              <w:textAlignment w:val="baseline"/>
              <w:rPr>
                <w:rFonts w:eastAsia="Times New Roman"/>
                <w:color w:val="000000"/>
              </w:rPr>
            </w:pPr>
            <w:r>
              <w:rPr>
                <w:rFonts w:eastAsia="Times New Roman"/>
                <w:color w:val="000000"/>
              </w:rPr>
              <w:t>Added definition of CAISO BAA or CAISO Controlled Grid to specify the BAA under the CAISO’s operational control as distinct from NV Energy’s BAAs or the BAAs of other EIM Entities.</w:t>
            </w:r>
          </w:p>
        </w:tc>
      </w:tr>
      <w:tr w:rsidR="00072AEE" w:rsidTr="00076612">
        <w:tc>
          <w:tcPr>
            <w:tcW w:w="1638" w:type="dxa"/>
          </w:tcPr>
          <w:p w:rsidR="00072AEE" w:rsidRDefault="00072AEE" w:rsidP="00953756">
            <w:pPr>
              <w:textAlignment w:val="baseline"/>
              <w:rPr>
                <w:rFonts w:eastAsia="Times New Roman"/>
                <w:color w:val="000000"/>
              </w:rPr>
            </w:pPr>
            <w:r>
              <w:rPr>
                <w:rFonts w:eastAsia="Times New Roman"/>
                <w:color w:val="000000"/>
              </w:rPr>
              <w:t>Section 1.1</w:t>
            </w:r>
            <w:r w:rsidR="00953756">
              <w:rPr>
                <w:rFonts w:eastAsia="Times New Roman"/>
                <w:color w:val="000000"/>
              </w:rPr>
              <w:t>3</w:t>
            </w:r>
            <w:r>
              <w:rPr>
                <w:rFonts w:eastAsia="Times New Roman"/>
                <w:color w:val="000000"/>
              </w:rPr>
              <w:t>A</w:t>
            </w:r>
          </w:p>
        </w:tc>
        <w:tc>
          <w:tcPr>
            <w:tcW w:w="7938" w:type="dxa"/>
          </w:tcPr>
          <w:p w:rsidR="00072AEE" w:rsidRDefault="00072AEE" w:rsidP="00953756">
            <w:pPr>
              <w:textAlignment w:val="baseline"/>
              <w:rPr>
                <w:rFonts w:eastAsia="Times New Roman"/>
                <w:color w:val="000000"/>
              </w:rPr>
            </w:pPr>
            <w:r>
              <w:rPr>
                <w:rFonts w:eastAsia="Times New Roman"/>
                <w:color w:val="000000"/>
              </w:rPr>
              <w:t xml:space="preserve">Added definition of Dispatch Instruction, which is issued by the CAISO to NV Energy EIM Participating Resources to </w:t>
            </w:r>
            <w:r w:rsidR="00953756">
              <w:rPr>
                <w:rFonts w:eastAsia="Times New Roman"/>
                <w:color w:val="000000"/>
              </w:rPr>
              <w:t>increase or decrease supply</w:t>
            </w:r>
            <w:r>
              <w:rPr>
                <w:rFonts w:eastAsia="Times New Roman"/>
                <w:color w:val="000000"/>
              </w:rPr>
              <w:t>.</w:t>
            </w:r>
          </w:p>
        </w:tc>
      </w:tr>
      <w:tr w:rsidR="00072AEE" w:rsidTr="00076612">
        <w:tc>
          <w:tcPr>
            <w:tcW w:w="1638" w:type="dxa"/>
          </w:tcPr>
          <w:p w:rsidR="00072AEE" w:rsidRDefault="00072AEE" w:rsidP="00227708">
            <w:pPr>
              <w:textAlignment w:val="baseline"/>
              <w:rPr>
                <w:rFonts w:eastAsia="Times New Roman"/>
                <w:color w:val="000000"/>
              </w:rPr>
            </w:pPr>
            <w:r>
              <w:rPr>
                <w:rFonts w:eastAsia="Times New Roman"/>
                <w:color w:val="000000"/>
              </w:rPr>
              <w:t>Section 1.1</w:t>
            </w:r>
            <w:r w:rsidR="00227708">
              <w:rPr>
                <w:rFonts w:eastAsia="Times New Roman"/>
                <w:color w:val="000000"/>
              </w:rPr>
              <w:t>3</w:t>
            </w:r>
            <w:r>
              <w:rPr>
                <w:rFonts w:eastAsia="Times New Roman"/>
                <w:color w:val="000000"/>
              </w:rPr>
              <w:t>B</w:t>
            </w:r>
          </w:p>
        </w:tc>
        <w:tc>
          <w:tcPr>
            <w:tcW w:w="7938" w:type="dxa"/>
          </w:tcPr>
          <w:p w:rsidR="00072AEE" w:rsidRDefault="00072AEE" w:rsidP="00850942">
            <w:pPr>
              <w:textAlignment w:val="baseline"/>
              <w:rPr>
                <w:rFonts w:eastAsia="Times New Roman"/>
                <w:color w:val="000000"/>
              </w:rPr>
            </w:pPr>
            <w:r>
              <w:rPr>
                <w:rFonts w:eastAsia="Times New Roman"/>
                <w:color w:val="000000"/>
              </w:rPr>
              <w:t>Added definition of Dispatch Operating Point, which is the expected operating point, in MW, contained in the Dispatch Instruction</w:t>
            </w:r>
            <w:r w:rsidR="00227708">
              <w:rPr>
                <w:rFonts w:eastAsia="Times New Roman"/>
                <w:color w:val="000000"/>
              </w:rPr>
              <w:t xml:space="preserve"> from the CAISO</w:t>
            </w:r>
            <w:r>
              <w:rPr>
                <w:rFonts w:eastAsia="Times New Roman"/>
                <w:color w:val="000000"/>
              </w:rPr>
              <w:t>.</w:t>
            </w:r>
          </w:p>
        </w:tc>
      </w:tr>
      <w:tr w:rsidR="00072AEE" w:rsidTr="00076612">
        <w:tc>
          <w:tcPr>
            <w:tcW w:w="1638" w:type="dxa"/>
          </w:tcPr>
          <w:p w:rsidR="00072AEE" w:rsidRDefault="00072AEE" w:rsidP="00602C4F">
            <w:pPr>
              <w:textAlignment w:val="baseline"/>
              <w:rPr>
                <w:rFonts w:eastAsia="Times New Roman"/>
                <w:color w:val="000000"/>
              </w:rPr>
            </w:pPr>
            <w:r>
              <w:rPr>
                <w:rFonts w:eastAsia="Times New Roman"/>
                <w:color w:val="000000"/>
              </w:rPr>
              <w:t>Section 1.1</w:t>
            </w:r>
            <w:r w:rsidR="00602C4F">
              <w:rPr>
                <w:rFonts w:eastAsia="Times New Roman"/>
                <w:color w:val="000000"/>
              </w:rPr>
              <w:t>3C</w:t>
            </w:r>
          </w:p>
        </w:tc>
        <w:tc>
          <w:tcPr>
            <w:tcW w:w="7938" w:type="dxa"/>
          </w:tcPr>
          <w:p w:rsidR="00072AEE" w:rsidRDefault="00072AEE" w:rsidP="00850942">
            <w:pPr>
              <w:textAlignment w:val="baseline"/>
              <w:rPr>
                <w:rFonts w:eastAsia="Times New Roman"/>
                <w:color w:val="000000"/>
              </w:rPr>
            </w:pPr>
            <w:r>
              <w:rPr>
                <w:rFonts w:eastAsia="Times New Roman"/>
                <w:color w:val="000000"/>
              </w:rPr>
              <w:t xml:space="preserve">Added definition of Dynamic Transfer, including Dynamic Schedule and Pseudo-Tie. </w:t>
            </w:r>
            <w:r w:rsidRPr="0098641B">
              <w:rPr>
                <w:rFonts w:eastAsia="Times New Roman"/>
                <w:color w:val="000000"/>
              </w:rPr>
              <w:t>Pseudo-Ties may be used to make external resources electrically equivalent to internal resources to enable participation in the EIM.</w:t>
            </w:r>
          </w:p>
        </w:tc>
      </w:tr>
      <w:tr w:rsidR="00072AEE" w:rsidTr="00076612">
        <w:tc>
          <w:tcPr>
            <w:tcW w:w="1638" w:type="dxa"/>
          </w:tcPr>
          <w:p w:rsidR="00072AEE" w:rsidRDefault="00602C4F" w:rsidP="00850942">
            <w:pPr>
              <w:textAlignment w:val="baseline"/>
              <w:rPr>
                <w:rFonts w:eastAsia="Times New Roman"/>
                <w:color w:val="000000"/>
              </w:rPr>
            </w:pPr>
            <w:r>
              <w:rPr>
                <w:rFonts w:eastAsia="Times New Roman"/>
                <w:color w:val="000000"/>
              </w:rPr>
              <w:t>Section 1.13D</w:t>
            </w:r>
          </w:p>
        </w:tc>
        <w:tc>
          <w:tcPr>
            <w:tcW w:w="7938" w:type="dxa"/>
          </w:tcPr>
          <w:p w:rsidR="00072AEE" w:rsidRDefault="00072AEE" w:rsidP="00354F46">
            <w:pPr>
              <w:textAlignment w:val="baseline"/>
              <w:rPr>
                <w:rFonts w:eastAsia="Times New Roman"/>
                <w:color w:val="000000"/>
                <w:spacing w:val="-2"/>
              </w:rPr>
            </w:pPr>
            <w:r>
              <w:rPr>
                <w:rFonts w:eastAsia="Times New Roman"/>
                <w:color w:val="000000"/>
                <w:spacing w:val="-2"/>
              </w:rPr>
              <w:t xml:space="preserve">Added definition of Energy Imbalance Market (EIM) to </w:t>
            </w:r>
            <w:r w:rsidR="00354F46">
              <w:rPr>
                <w:rFonts w:eastAsia="Times New Roman"/>
                <w:color w:val="000000"/>
                <w:spacing w:val="-2"/>
              </w:rPr>
              <w:t xml:space="preserve">reflect </w:t>
            </w:r>
            <w:r>
              <w:rPr>
                <w:rFonts w:eastAsia="Times New Roman"/>
                <w:color w:val="000000"/>
                <w:spacing w:val="-2"/>
              </w:rPr>
              <w:t xml:space="preserve">NV Energy’s </w:t>
            </w:r>
            <w:r w:rsidR="00354F46">
              <w:rPr>
                <w:rFonts w:eastAsia="Times New Roman"/>
                <w:color w:val="000000"/>
                <w:spacing w:val="-2"/>
              </w:rPr>
              <w:t>participation</w:t>
            </w:r>
            <w:r>
              <w:rPr>
                <w:rFonts w:eastAsia="Times New Roman"/>
                <w:color w:val="000000"/>
                <w:spacing w:val="-2"/>
              </w:rPr>
              <w:t>.</w:t>
            </w:r>
          </w:p>
        </w:tc>
      </w:tr>
      <w:tr w:rsidR="00072AEE" w:rsidTr="00076612">
        <w:tc>
          <w:tcPr>
            <w:tcW w:w="1638" w:type="dxa"/>
          </w:tcPr>
          <w:p w:rsidR="00072AEE" w:rsidRDefault="00072AEE" w:rsidP="002F1F87">
            <w:pPr>
              <w:textAlignment w:val="baseline"/>
              <w:rPr>
                <w:rFonts w:eastAsia="Times New Roman"/>
                <w:color w:val="000000"/>
              </w:rPr>
            </w:pPr>
            <w:r>
              <w:rPr>
                <w:rFonts w:eastAsia="Times New Roman"/>
                <w:color w:val="000000"/>
              </w:rPr>
              <w:t>Section 1.1</w:t>
            </w:r>
            <w:r w:rsidR="002F1F87">
              <w:rPr>
                <w:rFonts w:eastAsia="Times New Roman"/>
                <w:color w:val="000000"/>
              </w:rPr>
              <w:t>3E</w:t>
            </w:r>
          </w:p>
        </w:tc>
        <w:tc>
          <w:tcPr>
            <w:tcW w:w="7938" w:type="dxa"/>
          </w:tcPr>
          <w:p w:rsidR="00072AEE" w:rsidRDefault="00072AEE" w:rsidP="00340C95">
            <w:pPr>
              <w:textAlignment w:val="baseline"/>
              <w:rPr>
                <w:rFonts w:eastAsia="Times New Roman"/>
                <w:color w:val="000000"/>
              </w:rPr>
            </w:pPr>
            <w:r>
              <w:rPr>
                <w:rFonts w:eastAsia="Times New Roman"/>
                <w:color w:val="000000"/>
              </w:rPr>
              <w:t xml:space="preserve">Added definition of EIM Area to </w:t>
            </w:r>
            <w:r w:rsidR="00340C95">
              <w:rPr>
                <w:rFonts w:eastAsia="Times New Roman"/>
                <w:color w:val="000000"/>
              </w:rPr>
              <w:t>delineate the footprint in which the EIM operates</w:t>
            </w:r>
            <w:r>
              <w:rPr>
                <w:rFonts w:eastAsia="Times New Roman"/>
                <w:color w:val="000000"/>
              </w:rPr>
              <w:t>.</w:t>
            </w:r>
          </w:p>
        </w:tc>
      </w:tr>
      <w:tr w:rsidR="00072AEE" w:rsidTr="00076612">
        <w:tc>
          <w:tcPr>
            <w:tcW w:w="1638" w:type="dxa"/>
          </w:tcPr>
          <w:p w:rsidR="00072AEE" w:rsidRDefault="00072AEE" w:rsidP="00F25DCC">
            <w:pPr>
              <w:textAlignment w:val="baseline"/>
              <w:rPr>
                <w:rFonts w:eastAsia="Times New Roman"/>
                <w:color w:val="000000"/>
              </w:rPr>
            </w:pPr>
            <w:r>
              <w:rPr>
                <w:rFonts w:eastAsia="Times New Roman"/>
                <w:color w:val="000000"/>
              </w:rPr>
              <w:t>Section 1.1</w:t>
            </w:r>
            <w:r w:rsidR="00F25DCC">
              <w:rPr>
                <w:rFonts w:eastAsia="Times New Roman"/>
                <w:color w:val="000000"/>
              </w:rPr>
              <w:t>3F</w:t>
            </w:r>
          </w:p>
        </w:tc>
        <w:tc>
          <w:tcPr>
            <w:tcW w:w="7938" w:type="dxa"/>
          </w:tcPr>
          <w:p w:rsidR="00072AEE" w:rsidRDefault="00072AEE" w:rsidP="00850942">
            <w:pPr>
              <w:jc w:val="both"/>
              <w:textAlignment w:val="baseline"/>
              <w:rPr>
                <w:rFonts w:eastAsia="Times New Roman"/>
                <w:color w:val="000000"/>
              </w:rPr>
            </w:pPr>
            <w:r>
              <w:rPr>
                <w:rFonts w:eastAsia="Times New Roman"/>
                <w:color w:val="000000"/>
              </w:rPr>
              <w:t>Added definition of EIM Entity to identify BAs participating in the EIM and for consistency with the CAISO Tariff.</w:t>
            </w:r>
          </w:p>
        </w:tc>
      </w:tr>
      <w:tr w:rsidR="00072AEE" w:rsidTr="00076612">
        <w:tc>
          <w:tcPr>
            <w:tcW w:w="1638" w:type="dxa"/>
          </w:tcPr>
          <w:p w:rsidR="00072AEE" w:rsidRDefault="00072AEE" w:rsidP="007D2BD5">
            <w:pPr>
              <w:textAlignment w:val="baseline"/>
              <w:rPr>
                <w:rFonts w:eastAsia="Times New Roman"/>
                <w:color w:val="000000"/>
              </w:rPr>
            </w:pPr>
            <w:r>
              <w:rPr>
                <w:rFonts w:eastAsia="Times New Roman"/>
                <w:color w:val="000000"/>
              </w:rPr>
              <w:t>Section 1.1</w:t>
            </w:r>
            <w:r w:rsidR="007D2BD5">
              <w:rPr>
                <w:rFonts w:eastAsia="Times New Roman"/>
                <w:color w:val="000000"/>
              </w:rPr>
              <w:t>3G</w:t>
            </w:r>
          </w:p>
        </w:tc>
        <w:tc>
          <w:tcPr>
            <w:tcW w:w="7938" w:type="dxa"/>
          </w:tcPr>
          <w:p w:rsidR="00072AEE" w:rsidRDefault="00072AEE" w:rsidP="00850942">
            <w:pPr>
              <w:textAlignment w:val="baseline"/>
              <w:rPr>
                <w:rFonts w:eastAsia="Times New Roman"/>
                <w:color w:val="000000"/>
              </w:rPr>
            </w:pPr>
            <w:r>
              <w:rPr>
                <w:rFonts w:eastAsia="Times New Roman"/>
                <w:color w:val="000000"/>
              </w:rPr>
              <w:t>Added definition of EIM Transfer to identify transfers of real- time energy between the CAISO BAA, NV Energy’s BAAs and/or the BAAs of other EIM Entities under the EIM and for consistency with the CAISO Tariff.</w:t>
            </w:r>
          </w:p>
        </w:tc>
      </w:tr>
      <w:tr w:rsidR="00072AEE" w:rsidTr="00076612">
        <w:tc>
          <w:tcPr>
            <w:tcW w:w="1638" w:type="dxa"/>
          </w:tcPr>
          <w:p w:rsidR="00072AEE" w:rsidRDefault="00072AEE" w:rsidP="007D2BD5">
            <w:pPr>
              <w:textAlignment w:val="baseline"/>
              <w:rPr>
                <w:rFonts w:eastAsia="Times New Roman"/>
                <w:color w:val="000000"/>
              </w:rPr>
            </w:pPr>
            <w:r>
              <w:rPr>
                <w:rFonts w:eastAsia="Times New Roman"/>
                <w:color w:val="000000"/>
              </w:rPr>
              <w:t>Section 1.1</w:t>
            </w:r>
            <w:r w:rsidR="007D2BD5">
              <w:rPr>
                <w:rFonts w:eastAsia="Times New Roman"/>
                <w:color w:val="000000"/>
              </w:rPr>
              <w:t>4</w:t>
            </w:r>
            <w:r>
              <w:rPr>
                <w:rFonts w:eastAsia="Times New Roman"/>
                <w:color w:val="000000"/>
              </w:rPr>
              <w:t>A</w:t>
            </w:r>
          </w:p>
        </w:tc>
        <w:tc>
          <w:tcPr>
            <w:tcW w:w="7938" w:type="dxa"/>
          </w:tcPr>
          <w:p w:rsidR="00072AEE" w:rsidRDefault="00072AEE" w:rsidP="00850942">
            <w:pPr>
              <w:textAlignment w:val="baseline"/>
              <w:rPr>
                <w:rFonts w:eastAsia="Times New Roman"/>
                <w:color w:val="000000"/>
                <w:spacing w:val="-2"/>
              </w:rPr>
            </w:pPr>
            <w:r>
              <w:rPr>
                <w:rFonts w:eastAsia="Times New Roman"/>
                <w:color w:val="000000"/>
                <w:spacing w:val="-2"/>
              </w:rPr>
              <w:t>Added definition of e-Tag to identify the NV Energy EIM Entity’s actions to facilitate Dynamic Transfers under the EIM.</w:t>
            </w:r>
          </w:p>
        </w:tc>
      </w:tr>
      <w:tr w:rsidR="00072AEE" w:rsidTr="00076612">
        <w:tc>
          <w:tcPr>
            <w:tcW w:w="1638" w:type="dxa"/>
          </w:tcPr>
          <w:p w:rsidR="00072AEE" w:rsidRDefault="00072AEE" w:rsidP="007D2BD5">
            <w:pPr>
              <w:textAlignment w:val="baseline"/>
              <w:rPr>
                <w:rFonts w:eastAsia="Times New Roman"/>
                <w:color w:val="000000"/>
              </w:rPr>
            </w:pPr>
            <w:r>
              <w:rPr>
                <w:rFonts w:eastAsia="Times New Roman"/>
                <w:color w:val="000000"/>
              </w:rPr>
              <w:t>Section 1.1</w:t>
            </w:r>
            <w:r w:rsidR="007D2BD5">
              <w:rPr>
                <w:rFonts w:eastAsia="Times New Roman"/>
                <w:color w:val="000000"/>
              </w:rPr>
              <w:t>7</w:t>
            </w:r>
            <w:r>
              <w:rPr>
                <w:rFonts w:eastAsia="Times New Roman"/>
                <w:color w:val="000000"/>
              </w:rPr>
              <w:t>A</w:t>
            </w:r>
          </w:p>
        </w:tc>
        <w:tc>
          <w:tcPr>
            <w:tcW w:w="7938" w:type="dxa"/>
          </w:tcPr>
          <w:p w:rsidR="00072AEE" w:rsidRDefault="00072AEE" w:rsidP="007D2BD5">
            <w:pPr>
              <w:textAlignment w:val="baseline"/>
              <w:rPr>
                <w:rFonts w:eastAsia="Times New Roman"/>
                <w:color w:val="000000"/>
              </w:rPr>
            </w:pPr>
            <w:r>
              <w:rPr>
                <w:rFonts w:eastAsia="Times New Roman"/>
                <w:color w:val="000000"/>
              </w:rPr>
              <w:t xml:space="preserve">Added definition of Flexible Ramping Requirement (or Flexible Ramping Constraint). </w:t>
            </w:r>
            <w:r w:rsidR="007D2BD5">
              <w:rPr>
                <w:rFonts w:eastAsia="Times New Roman"/>
                <w:color w:val="000000"/>
              </w:rPr>
              <w:t xml:space="preserve"> </w:t>
            </w:r>
            <w:r>
              <w:rPr>
                <w:rFonts w:eastAsia="Times New Roman"/>
                <w:color w:val="000000"/>
              </w:rPr>
              <w:t>The NV Energy EIM Entity will be responsible for submitting Resource Plans that satisfy the Flexible Ramping Requirement and under Section</w:t>
            </w:r>
            <w:r w:rsidR="007D2BD5">
              <w:rPr>
                <w:rFonts w:eastAsia="Times New Roman"/>
                <w:color w:val="000000"/>
              </w:rPr>
              <w:t> </w:t>
            </w:r>
            <w:r>
              <w:rPr>
                <w:rFonts w:eastAsia="Times New Roman"/>
                <w:color w:val="000000"/>
              </w:rPr>
              <w:t>29.11(g) of the CAISO Tariff will be allocated a portion of Flexible Ramp Constraint Costs.</w:t>
            </w:r>
          </w:p>
        </w:tc>
      </w:tr>
      <w:tr w:rsidR="004E7A4D" w:rsidTr="00076612">
        <w:tc>
          <w:tcPr>
            <w:tcW w:w="1638" w:type="dxa"/>
          </w:tcPr>
          <w:p w:rsidR="004E7A4D" w:rsidRDefault="004E7A4D" w:rsidP="007D2BD5">
            <w:pPr>
              <w:textAlignment w:val="baseline"/>
              <w:rPr>
                <w:rFonts w:eastAsia="Times New Roman"/>
                <w:color w:val="000000"/>
              </w:rPr>
            </w:pPr>
            <w:r>
              <w:rPr>
                <w:rFonts w:eastAsia="Times New Roman"/>
                <w:color w:val="000000"/>
              </w:rPr>
              <w:t>Section 1.1</w:t>
            </w:r>
            <w:r w:rsidR="007D2BD5">
              <w:rPr>
                <w:rFonts w:eastAsia="Times New Roman"/>
                <w:color w:val="000000"/>
              </w:rPr>
              <w:t>7</w:t>
            </w:r>
            <w:r>
              <w:rPr>
                <w:rFonts w:eastAsia="Times New Roman"/>
                <w:color w:val="000000"/>
              </w:rPr>
              <w:t>B</w:t>
            </w:r>
          </w:p>
        </w:tc>
        <w:tc>
          <w:tcPr>
            <w:tcW w:w="7938" w:type="dxa"/>
          </w:tcPr>
          <w:p w:rsidR="004E7A4D" w:rsidRDefault="004E7A4D" w:rsidP="00850942">
            <w:pPr>
              <w:textAlignment w:val="baseline"/>
              <w:rPr>
                <w:rFonts w:eastAsia="Times New Roman"/>
                <w:color w:val="000000"/>
              </w:rPr>
            </w:pPr>
            <w:r w:rsidRPr="0098641B">
              <w:rPr>
                <w:rFonts w:eastAsia="Times New Roman"/>
                <w:color w:val="000000"/>
              </w:rPr>
              <w:t>Added definition of Forecast Data to identify information supplied by Transmission Customers to serve as a baseline by which to measure Imbalance Energy for purposes of EIM settlement under Schedules 4 and 9.</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lastRenderedPageBreak/>
              <w:t>Section 1.18A</w:t>
            </w:r>
          </w:p>
        </w:tc>
        <w:tc>
          <w:tcPr>
            <w:tcW w:w="7938" w:type="dxa"/>
          </w:tcPr>
          <w:p w:rsidR="006E6A3F" w:rsidRDefault="006E6A3F" w:rsidP="006E6A3F">
            <w:pPr>
              <w:textAlignment w:val="baseline"/>
              <w:rPr>
                <w:rFonts w:eastAsia="Times New Roman"/>
                <w:color w:val="000000"/>
              </w:rPr>
            </w:pPr>
            <w:r>
              <w:rPr>
                <w:rFonts w:eastAsia="Times New Roman"/>
                <w:color w:val="000000"/>
                <w:spacing w:val="-2"/>
              </w:rPr>
              <w:t>Added definition of Imbalance Energy to incorporate EIM into NV Energy’s OATT and for consistency with the CAISO Tariff.</w:t>
            </w:r>
          </w:p>
        </w:tc>
      </w:tr>
      <w:tr w:rsidR="006E6A3F" w:rsidTr="00076612">
        <w:tc>
          <w:tcPr>
            <w:tcW w:w="1638" w:type="dxa"/>
          </w:tcPr>
          <w:p w:rsidR="006E6A3F" w:rsidRDefault="006E6A3F" w:rsidP="006E6A3F">
            <w:pPr>
              <w:textAlignment w:val="baseline"/>
              <w:rPr>
                <w:rFonts w:eastAsia="Times New Roman"/>
                <w:color w:val="000000"/>
              </w:rPr>
            </w:pPr>
            <w:r>
              <w:rPr>
                <w:rFonts w:eastAsia="Times New Roman"/>
                <w:color w:val="000000"/>
              </w:rPr>
              <w:t>Section 1.18B</w:t>
            </w:r>
          </w:p>
        </w:tc>
        <w:tc>
          <w:tcPr>
            <w:tcW w:w="7938" w:type="dxa"/>
          </w:tcPr>
          <w:p w:rsidR="006E6A3F" w:rsidRDefault="006E6A3F" w:rsidP="00850942">
            <w:pPr>
              <w:textAlignment w:val="baseline"/>
              <w:rPr>
                <w:rFonts w:eastAsia="Times New Roman"/>
                <w:color w:val="000000"/>
                <w:spacing w:val="-2"/>
              </w:rPr>
            </w:pPr>
            <w:r>
              <w:rPr>
                <w:rFonts w:eastAsia="Times New Roman"/>
                <w:color w:val="000000"/>
                <w:spacing w:val="-2"/>
              </w:rPr>
              <w:t>Added definition of Instructed Imbalance Energy (IIE) to incorporate EIM into NV Energy’s OATT and for consistency with the CAISO Tariff.</w:t>
            </w:r>
          </w:p>
        </w:tc>
      </w:tr>
      <w:tr w:rsidR="006E6A3F" w:rsidTr="00076612">
        <w:tc>
          <w:tcPr>
            <w:tcW w:w="1638" w:type="dxa"/>
          </w:tcPr>
          <w:p w:rsidR="006E6A3F" w:rsidRDefault="006E6A3F" w:rsidP="006E6A3F">
            <w:pPr>
              <w:textAlignment w:val="baseline"/>
              <w:rPr>
                <w:rFonts w:eastAsia="Times New Roman"/>
                <w:color w:val="000000"/>
              </w:rPr>
            </w:pPr>
            <w:r>
              <w:rPr>
                <w:rFonts w:eastAsia="Times New Roman"/>
                <w:color w:val="000000"/>
              </w:rPr>
              <w:t>Section 1.18C</w:t>
            </w:r>
          </w:p>
        </w:tc>
        <w:tc>
          <w:tcPr>
            <w:tcW w:w="7938" w:type="dxa"/>
          </w:tcPr>
          <w:p w:rsidR="006E6A3F" w:rsidRDefault="006E6A3F" w:rsidP="00850942">
            <w:pPr>
              <w:textAlignment w:val="baseline"/>
              <w:rPr>
                <w:rFonts w:eastAsia="Times New Roman"/>
                <w:color w:val="000000"/>
                <w:spacing w:val="-2"/>
              </w:rPr>
            </w:pPr>
            <w:r>
              <w:rPr>
                <w:rFonts w:eastAsia="Times New Roman"/>
                <w:color w:val="000000"/>
              </w:rPr>
              <w:t xml:space="preserve">Added definition of Interchange to specify </w:t>
            </w:r>
            <w:r w:rsidRPr="00570D8A">
              <w:rPr>
                <w:rFonts w:eastAsia="Times New Roman"/>
                <w:color w:val="000000"/>
              </w:rPr>
              <w:t>e-Tagged</w:t>
            </w:r>
            <w:r>
              <w:rPr>
                <w:rFonts w:eastAsia="Times New Roman"/>
                <w:color w:val="000000"/>
              </w:rPr>
              <w:t xml:space="preserve"> energy transfers from or to any of NV Energy’s BAAs or other BAAs, not including EIM Transfers.</w:t>
            </w:r>
          </w:p>
        </w:tc>
      </w:tr>
      <w:tr w:rsidR="006E6A3F" w:rsidTr="00076612">
        <w:tc>
          <w:tcPr>
            <w:tcW w:w="1638" w:type="dxa"/>
          </w:tcPr>
          <w:p w:rsidR="006E6A3F" w:rsidRDefault="006E6A3F" w:rsidP="009B7530">
            <w:pPr>
              <w:textAlignment w:val="baseline"/>
              <w:rPr>
                <w:rFonts w:eastAsia="Times New Roman"/>
                <w:color w:val="000000"/>
              </w:rPr>
            </w:pPr>
            <w:bookmarkStart w:id="0" w:name="_GoBack"/>
            <w:bookmarkEnd w:id="0"/>
            <w:r>
              <w:rPr>
                <w:rFonts w:eastAsia="Times New Roman"/>
                <w:color w:val="000000"/>
              </w:rPr>
              <w:t>Section 1.20</w:t>
            </w:r>
          </w:p>
        </w:tc>
        <w:tc>
          <w:tcPr>
            <w:tcW w:w="7938" w:type="dxa"/>
          </w:tcPr>
          <w:p w:rsidR="006E6A3F" w:rsidRDefault="006E6A3F" w:rsidP="00850942">
            <w:pPr>
              <w:textAlignment w:val="baseline"/>
              <w:rPr>
                <w:rFonts w:eastAsia="Times New Roman"/>
                <w:color w:val="000000"/>
              </w:rPr>
            </w:pPr>
            <w:r>
              <w:rPr>
                <w:rFonts w:eastAsia="Times New Roman"/>
                <w:color w:val="000000"/>
              </w:rPr>
              <w:t xml:space="preserve">Added </w:t>
            </w:r>
            <w:proofErr w:type="gramStart"/>
            <w:r>
              <w:rPr>
                <w:rFonts w:eastAsia="Times New Roman"/>
                <w:color w:val="000000"/>
              </w:rPr>
              <w:t>definition of Load Aggregation Point (LAP) to incorporate EIM into NV Energy’s OATT and specify</w:t>
            </w:r>
            <w:proofErr w:type="gramEnd"/>
            <w:r>
              <w:rPr>
                <w:rFonts w:eastAsia="Times New Roman"/>
                <w:color w:val="000000"/>
              </w:rPr>
              <w:t xml:space="preserve"> nodal aggregations for settlement purposes.</w:t>
            </w:r>
          </w:p>
        </w:tc>
      </w:tr>
      <w:tr w:rsidR="006E6A3F" w:rsidTr="00076612">
        <w:tc>
          <w:tcPr>
            <w:tcW w:w="1638" w:type="dxa"/>
          </w:tcPr>
          <w:p w:rsidR="006E6A3F" w:rsidRDefault="006E6A3F" w:rsidP="00471455">
            <w:pPr>
              <w:textAlignment w:val="baseline"/>
              <w:rPr>
                <w:rFonts w:eastAsia="Times New Roman"/>
                <w:color w:val="000000"/>
              </w:rPr>
            </w:pPr>
            <w:r>
              <w:rPr>
                <w:rFonts w:eastAsia="Times New Roman"/>
                <w:color w:val="000000"/>
              </w:rPr>
              <w:t>Section 1.24</w:t>
            </w:r>
          </w:p>
        </w:tc>
        <w:tc>
          <w:tcPr>
            <w:tcW w:w="7938" w:type="dxa"/>
          </w:tcPr>
          <w:p w:rsidR="006E6A3F" w:rsidRDefault="006E6A3F" w:rsidP="00850942">
            <w:pPr>
              <w:textAlignment w:val="baseline"/>
              <w:rPr>
                <w:rFonts w:eastAsia="Times New Roman"/>
                <w:color w:val="000000"/>
              </w:rPr>
            </w:pPr>
            <w:r>
              <w:rPr>
                <w:rFonts w:eastAsia="Times New Roman"/>
                <w:color w:val="000000"/>
                <w:spacing w:val="-2"/>
              </w:rPr>
              <w:t>Added definition of Locational Marginal Price (LMP) to incorporate EIM into NV Energy’s OATT and for consistency with the CAISO Tariff.</w:t>
            </w:r>
          </w:p>
        </w:tc>
      </w:tr>
      <w:tr w:rsidR="006E6A3F" w:rsidTr="00076612">
        <w:tc>
          <w:tcPr>
            <w:tcW w:w="1638" w:type="dxa"/>
          </w:tcPr>
          <w:p w:rsidR="006E6A3F" w:rsidRDefault="006E6A3F" w:rsidP="00471455">
            <w:pPr>
              <w:textAlignment w:val="baseline"/>
              <w:rPr>
                <w:rFonts w:eastAsia="Times New Roman"/>
                <w:color w:val="000000"/>
              </w:rPr>
            </w:pPr>
            <w:r>
              <w:rPr>
                <w:rFonts w:eastAsia="Times New Roman"/>
                <w:color w:val="000000"/>
              </w:rPr>
              <w:t>Section 1.25A</w:t>
            </w:r>
          </w:p>
        </w:tc>
        <w:tc>
          <w:tcPr>
            <w:tcW w:w="7938" w:type="dxa"/>
          </w:tcPr>
          <w:p w:rsidR="006E6A3F" w:rsidRDefault="006E6A3F" w:rsidP="00850942">
            <w:pPr>
              <w:textAlignment w:val="baseline"/>
              <w:rPr>
                <w:rFonts w:eastAsia="Times New Roman"/>
                <w:color w:val="000000"/>
                <w:spacing w:val="-2"/>
              </w:rPr>
            </w:pPr>
            <w:r>
              <w:rPr>
                <w:rFonts w:eastAsia="Times New Roman"/>
                <w:color w:val="000000"/>
                <w:spacing w:val="-2"/>
              </w:rPr>
              <w:t xml:space="preserve">Added definition of Manual Dispatch to recognize that while the CAISO will issue Dispatch Instructions as the Market Operator, </w:t>
            </w:r>
            <w:r>
              <w:rPr>
                <w:rFonts w:eastAsia="Times New Roman"/>
                <w:color w:val="000000"/>
              </w:rPr>
              <w:t>NV Energy will be responsible for ensuring reliability and, if necessary, will issue operating orders to Transmission Customers with resources within its BAAs.</w:t>
            </w:r>
          </w:p>
        </w:tc>
      </w:tr>
      <w:tr w:rsidR="006E6A3F" w:rsidTr="00076612">
        <w:tc>
          <w:tcPr>
            <w:tcW w:w="1638" w:type="dxa"/>
          </w:tcPr>
          <w:p w:rsidR="006E6A3F" w:rsidRDefault="006E6A3F" w:rsidP="00034BD6">
            <w:pPr>
              <w:textAlignment w:val="baseline"/>
              <w:rPr>
                <w:rFonts w:eastAsia="Times New Roman"/>
                <w:color w:val="000000"/>
              </w:rPr>
            </w:pPr>
            <w:r>
              <w:rPr>
                <w:rFonts w:eastAsia="Times New Roman"/>
                <w:color w:val="000000"/>
              </w:rPr>
              <w:t>Section 1.25B</w:t>
            </w:r>
          </w:p>
        </w:tc>
        <w:tc>
          <w:tcPr>
            <w:tcW w:w="7938" w:type="dxa"/>
          </w:tcPr>
          <w:p w:rsidR="006E6A3F" w:rsidRDefault="006E6A3F" w:rsidP="00850942">
            <w:pPr>
              <w:textAlignment w:val="baseline"/>
              <w:rPr>
                <w:rFonts w:eastAsia="Times New Roman"/>
                <w:color w:val="000000"/>
                <w:spacing w:val="-2"/>
              </w:rPr>
            </w:pPr>
            <w:r>
              <w:rPr>
                <w:rFonts w:eastAsia="Times New Roman"/>
                <w:color w:val="000000"/>
              </w:rPr>
              <w:t>Added definition of Market Operator (MO) to incorporate EIM into NV Energy’s OATT and for consistency with the CAISO Tariff.</w:t>
            </w:r>
          </w:p>
        </w:tc>
      </w:tr>
      <w:tr w:rsidR="006E6A3F" w:rsidTr="00076612">
        <w:tc>
          <w:tcPr>
            <w:tcW w:w="1638" w:type="dxa"/>
          </w:tcPr>
          <w:p w:rsidR="006E6A3F" w:rsidRDefault="006E6A3F" w:rsidP="00034BD6">
            <w:pPr>
              <w:textAlignment w:val="baseline"/>
              <w:rPr>
                <w:rFonts w:eastAsia="Times New Roman"/>
                <w:color w:val="000000"/>
              </w:rPr>
            </w:pPr>
            <w:r w:rsidRPr="006E6A3F">
              <w:rPr>
                <w:rFonts w:eastAsia="Times New Roman"/>
                <w:color w:val="000000"/>
              </w:rPr>
              <w:t>Section 1.</w:t>
            </w:r>
            <w:r>
              <w:rPr>
                <w:rFonts w:eastAsia="Times New Roman"/>
                <w:color w:val="000000"/>
              </w:rPr>
              <w:t>25C</w:t>
            </w:r>
          </w:p>
        </w:tc>
        <w:tc>
          <w:tcPr>
            <w:tcW w:w="7938" w:type="dxa"/>
          </w:tcPr>
          <w:p w:rsidR="006E6A3F" w:rsidRDefault="006E6A3F" w:rsidP="00850942">
            <w:pPr>
              <w:textAlignment w:val="baseline"/>
              <w:rPr>
                <w:rFonts w:eastAsia="Times New Roman"/>
                <w:color w:val="000000"/>
              </w:rPr>
            </w:pPr>
            <w:r>
              <w:rPr>
                <w:rFonts w:eastAsia="Times New Roman"/>
                <w:color w:val="000000"/>
              </w:rPr>
              <w:t>Added definition of Market Pricing Proxy. Schedules 4, 9 and 10, which are being revised to utilize LMP pricing under the EIM, currently refer to the Market Pricing Proxy as the basis on which charges for imbalance are established.  In the event of a contingency, if LMP prices are not available, NV Energy will revert to the use of Market Pricing Proxy.  NV Energy is not proposing to make any changes to how the Hourly Pricing Proxy is calculated.</w:t>
            </w:r>
          </w:p>
        </w:tc>
      </w:tr>
      <w:tr w:rsidR="006E6A3F" w:rsidTr="00076612">
        <w:tc>
          <w:tcPr>
            <w:tcW w:w="1638" w:type="dxa"/>
          </w:tcPr>
          <w:p w:rsidR="006E6A3F" w:rsidRDefault="006E6A3F" w:rsidP="006E6A3F">
            <w:pPr>
              <w:textAlignment w:val="baseline"/>
              <w:rPr>
                <w:rFonts w:eastAsia="Times New Roman"/>
                <w:color w:val="000000"/>
              </w:rPr>
            </w:pPr>
            <w:r>
              <w:rPr>
                <w:rFonts w:eastAsia="Times New Roman"/>
                <w:color w:val="000000"/>
              </w:rPr>
              <w:t>Section 1.25D</w:t>
            </w:r>
          </w:p>
        </w:tc>
        <w:tc>
          <w:tcPr>
            <w:tcW w:w="7938" w:type="dxa"/>
          </w:tcPr>
          <w:p w:rsidR="006E6A3F" w:rsidRDefault="006E6A3F" w:rsidP="00034BD6">
            <w:pPr>
              <w:textAlignment w:val="baseline"/>
              <w:rPr>
                <w:rFonts w:eastAsia="Times New Roman"/>
                <w:color w:val="000000"/>
              </w:rPr>
            </w:pPr>
            <w:r>
              <w:rPr>
                <w:rFonts w:eastAsia="Times New Roman"/>
                <w:color w:val="000000"/>
              </w:rPr>
              <w:t>Added definition of Measured Demand to identify cost allocations based on (1) metered load volumes, including losses, plus (2) e-Tagged export volumes from a NV Energy BAA, including losses (excluding Dynamic Schedules that support EIM Transfers).</w:t>
            </w:r>
          </w:p>
        </w:tc>
      </w:tr>
      <w:tr w:rsidR="006E6A3F" w:rsidTr="00076612">
        <w:tc>
          <w:tcPr>
            <w:tcW w:w="1638" w:type="dxa"/>
          </w:tcPr>
          <w:p w:rsidR="006E6A3F" w:rsidRDefault="006E6A3F" w:rsidP="006E6A3F">
            <w:pPr>
              <w:textAlignment w:val="baseline"/>
              <w:rPr>
                <w:rFonts w:eastAsia="Times New Roman"/>
                <w:color w:val="000000"/>
              </w:rPr>
            </w:pPr>
            <w:r>
              <w:rPr>
                <w:rFonts w:eastAsia="Times New Roman"/>
                <w:color w:val="000000"/>
              </w:rPr>
              <w:t>Section 1.25E</w:t>
            </w:r>
          </w:p>
        </w:tc>
        <w:tc>
          <w:tcPr>
            <w:tcW w:w="7938" w:type="dxa"/>
          </w:tcPr>
          <w:p w:rsidR="006E6A3F" w:rsidRDefault="006E6A3F" w:rsidP="00034BD6">
            <w:pPr>
              <w:textAlignment w:val="baseline"/>
              <w:rPr>
                <w:rFonts w:eastAsia="Times New Roman"/>
                <w:color w:val="000000"/>
              </w:rPr>
            </w:pPr>
            <w:r>
              <w:rPr>
                <w:rFonts w:eastAsia="Times New Roman"/>
                <w:color w:val="000000"/>
              </w:rPr>
              <w:t>Added definition of Metered Demand to identify cost allocations based on metered load volumes, including losses, in NV Energy’s BAAs.</w:t>
            </w:r>
          </w:p>
        </w:tc>
      </w:tr>
      <w:tr w:rsidR="006E6A3F" w:rsidTr="00076612">
        <w:tc>
          <w:tcPr>
            <w:tcW w:w="1638" w:type="dxa"/>
          </w:tcPr>
          <w:p w:rsidR="006E6A3F" w:rsidRDefault="006E6A3F" w:rsidP="006E6A3F">
            <w:pPr>
              <w:textAlignment w:val="baseline"/>
              <w:rPr>
                <w:rFonts w:eastAsia="Times New Roman"/>
                <w:color w:val="000000"/>
              </w:rPr>
            </w:pPr>
            <w:r>
              <w:rPr>
                <w:rFonts w:eastAsia="Times New Roman"/>
                <w:color w:val="000000"/>
              </w:rPr>
              <w:t>Section 1.25F</w:t>
            </w:r>
          </w:p>
        </w:tc>
        <w:tc>
          <w:tcPr>
            <w:tcW w:w="7938" w:type="dxa"/>
          </w:tcPr>
          <w:p w:rsidR="006E6A3F" w:rsidRDefault="006E6A3F" w:rsidP="00850942">
            <w:pPr>
              <w:textAlignment w:val="baseline"/>
              <w:rPr>
                <w:rFonts w:eastAsia="Times New Roman"/>
                <w:color w:val="000000"/>
              </w:rPr>
            </w:pPr>
            <w:r>
              <w:rPr>
                <w:rFonts w:eastAsia="Times New Roman"/>
                <w:color w:val="000000"/>
                <w:spacing w:val="-2"/>
              </w:rPr>
              <w:t xml:space="preserve">Added definition of MO Tariff to identify references to those portions of the CAISO Tariff </w:t>
            </w:r>
            <w:proofErr w:type="gramStart"/>
            <w:r>
              <w:rPr>
                <w:rFonts w:eastAsia="Times New Roman"/>
                <w:color w:val="000000"/>
                <w:spacing w:val="-2"/>
              </w:rPr>
              <w:t>that specifically apply</w:t>
            </w:r>
            <w:proofErr w:type="gramEnd"/>
            <w:r>
              <w:rPr>
                <w:rFonts w:eastAsia="Times New Roman"/>
                <w:color w:val="000000"/>
                <w:spacing w:val="-2"/>
              </w:rPr>
              <w:t xml:space="preserve"> to the EIM.</w:t>
            </w:r>
          </w:p>
        </w:tc>
      </w:tr>
      <w:tr w:rsidR="006E6A3F" w:rsidTr="00076612">
        <w:tc>
          <w:tcPr>
            <w:tcW w:w="1638" w:type="dxa"/>
          </w:tcPr>
          <w:p w:rsidR="006E6A3F" w:rsidRDefault="006E6A3F" w:rsidP="006E6A3F">
            <w:pPr>
              <w:textAlignment w:val="baseline"/>
              <w:rPr>
                <w:rFonts w:eastAsia="Times New Roman"/>
                <w:color w:val="000000"/>
              </w:rPr>
            </w:pPr>
            <w:r>
              <w:rPr>
                <w:rFonts w:eastAsia="Times New Roman"/>
                <w:color w:val="000000"/>
              </w:rPr>
              <w:t>Section 1.32</w:t>
            </w:r>
          </w:p>
        </w:tc>
        <w:tc>
          <w:tcPr>
            <w:tcW w:w="7938" w:type="dxa"/>
          </w:tcPr>
          <w:p w:rsidR="006E6A3F" w:rsidRDefault="006E6A3F" w:rsidP="0076630F">
            <w:pPr>
              <w:textAlignment w:val="baseline"/>
              <w:rPr>
                <w:rFonts w:eastAsia="Times New Roman"/>
                <w:color w:val="000000"/>
                <w:spacing w:val="-2"/>
              </w:rPr>
            </w:pPr>
            <w:r>
              <w:rPr>
                <w:rFonts w:eastAsia="Times New Roman"/>
                <w:color w:val="000000"/>
                <w:spacing w:val="-2"/>
              </w:rPr>
              <w:t xml:space="preserve">Modified definition of Network Resource to recognize that output of Network Resources may, under the EIM optimization, </w:t>
            </w:r>
            <w:proofErr w:type="gramStart"/>
            <w:r>
              <w:rPr>
                <w:rFonts w:eastAsia="Times New Roman"/>
                <w:color w:val="000000"/>
                <w:spacing w:val="-2"/>
              </w:rPr>
              <w:t>be</w:t>
            </w:r>
            <w:proofErr w:type="gramEnd"/>
            <w:r>
              <w:rPr>
                <w:rFonts w:eastAsia="Times New Roman"/>
                <w:color w:val="000000"/>
                <w:spacing w:val="-2"/>
              </w:rPr>
              <w:t xml:space="preserve"> used to meet imbalances of loads other than the Network Customer’s own Network Load.</w:t>
            </w:r>
          </w:p>
        </w:tc>
      </w:tr>
      <w:tr w:rsidR="006E6A3F" w:rsidTr="00076612">
        <w:tc>
          <w:tcPr>
            <w:tcW w:w="1638" w:type="dxa"/>
          </w:tcPr>
          <w:p w:rsidR="006E6A3F" w:rsidRDefault="006E6A3F" w:rsidP="0076630F">
            <w:pPr>
              <w:textAlignment w:val="baseline"/>
              <w:rPr>
                <w:rFonts w:eastAsia="Times New Roman"/>
                <w:color w:val="000000"/>
              </w:rPr>
            </w:pPr>
            <w:r>
              <w:rPr>
                <w:rFonts w:eastAsia="Times New Roman"/>
                <w:color w:val="000000"/>
              </w:rPr>
              <w:t>Section 1.35A</w:t>
            </w:r>
          </w:p>
        </w:tc>
        <w:tc>
          <w:tcPr>
            <w:tcW w:w="7938" w:type="dxa"/>
          </w:tcPr>
          <w:p w:rsidR="006E6A3F" w:rsidRDefault="006E6A3F" w:rsidP="00850942">
            <w:pPr>
              <w:textAlignment w:val="baseline"/>
              <w:rPr>
                <w:rFonts w:eastAsia="Times New Roman"/>
                <w:color w:val="000000"/>
                <w:spacing w:val="-2"/>
              </w:rPr>
            </w:pPr>
            <w:r>
              <w:rPr>
                <w:rFonts w:eastAsia="Times New Roman"/>
                <w:color w:val="000000"/>
              </w:rPr>
              <w:t>Added definition of Non-Participating Resource to identify the subset of resources in NV Energy’s BAAs that are not participating in the EIM as NV Energy EIM Participating Resources.</w:t>
            </w:r>
          </w:p>
        </w:tc>
      </w:tr>
      <w:tr w:rsidR="006E6A3F" w:rsidTr="00076612">
        <w:tc>
          <w:tcPr>
            <w:tcW w:w="1638" w:type="dxa"/>
          </w:tcPr>
          <w:p w:rsidR="006E6A3F" w:rsidRDefault="006E6A3F" w:rsidP="007F4503">
            <w:pPr>
              <w:textAlignment w:val="baseline"/>
              <w:rPr>
                <w:rFonts w:eastAsia="Times New Roman"/>
                <w:color w:val="000000"/>
              </w:rPr>
            </w:pPr>
            <w:r>
              <w:rPr>
                <w:rFonts w:eastAsia="Times New Roman"/>
                <w:color w:val="000000"/>
              </w:rPr>
              <w:t>Section 1.36A</w:t>
            </w:r>
          </w:p>
        </w:tc>
        <w:tc>
          <w:tcPr>
            <w:tcW w:w="7938" w:type="dxa"/>
          </w:tcPr>
          <w:p w:rsidR="006E6A3F" w:rsidRDefault="006E6A3F" w:rsidP="00850942">
            <w:pPr>
              <w:textAlignment w:val="baseline"/>
              <w:rPr>
                <w:rFonts w:eastAsia="Times New Roman"/>
                <w:color w:val="000000"/>
              </w:rPr>
            </w:pPr>
            <w:r>
              <w:rPr>
                <w:rFonts w:eastAsia="Times New Roman"/>
                <w:color w:val="000000"/>
              </w:rPr>
              <w:t>Added definition of Operating Hour for consistency with the CAISO Tariff for purposes of EIM activities including scheduling and settlements.</w:t>
            </w:r>
          </w:p>
        </w:tc>
      </w:tr>
      <w:tr w:rsidR="006E6A3F" w:rsidTr="00076612">
        <w:tc>
          <w:tcPr>
            <w:tcW w:w="1638" w:type="dxa"/>
          </w:tcPr>
          <w:p w:rsidR="006E6A3F" w:rsidRDefault="006E6A3F" w:rsidP="007F4503">
            <w:pPr>
              <w:textAlignment w:val="baseline"/>
              <w:rPr>
                <w:rFonts w:eastAsia="Times New Roman"/>
                <w:color w:val="000000"/>
              </w:rPr>
            </w:pPr>
            <w:r>
              <w:rPr>
                <w:rFonts w:eastAsia="Times New Roman"/>
                <w:color w:val="000000"/>
              </w:rPr>
              <w:t>Section 1.36B</w:t>
            </w:r>
          </w:p>
        </w:tc>
        <w:tc>
          <w:tcPr>
            <w:tcW w:w="7938" w:type="dxa"/>
          </w:tcPr>
          <w:p w:rsidR="006E6A3F" w:rsidRDefault="006E6A3F" w:rsidP="00850942">
            <w:pPr>
              <w:textAlignment w:val="baseline"/>
              <w:rPr>
                <w:rFonts w:eastAsia="Times New Roman"/>
                <w:color w:val="000000"/>
              </w:rPr>
            </w:pPr>
            <w:r>
              <w:rPr>
                <w:rFonts w:eastAsia="Times New Roman"/>
                <w:color w:val="000000"/>
              </w:rPr>
              <w:t>Added definition of NV Energy’s BAAs to delineate the two BAAs (Sierra Pacific Power Company and Nevada Power Company) for which NV Energy serves as the BA.</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1.36C</w:t>
            </w:r>
          </w:p>
        </w:tc>
        <w:tc>
          <w:tcPr>
            <w:tcW w:w="7938" w:type="dxa"/>
          </w:tcPr>
          <w:p w:rsidR="006E6A3F" w:rsidRDefault="006E6A3F" w:rsidP="006E6A3F">
            <w:pPr>
              <w:textAlignment w:val="baseline"/>
              <w:rPr>
                <w:rFonts w:eastAsia="Times New Roman"/>
                <w:color w:val="000000"/>
              </w:rPr>
            </w:pPr>
            <w:r>
              <w:rPr>
                <w:rFonts w:eastAsia="Times New Roman"/>
                <w:color w:val="000000"/>
              </w:rPr>
              <w:t>Added definition of NV Energy BAA Transmission Owner to identify transmission owners, other than NV Energy, who own transmission facilities within NV Energy BAAs.</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1.36D</w:t>
            </w:r>
          </w:p>
        </w:tc>
        <w:tc>
          <w:tcPr>
            <w:tcW w:w="7938" w:type="dxa"/>
          </w:tcPr>
          <w:p w:rsidR="006E6A3F" w:rsidRDefault="006E6A3F" w:rsidP="00850942">
            <w:pPr>
              <w:jc w:val="both"/>
              <w:textAlignment w:val="baseline"/>
              <w:rPr>
                <w:rFonts w:eastAsia="Times New Roman"/>
                <w:color w:val="000000"/>
              </w:rPr>
            </w:pPr>
            <w:r>
              <w:rPr>
                <w:rFonts w:eastAsia="Times New Roman"/>
                <w:color w:val="000000"/>
                <w:spacing w:val="-1"/>
              </w:rPr>
              <w:t>Added definition of NV Energy EIM Business Practice (NV Energy EIM BP) to identify NV Energy’s Business Practice that addresses implementation issues associated with EIM activities.</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1.36E</w:t>
            </w:r>
          </w:p>
        </w:tc>
        <w:tc>
          <w:tcPr>
            <w:tcW w:w="7938" w:type="dxa"/>
          </w:tcPr>
          <w:p w:rsidR="006E6A3F" w:rsidRDefault="006E6A3F" w:rsidP="002A1732">
            <w:pPr>
              <w:textAlignment w:val="baseline"/>
              <w:rPr>
                <w:rFonts w:eastAsia="Times New Roman"/>
                <w:color w:val="000000"/>
                <w:spacing w:val="-1"/>
              </w:rPr>
            </w:pPr>
            <w:r>
              <w:rPr>
                <w:rFonts w:eastAsia="Times New Roman"/>
                <w:color w:val="000000"/>
              </w:rPr>
              <w:t>Added definition of NV Energy EIM Entity for consistency with the CAISO’s terminology.</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lastRenderedPageBreak/>
              <w:t>Section 1.36F</w:t>
            </w:r>
          </w:p>
        </w:tc>
        <w:tc>
          <w:tcPr>
            <w:tcW w:w="7938" w:type="dxa"/>
          </w:tcPr>
          <w:p w:rsidR="006E6A3F" w:rsidRDefault="006E6A3F" w:rsidP="000A3A51">
            <w:pPr>
              <w:jc w:val="both"/>
              <w:textAlignment w:val="baseline"/>
              <w:rPr>
                <w:rFonts w:eastAsia="Times New Roman"/>
                <w:color w:val="000000"/>
              </w:rPr>
            </w:pPr>
            <w:r>
              <w:rPr>
                <w:rFonts w:eastAsia="Times New Roman"/>
                <w:color w:val="000000"/>
              </w:rPr>
              <w:t>Added definition of NV Energy EIM Entity Scheduling Coordinator for consistency with the CAISO’s terminology.</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1.36G</w:t>
            </w:r>
          </w:p>
        </w:tc>
        <w:tc>
          <w:tcPr>
            <w:tcW w:w="7938" w:type="dxa"/>
          </w:tcPr>
          <w:p w:rsidR="006E6A3F" w:rsidRDefault="006E6A3F" w:rsidP="000A3A51">
            <w:pPr>
              <w:textAlignment w:val="baseline"/>
              <w:rPr>
                <w:rFonts w:eastAsia="Times New Roman"/>
                <w:color w:val="000000"/>
              </w:rPr>
            </w:pPr>
            <w:r>
              <w:rPr>
                <w:rFonts w:eastAsia="Times New Roman"/>
                <w:color w:val="000000"/>
              </w:rPr>
              <w:t>Added definition of NV Energy EIM Participating Resource for consistency with the CAISO’s terminology.</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1.36H</w:t>
            </w:r>
          </w:p>
        </w:tc>
        <w:tc>
          <w:tcPr>
            <w:tcW w:w="7938" w:type="dxa"/>
          </w:tcPr>
          <w:p w:rsidR="006E6A3F" w:rsidRDefault="006E6A3F" w:rsidP="000A3A51">
            <w:pPr>
              <w:jc w:val="both"/>
              <w:textAlignment w:val="baseline"/>
              <w:rPr>
                <w:rFonts w:eastAsia="Times New Roman"/>
                <w:color w:val="000000"/>
              </w:rPr>
            </w:pPr>
            <w:r>
              <w:rPr>
                <w:rFonts w:eastAsia="Times New Roman"/>
                <w:color w:val="000000"/>
                <w:spacing w:val="-1"/>
              </w:rPr>
              <w:t>Added definition of NV Energy EIM Participating Resource Scheduling Coordinator for consistency with the CAISO’s terminology.</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1.46A</w:t>
            </w:r>
          </w:p>
        </w:tc>
        <w:tc>
          <w:tcPr>
            <w:tcW w:w="7938" w:type="dxa"/>
          </w:tcPr>
          <w:p w:rsidR="006E6A3F" w:rsidRDefault="006E6A3F" w:rsidP="0086302C">
            <w:pPr>
              <w:textAlignment w:val="baseline"/>
              <w:rPr>
                <w:rFonts w:eastAsia="Times New Roman"/>
                <w:color w:val="000000"/>
                <w:spacing w:val="-1"/>
              </w:rPr>
            </w:pPr>
            <w:r>
              <w:rPr>
                <w:rFonts w:eastAsia="Times New Roman"/>
                <w:color w:val="000000"/>
              </w:rPr>
              <w:t>Added definition of Pricing Note (</w:t>
            </w:r>
            <w:proofErr w:type="spellStart"/>
            <w:r>
              <w:rPr>
                <w:rFonts w:eastAsia="Times New Roman"/>
                <w:color w:val="000000"/>
              </w:rPr>
              <w:t>PNode</w:t>
            </w:r>
            <w:proofErr w:type="spellEnd"/>
            <w:r>
              <w:rPr>
                <w:rFonts w:eastAsia="Times New Roman"/>
                <w:color w:val="000000"/>
              </w:rPr>
              <w:t>) for consistency with the CAISO’s terminology as to pricing points.</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1.49A</w:t>
            </w:r>
          </w:p>
        </w:tc>
        <w:tc>
          <w:tcPr>
            <w:tcW w:w="7938" w:type="dxa"/>
          </w:tcPr>
          <w:p w:rsidR="006E6A3F" w:rsidRDefault="006E6A3F" w:rsidP="00850942">
            <w:pPr>
              <w:textAlignment w:val="baseline"/>
              <w:rPr>
                <w:rFonts w:eastAsia="Times New Roman"/>
                <w:color w:val="000000"/>
                <w:spacing w:val="-2"/>
              </w:rPr>
            </w:pPr>
            <w:r>
              <w:rPr>
                <w:rFonts w:eastAsia="Times New Roman"/>
                <w:color w:val="000000"/>
              </w:rPr>
              <w:t>Added definition of Resource Plan to incorporate EIM into NV Energy’s OATT and for consistency with the CAISO’s terminology.  The NV Energy EIM Entity will be responsible for submitting Resource Plans in accordance with Section 29.34(e) of the CAISO Tariff.</w:t>
            </w:r>
          </w:p>
        </w:tc>
      </w:tr>
      <w:tr w:rsidR="006E6A3F" w:rsidTr="00076612">
        <w:tc>
          <w:tcPr>
            <w:tcW w:w="1638" w:type="dxa"/>
          </w:tcPr>
          <w:p w:rsidR="006E6A3F" w:rsidRDefault="006E6A3F" w:rsidP="00AF4E02">
            <w:pPr>
              <w:textAlignment w:val="baseline"/>
              <w:rPr>
                <w:rFonts w:eastAsia="Times New Roman"/>
                <w:color w:val="000000"/>
              </w:rPr>
            </w:pPr>
            <w:r>
              <w:rPr>
                <w:rFonts w:eastAsia="Times New Roman"/>
                <w:color w:val="000000"/>
              </w:rPr>
              <w:t>Section 1.59A</w:t>
            </w:r>
          </w:p>
        </w:tc>
        <w:tc>
          <w:tcPr>
            <w:tcW w:w="7938" w:type="dxa"/>
          </w:tcPr>
          <w:p w:rsidR="006E6A3F" w:rsidRDefault="006E6A3F" w:rsidP="00AF4E02">
            <w:pPr>
              <w:textAlignment w:val="baseline"/>
              <w:rPr>
                <w:rFonts w:eastAsia="Times New Roman"/>
                <w:color w:val="000000"/>
              </w:rPr>
            </w:pPr>
            <w:r w:rsidRPr="0098641B">
              <w:rPr>
                <w:rFonts w:eastAsia="Times New Roman"/>
                <w:color w:val="000000"/>
              </w:rPr>
              <w:t>Added definition of Transmission Customer Base Schedule to refer to the submission required by the NV Energy EIM Entity as the baseline by which to measure Imbalance Energy for purposes of EIM settlement</w:t>
            </w:r>
            <w:r>
              <w:rPr>
                <w:rFonts w:eastAsia="Times New Roman"/>
                <w:color w:val="000000"/>
              </w:rPr>
              <w:t>.</w:t>
            </w:r>
          </w:p>
        </w:tc>
      </w:tr>
      <w:tr w:rsidR="006E6A3F" w:rsidTr="00076612">
        <w:tc>
          <w:tcPr>
            <w:tcW w:w="1638" w:type="dxa"/>
          </w:tcPr>
          <w:p w:rsidR="006E6A3F" w:rsidRDefault="006E6A3F" w:rsidP="00AF4E02">
            <w:pPr>
              <w:textAlignment w:val="baseline"/>
              <w:rPr>
                <w:rFonts w:eastAsia="Times New Roman"/>
                <w:color w:val="000000"/>
              </w:rPr>
            </w:pPr>
            <w:r>
              <w:rPr>
                <w:rFonts w:eastAsia="Times New Roman"/>
                <w:color w:val="000000"/>
              </w:rPr>
              <w:t>Section 1.65A</w:t>
            </w:r>
          </w:p>
        </w:tc>
        <w:tc>
          <w:tcPr>
            <w:tcW w:w="7938" w:type="dxa"/>
          </w:tcPr>
          <w:p w:rsidR="006E6A3F" w:rsidRDefault="006E6A3F" w:rsidP="00850942">
            <w:pPr>
              <w:textAlignment w:val="baseline"/>
              <w:rPr>
                <w:rFonts w:eastAsia="Times New Roman"/>
                <w:color w:val="000000"/>
              </w:rPr>
            </w:pPr>
            <w:r>
              <w:rPr>
                <w:rFonts w:eastAsia="Times New Roman"/>
                <w:color w:val="000000"/>
              </w:rPr>
              <w:t>Added definition of Uninstructed Imbalance Energy (UIE) to incorporate EIM LMP pricing into Schedules 4 and 9 and for consistency with the CAISO’s terminology.</w:t>
            </w:r>
          </w:p>
        </w:tc>
      </w:tr>
      <w:tr w:rsidR="006E6A3F" w:rsidTr="00076612">
        <w:tc>
          <w:tcPr>
            <w:tcW w:w="1638" w:type="dxa"/>
          </w:tcPr>
          <w:p w:rsidR="006E6A3F" w:rsidRDefault="006E6A3F" w:rsidP="00187770">
            <w:pPr>
              <w:textAlignment w:val="baseline"/>
              <w:rPr>
                <w:rFonts w:eastAsia="Times New Roman"/>
                <w:color w:val="000000"/>
              </w:rPr>
            </w:pPr>
            <w:r>
              <w:rPr>
                <w:rFonts w:eastAsia="Times New Roman"/>
                <w:color w:val="000000"/>
              </w:rPr>
              <w:t>Section 1.66</w:t>
            </w:r>
          </w:p>
        </w:tc>
        <w:tc>
          <w:tcPr>
            <w:tcW w:w="7938" w:type="dxa"/>
          </w:tcPr>
          <w:p w:rsidR="006E6A3F" w:rsidRDefault="006E6A3F" w:rsidP="00850942">
            <w:pPr>
              <w:textAlignment w:val="baseline"/>
              <w:rPr>
                <w:rFonts w:eastAsia="Times New Roman"/>
                <w:color w:val="000000"/>
              </w:rPr>
            </w:pPr>
            <w:r>
              <w:rPr>
                <w:rFonts w:eastAsia="Times New Roman"/>
                <w:color w:val="000000"/>
              </w:rPr>
              <w:t>Added definition of Working Day to delineate week days from weekends and holidays.</w:t>
            </w:r>
          </w:p>
        </w:tc>
      </w:tr>
      <w:tr w:rsidR="006E6A3F" w:rsidTr="00076612">
        <w:tc>
          <w:tcPr>
            <w:tcW w:w="1638" w:type="dxa"/>
          </w:tcPr>
          <w:p w:rsidR="006E6A3F" w:rsidRDefault="006E6A3F" w:rsidP="00187770">
            <w:pPr>
              <w:textAlignment w:val="baseline"/>
              <w:rPr>
                <w:rFonts w:eastAsia="Times New Roman"/>
                <w:color w:val="000000"/>
              </w:rPr>
            </w:pPr>
            <w:r>
              <w:rPr>
                <w:rFonts w:eastAsia="Times New Roman"/>
                <w:color w:val="000000"/>
              </w:rPr>
              <w:t>Section 10.2</w:t>
            </w:r>
          </w:p>
        </w:tc>
        <w:tc>
          <w:tcPr>
            <w:tcW w:w="7938" w:type="dxa"/>
          </w:tcPr>
          <w:p w:rsidR="006E6A3F" w:rsidRDefault="006E6A3F" w:rsidP="00850942">
            <w:pPr>
              <w:jc w:val="both"/>
              <w:textAlignment w:val="baseline"/>
              <w:rPr>
                <w:rFonts w:eastAsia="Times New Roman"/>
                <w:color w:val="000000"/>
              </w:rPr>
            </w:pPr>
            <w:r>
              <w:rPr>
                <w:rFonts w:eastAsia="Times New Roman"/>
                <w:color w:val="000000"/>
              </w:rPr>
              <w:t>NV Energy proposes that its new market responsibilities as an EIM Entity be subject to a higher standard of liability, gross negligence or intentional wrongdoing.  The higher standard reflects NV Energy’s voluntarily assumption of additional responsibilities required of EIM Entities and is consistent with the standard approved by FERC for Transmission Providers participating in RTO/ISO markets.</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12.4A</w:t>
            </w:r>
          </w:p>
        </w:tc>
        <w:tc>
          <w:tcPr>
            <w:tcW w:w="7938" w:type="dxa"/>
          </w:tcPr>
          <w:p w:rsidR="006E6A3F" w:rsidRDefault="006E6A3F" w:rsidP="00850942">
            <w:pPr>
              <w:textAlignment w:val="baseline"/>
              <w:rPr>
                <w:rFonts w:eastAsia="Times New Roman"/>
                <w:color w:val="000000"/>
              </w:rPr>
            </w:pPr>
            <w:r>
              <w:rPr>
                <w:rFonts w:eastAsia="Times New Roman"/>
                <w:color w:val="000000"/>
                <w:spacing w:val="-2"/>
              </w:rPr>
              <w:t>Section added to explain that EIM disputes will be handled either under NV Energy’s OATT or the CAISO Tariff, as the MO, based on which entity’s actions are being challenged.</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12.4A.1</w:t>
            </w:r>
          </w:p>
        </w:tc>
        <w:tc>
          <w:tcPr>
            <w:tcW w:w="7938" w:type="dxa"/>
          </w:tcPr>
          <w:p w:rsidR="006E6A3F" w:rsidRDefault="006E6A3F" w:rsidP="00850942">
            <w:pPr>
              <w:textAlignment w:val="baseline"/>
              <w:rPr>
                <w:rFonts w:eastAsia="Times New Roman"/>
                <w:color w:val="000000"/>
              </w:rPr>
            </w:pPr>
            <w:r>
              <w:rPr>
                <w:rFonts w:eastAsia="Times New Roman"/>
                <w:color w:val="000000"/>
              </w:rPr>
              <w:t>Section recognizes that disputes between the NV Energy EIM Entity and a NV Energy Transmission Customer regarding the manner in which NV Energy has sub-allocated EIM payments or charges will be processed in accordance with the existing Sections 12.1 to 12.4 of NV Energy’s OATT, the same as any other dispute between NV Energy and an OATT customer.</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12.4A.2</w:t>
            </w:r>
          </w:p>
        </w:tc>
        <w:tc>
          <w:tcPr>
            <w:tcW w:w="7938" w:type="dxa"/>
          </w:tcPr>
          <w:p w:rsidR="006E6A3F" w:rsidRDefault="006E6A3F" w:rsidP="00F41D06">
            <w:pPr>
              <w:textAlignment w:val="baseline"/>
              <w:rPr>
                <w:rFonts w:eastAsia="Times New Roman"/>
                <w:color w:val="000000"/>
                <w:spacing w:val="-2"/>
              </w:rPr>
            </w:pPr>
            <w:r>
              <w:rPr>
                <w:rFonts w:eastAsia="Times New Roman"/>
                <w:color w:val="000000"/>
              </w:rPr>
              <w:t>Section recognizes that disputes between the CAISO and a NV Energy EIM Participating Resource Scheduling Coordinator related to settlement statements provided to the NV Energy EIM Participating Resource Scheduling Coordinator from the CAISO will proceed in accordance with the process specified in the CAISO Tariff.</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12.4A.3</w:t>
            </w:r>
          </w:p>
        </w:tc>
        <w:tc>
          <w:tcPr>
            <w:tcW w:w="7938" w:type="dxa"/>
          </w:tcPr>
          <w:p w:rsidR="006E6A3F" w:rsidRDefault="006E6A3F" w:rsidP="00367396">
            <w:pPr>
              <w:textAlignment w:val="baseline"/>
              <w:rPr>
                <w:rFonts w:eastAsia="Times New Roman"/>
                <w:color w:val="000000"/>
              </w:rPr>
            </w:pPr>
            <w:r>
              <w:rPr>
                <w:rFonts w:eastAsia="Times New Roman"/>
                <w:color w:val="000000"/>
              </w:rPr>
              <w:t>Section recognizes that the NV Energy EIM Entity may raise disputes with the CAISO regarding the settlement statements it receives from the CAISO in accordance with the process specified in the CAISO Tariff.</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12.4A.4</w:t>
            </w:r>
          </w:p>
        </w:tc>
        <w:tc>
          <w:tcPr>
            <w:tcW w:w="7938" w:type="dxa"/>
          </w:tcPr>
          <w:p w:rsidR="006E6A3F" w:rsidRDefault="006E6A3F" w:rsidP="00850942">
            <w:pPr>
              <w:textAlignment w:val="baseline"/>
              <w:rPr>
                <w:rFonts w:eastAsia="Times New Roman"/>
                <w:color w:val="000000"/>
              </w:rPr>
            </w:pPr>
            <w:r>
              <w:rPr>
                <w:rFonts w:eastAsia="Times New Roman"/>
                <w:color w:val="000000"/>
              </w:rPr>
              <w:t>Section recognizes the situation where a Transmission Customer may have a dispute not with the NV Energy EIM Entity’s sub-allocation but with the CAISO’s allocation of payments or charges to the NV Energy EIM Entity.  To the extent a dispute arises regarding a CAISO charge or payment to the NV Energy EIM Entity that is subsequently charged or paid by the NV Energy EIM Entity to a Transmission Customer or an Interconnection Customer, and such Transmission Customer wishes to raise a dispute with the CAISO, the NV Energy EIM Entity shall file a dispute on behalf of such Transmission Customer in accordance with the CAISO Tariff and work with the Transmission Customer to resolve the dispute pursuant to the process specified in the CAISO Tariff.</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13.6</w:t>
            </w:r>
          </w:p>
        </w:tc>
        <w:tc>
          <w:tcPr>
            <w:tcW w:w="7938" w:type="dxa"/>
          </w:tcPr>
          <w:p w:rsidR="006E6A3F" w:rsidRDefault="006E6A3F" w:rsidP="006E6A3F">
            <w:pPr>
              <w:textAlignment w:val="baseline"/>
              <w:rPr>
                <w:rFonts w:eastAsia="Times New Roman"/>
                <w:color w:val="000000"/>
              </w:rPr>
            </w:pPr>
            <w:r w:rsidRPr="006E6A3F">
              <w:rPr>
                <w:rFonts w:eastAsia="Times New Roman"/>
                <w:color w:val="000000"/>
                <w:spacing w:val="-2"/>
              </w:rPr>
              <w:t xml:space="preserve">Added </w:t>
            </w:r>
            <w:proofErr w:type="gramStart"/>
            <w:r w:rsidRPr="006E6A3F">
              <w:rPr>
                <w:rFonts w:eastAsia="Times New Roman"/>
                <w:color w:val="000000"/>
                <w:spacing w:val="-2"/>
              </w:rPr>
              <w:t>language refer</w:t>
            </w:r>
            <w:proofErr w:type="gramEnd"/>
            <w:r w:rsidRPr="006E6A3F">
              <w:rPr>
                <w:rFonts w:eastAsia="Times New Roman"/>
                <w:color w:val="000000"/>
                <w:spacing w:val="-2"/>
              </w:rPr>
              <w:t xml:space="preserve"> to the Transmission Provider’s responsibility to ensure reliability </w:t>
            </w:r>
            <w:r w:rsidRPr="006E6A3F">
              <w:rPr>
                <w:rFonts w:eastAsia="Times New Roman"/>
                <w:color w:val="000000"/>
                <w:spacing w:val="-2"/>
              </w:rPr>
              <w:lastRenderedPageBreak/>
              <w:t>in NV Energy’s BAAs consistent with Section 6 of Attachment P.</w:t>
            </w:r>
            <w:r>
              <w:rPr>
                <w:rFonts w:eastAsia="Times New Roman"/>
                <w:color w:val="000000"/>
                <w:spacing w:val="-2"/>
              </w:rPr>
              <w:t xml:space="preserve">  </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lastRenderedPageBreak/>
              <w:t>Section 14.7 (1)</w:t>
            </w:r>
          </w:p>
        </w:tc>
        <w:tc>
          <w:tcPr>
            <w:tcW w:w="7938" w:type="dxa"/>
          </w:tcPr>
          <w:p w:rsidR="006E6A3F" w:rsidRDefault="006E6A3F" w:rsidP="00367396">
            <w:pPr>
              <w:textAlignment w:val="baseline"/>
              <w:rPr>
                <w:rFonts w:eastAsia="Times New Roman"/>
                <w:color w:val="000000"/>
                <w:spacing w:val="-1"/>
              </w:rPr>
            </w:pPr>
            <w:r>
              <w:rPr>
                <w:rFonts w:eastAsia="Times New Roman"/>
                <w:color w:val="000000"/>
                <w:spacing w:val="-1"/>
              </w:rPr>
              <w:t xml:space="preserve">Deleted </w:t>
            </w:r>
            <w:proofErr w:type="gramStart"/>
            <w:r>
              <w:rPr>
                <w:rFonts w:eastAsia="Times New Roman"/>
                <w:color w:val="000000"/>
                <w:spacing w:val="-1"/>
              </w:rPr>
              <w:t>outdated  language</w:t>
            </w:r>
            <w:proofErr w:type="gramEnd"/>
            <w:r>
              <w:rPr>
                <w:rFonts w:eastAsia="Times New Roman"/>
                <w:color w:val="000000"/>
                <w:spacing w:val="-1"/>
              </w:rPr>
              <w:t xml:space="preserve"> related to Capacity Based Network Service.</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14.7</w:t>
            </w:r>
          </w:p>
        </w:tc>
        <w:tc>
          <w:tcPr>
            <w:tcW w:w="7938" w:type="dxa"/>
          </w:tcPr>
          <w:p w:rsidR="006E6A3F" w:rsidRDefault="006E6A3F" w:rsidP="006E6A3F">
            <w:pPr>
              <w:textAlignment w:val="baseline"/>
              <w:rPr>
                <w:rFonts w:eastAsia="Times New Roman"/>
                <w:color w:val="000000"/>
              </w:rPr>
            </w:pPr>
            <w:r>
              <w:rPr>
                <w:rFonts w:eastAsia="Times New Roman"/>
                <w:color w:val="000000"/>
                <w:spacing w:val="-1"/>
              </w:rPr>
              <w:t>Added language to refer to the Transmission Provider’s responsibility to ensure reliability in NV Energy’s BAAs consistent with Section 6 of Attachment P</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16.1.g</w:t>
            </w:r>
          </w:p>
        </w:tc>
        <w:tc>
          <w:tcPr>
            <w:tcW w:w="7938" w:type="dxa"/>
          </w:tcPr>
          <w:p w:rsidR="006E6A3F" w:rsidRDefault="006E6A3F" w:rsidP="00850942">
            <w:pPr>
              <w:textAlignment w:val="baseline"/>
              <w:rPr>
                <w:rFonts w:eastAsia="Times New Roman"/>
                <w:color w:val="000000"/>
                <w:spacing w:val="-2"/>
              </w:rPr>
            </w:pPr>
            <w:r>
              <w:rPr>
                <w:rFonts w:eastAsia="Times New Roman"/>
                <w:color w:val="000000"/>
              </w:rPr>
              <w:t>Added section to clarify that Attachment P is applicable to all of NV Energy’s Transmission Customers.</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17.9</w:t>
            </w:r>
          </w:p>
        </w:tc>
        <w:tc>
          <w:tcPr>
            <w:tcW w:w="7938" w:type="dxa"/>
          </w:tcPr>
          <w:p w:rsidR="006E6A3F" w:rsidRDefault="006E6A3F" w:rsidP="00850942">
            <w:pPr>
              <w:textAlignment w:val="baseline"/>
              <w:rPr>
                <w:rFonts w:eastAsia="Times New Roman"/>
                <w:color w:val="000000"/>
                <w:spacing w:val="-1"/>
              </w:rPr>
            </w:pPr>
            <w:r w:rsidRPr="004A3597">
              <w:rPr>
                <w:rStyle w:val="DeltaViewInsertion"/>
                <w:color w:val="auto"/>
                <w:u w:val="none"/>
              </w:rPr>
              <w:t xml:space="preserve">Added section </w:t>
            </w:r>
            <w:proofErr w:type="gramStart"/>
            <w:r w:rsidRPr="004A3597">
              <w:rPr>
                <w:rStyle w:val="DeltaViewInsertion"/>
                <w:color w:val="auto"/>
                <w:u w:val="none"/>
              </w:rPr>
              <w:t>to  specify</w:t>
            </w:r>
            <w:proofErr w:type="gramEnd"/>
            <w:r w:rsidRPr="004A3597">
              <w:rPr>
                <w:rStyle w:val="DeltaViewInsertion"/>
                <w:color w:val="auto"/>
                <w:u w:val="none"/>
              </w:rPr>
              <w:t xml:space="preserve"> that a Transmission Customer that elects to participate in the EIM utilizing a Service Agreement for Firm Point-to-Point Transmission Service in accordance with Attachment P shall submit a Completed Application for the Service Agreement for Firm Point-To-Point Transmission Service</w:t>
            </w:r>
            <w:r>
              <w:rPr>
                <w:rStyle w:val="DeltaViewInsertion"/>
                <w:color w:val="auto"/>
                <w:u w:val="none"/>
              </w:rPr>
              <w:t>.</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18.5</w:t>
            </w:r>
          </w:p>
        </w:tc>
        <w:tc>
          <w:tcPr>
            <w:tcW w:w="7938" w:type="dxa"/>
          </w:tcPr>
          <w:p w:rsidR="006E6A3F" w:rsidRDefault="006E6A3F" w:rsidP="00850942">
            <w:pPr>
              <w:textAlignment w:val="baseline"/>
              <w:rPr>
                <w:rFonts w:eastAsia="Times New Roman"/>
                <w:color w:val="000000"/>
              </w:rPr>
            </w:pPr>
            <w:r>
              <w:rPr>
                <w:rFonts w:eastAsia="Times New Roman"/>
                <w:color w:val="000000"/>
              </w:rPr>
              <w:t>Added section to explain requirements for Transmission Customers electing to participate in the EIM using Non-Firm Point-to-Point Transmission Service.</w:t>
            </w:r>
          </w:p>
        </w:tc>
      </w:tr>
      <w:tr w:rsidR="006E6A3F" w:rsidTr="00076612">
        <w:tc>
          <w:tcPr>
            <w:tcW w:w="1638" w:type="dxa"/>
          </w:tcPr>
          <w:p w:rsidR="006E6A3F" w:rsidRDefault="006E6A3F" w:rsidP="0032527E">
            <w:pPr>
              <w:textAlignment w:val="baseline"/>
              <w:rPr>
                <w:rFonts w:eastAsia="Times New Roman"/>
                <w:color w:val="000000"/>
              </w:rPr>
            </w:pPr>
            <w:r>
              <w:rPr>
                <w:rFonts w:eastAsia="Times New Roman"/>
                <w:color w:val="000000"/>
              </w:rPr>
              <w:t>Section 28.7</w:t>
            </w:r>
          </w:p>
        </w:tc>
        <w:tc>
          <w:tcPr>
            <w:tcW w:w="7938" w:type="dxa"/>
          </w:tcPr>
          <w:p w:rsidR="006E6A3F" w:rsidRPr="004A3597" w:rsidRDefault="006E6A3F" w:rsidP="0032527E">
            <w:pPr>
              <w:textAlignment w:val="baseline"/>
              <w:rPr>
                <w:rFonts w:eastAsia="Times New Roman"/>
              </w:rPr>
            </w:pPr>
            <w:r>
              <w:rPr>
                <w:rFonts w:eastAsia="Times New Roman"/>
                <w:color w:val="000000"/>
                <w:spacing w:val="-2"/>
              </w:rPr>
              <w:t>Added section in order to facilitate the EIM, permitting Network Customers to participate in EIM utilizing Network Integration Transmission Service without a requirement to terminate the designation of any Network Resources that are NV Energy EIM Participating Resource and without a requirement to reserve additional Point-to-Point Transmission Service for such transactions.</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29.2</w:t>
            </w:r>
          </w:p>
        </w:tc>
        <w:tc>
          <w:tcPr>
            <w:tcW w:w="7938" w:type="dxa"/>
          </w:tcPr>
          <w:p w:rsidR="006E6A3F" w:rsidRDefault="006E6A3F" w:rsidP="00850942">
            <w:pPr>
              <w:textAlignment w:val="baseline"/>
              <w:rPr>
                <w:rFonts w:eastAsia="Times New Roman"/>
                <w:color w:val="000000"/>
              </w:rPr>
            </w:pPr>
            <w:r>
              <w:rPr>
                <w:rFonts w:eastAsia="Times New Roman"/>
                <w:color w:val="000000"/>
              </w:rPr>
              <w:t>Added language to item (ix) to clarify that Attachment P is applicable to all of NV Energy’s Network Customers.</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30.1</w:t>
            </w:r>
          </w:p>
        </w:tc>
        <w:tc>
          <w:tcPr>
            <w:tcW w:w="7938" w:type="dxa"/>
          </w:tcPr>
          <w:p w:rsidR="006E6A3F" w:rsidRDefault="006E6A3F" w:rsidP="00850942">
            <w:pPr>
              <w:textAlignment w:val="baseline"/>
              <w:rPr>
                <w:rFonts w:eastAsia="Times New Roman"/>
                <w:color w:val="000000"/>
              </w:rPr>
            </w:pPr>
            <w:r>
              <w:rPr>
                <w:rFonts w:eastAsia="Times New Roman"/>
                <w:color w:val="000000"/>
                <w:spacing w:val="-2"/>
              </w:rPr>
              <w:t>Added language to existing section to support exemption from requirement to terminate designation of Network Resources participating in the EIM, consistent with Section 28.7 above.</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Section 30.4</w:t>
            </w:r>
          </w:p>
        </w:tc>
        <w:tc>
          <w:tcPr>
            <w:tcW w:w="7938" w:type="dxa"/>
          </w:tcPr>
          <w:p w:rsidR="006E6A3F" w:rsidRDefault="006E6A3F" w:rsidP="00850942">
            <w:pPr>
              <w:textAlignment w:val="baseline"/>
              <w:rPr>
                <w:rFonts w:eastAsia="Times New Roman"/>
                <w:color w:val="000000"/>
                <w:spacing w:val="-2"/>
              </w:rPr>
            </w:pPr>
            <w:r>
              <w:rPr>
                <w:rFonts w:eastAsia="Times New Roman"/>
                <w:color w:val="000000"/>
              </w:rPr>
              <w:t>Added language to existing section to support exemption from limitation for NV Energy EIM Participating Resources responding to Dispatch Instructions, consistent with Section 28.7 above.</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Schedule 1</w:t>
            </w:r>
          </w:p>
        </w:tc>
        <w:tc>
          <w:tcPr>
            <w:tcW w:w="7938" w:type="dxa"/>
          </w:tcPr>
          <w:p w:rsidR="006E6A3F" w:rsidRDefault="006E6A3F" w:rsidP="00850942">
            <w:pPr>
              <w:textAlignment w:val="baseline"/>
              <w:rPr>
                <w:rFonts w:eastAsia="Times New Roman"/>
                <w:color w:val="000000"/>
              </w:rPr>
            </w:pPr>
            <w:r>
              <w:rPr>
                <w:rFonts w:eastAsia="Times New Roman"/>
                <w:color w:val="000000"/>
              </w:rPr>
              <w:t>Add reference to new Schedule 1-A for recovery of CAISO EIM administrative charges.</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Schedule 1-A</w:t>
            </w:r>
          </w:p>
        </w:tc>
        <w:tc>
          <w:tcPr>
            <w:tcW w:w="7938" w:type="dxa"/>
          </w:tcPr>
          <w:p w:rsidR="006E6A3F" w:rsidRDefault="006E6A3F" w:rsidP="00850942">
            <w:pPr>
              <w:textAlignment w:val="baseline"/>
              <w:rPr>
                <w:rFonts w:eastAsia="Times New Roman"/>
                <w:color w:val="000000"/>
                <w:spacing w:val="-2"/>
              </w:rPr>
            </w:pPr>
            <w:r>
              <w:rPr>
                <w:rFonts w:eastAsia="Times New Roman"/>
                <w:color w:val="000000"/>
              </w:rPr>
              <w:t>New schedule to provide for a pass- through of the CAISO administrative charges allocated to the NV Energy EIM Entity in accordance with Sections 4.5.1.1.4, 4.5.1.3, 11.22.8, and 29.11(</w:t>
            </w:r>
            <w:proofErr w:type="spellStart"/>
            <w:r>
              <w:rPr>
                <w:rFonts w:eastAsia="Times New Roman"/>
                <w:color w:val="000000"/>
              </w:rPr>
              <w:t>i</w:t>
            </w:r>
            <w:proofErr w:type="spellEnd"/>
            <w:r>
              <w:rPr>
                <w:rFonts w:eastAsia="Times New Roman"/>
                <w:color w:val="000000"/>
              </w:rPr>
              <w:t>) of the CAISO Tariff.</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Schedule 4</w:t>
            </w:r>
          </w:p>
        </w:tc>
        <w:tc>
          <w:tcPr>
            <w:tcW w:w="7938" w:type="dxa"/>
          </w:tcPr>
          <w:p w:rsidR="006E6A3F" w:rsidRDefault="006E6A3F" w:rsidP="00850942">
            <w:pPr>
              <w:textAlignment w:val="baseline"/>
              <w:rPr>
                <w:rFonts w:eastAsia="Times New Roman"/>
                <w:color w:val="000000"/>
              </w:rPr>
            </w:pPr>
            <w:r>
              <w:rPr>
                <w:rFonts w:eastAsia="Times New Roman"/>
                <w:color w:val="000000"/>
                <w:spacing w:val="-2"/>
              </w:rPr>
              <w:t>Amended Schedule 4 to reflect the manner in which NV Energy shall establish charges for Energy Imbalance Service under the EIM.</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Schedule 9</w:t>
            </w:r>
          </w:p>
        </w:tc>
        <w:tc>
          <w:tcPr>
            <w:tcW w:w="7938" w:type="dxa"/>
          </w:tcPr>
          <w:p w:rsidR="006E6A3F" w:rsidRDefault="006E6A3F" w:rsidP="00850942">
            <w:pPr>
              <w:textAlignment w:val="baseline"/>
              <w:rPr>
                <w:rFonts w:eastAsia="Times New Roman"/>
                <w:color w:val="000000"/>
              </w:rPr>
            </w:pPr>
            <w:r>
              <w:rPr>
                <w:rFonts w:eastAsia="Times New Roman"/>
                <w:color w:val="000000"/>
              </w:rPr>
              <w:t>Amended Schedule 9 to further clarify the nature of Generator Imbalance Service under the EIM and reflect the manner in which NV Energy shall establish charges for such service under the EIM.</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Schedule 10</w:t>
            </w:r>
          </w:p>
        </w:tc>
        <w:tc>
          <w:tcPr>
            <w:tcW w:w="7938" w:type="dxa"/>
          </w:tcPr>
          <w:p w:rsidR="006E6A3F" w:rsidRDefault="006E6A3F" w:rsidP="00CA2E3C">
            <w:pPr>
              <w:textAlignment w:val="baseline"/>
              <w:rPr>
                <w:rFonts w:eastAsia="Times New Roman"/>
                <w:color w:val="000000"/>
              </w:rPr>
            </w:pPr>
            <w:r>
              <w:rPr>
                <w:rFonts w:eastAsia="Times New Roman"/>
                <w:color w:val="000000"/>
                <w:spacing w:val="-2"/>
              </w:rPr>
              <w:t>Amended Schedule 10 to reflect the manner in which NV Energy shall establish charges for financial provisions of losses under the EIM.  There is no change to the current loss factors.</w:t>
            </w:r>
          </w:p>
        </w:tc>
      </w:tr>
      <w:tr w:rsidR="006E6A3F" w:rsidTr="00076612">
        <w:tc>
          <w:tcPr>
            <w:tcW w:w="1638" w:type="dxa"/>
          </w:tcPr>
          <w:p w:rsidR="006E6A3F" w:rsidRDefault="006E6A3F" w:rsidP="00850942">
            <w:pPr>
              <w:textAlignment w:val="baseline"/>
              <w:rPr>
                <w:rFonts w:eastAsia="Times New Roman"/>
                <w:color w:val="000000"/>
              </w:rPr>
            </w:pPr>
            <w:r>
              <w:rPr>
                <w:rFonts w:eastAsia="Times New Roman"/>
                <w:color w:val="000000"/>
              </w:rPr>
              <w:t>Attachment N, Section 2.5</w:t>
            </w:r>
          </w:p>
        </w:tc>
        <w:tc>
          <w:tcPr>
            <w:tcW w:w="7938" w:type="dxa"/>
          </w:tcPr>
          <w:p w:rsidR="006E6A3F" w:rsidRDefault="006E6A3F" w:rsidP="006E6A3F">
            <w:pPr>
              <w:jc w:val="both"/>
              <w:textAlignment w:val="baseline"/>
              <w:rPr>
                <w:rFonts w:eastAsia="Times New Roman"/>
                <w:color w:val="000000"/>
                <w:spacing w:val="-2"/>
              </w:rPr>
            </w:pPr>
            <w:r w:rsidRPr="0050604B">
              <w:rPr>
                <w:rFonts w:eastAsia="Times New Roman"/>
                <w:color w:val="000000"/>
              </w:rPr>
              <w:t>Added section to clarify that Attachment P is applicable to NV Energy’s Interconnection Customers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Attachment O, Section 5</w:t>
            </w:r>
          </w:p>
        </w:tc>
        <w:tc>
          <w:tcPr>
            <w:tcW w:w="7938" w:type="dxa"/>
          </w:tcPr>
          <w:p w:rsidR="006E6A3F" w:rsidRDefault="006E6A3F" w:rsidP="006E6A3F">
            <w:pPr>
              <w:textAlignment w:val="baseline"/>
              <w:rPr>
                <w:rFonts w:eastAsia="Times New Roman"/>
                <w:color w:val="000000"/>
              </w:rPr>
            </w:pPr>
            <w:r w:rsidRPr="0050604B">
              <w:rPr>
                <w:rFonts w:eastAsia="Times New Roman"/>
                <w:color w:val="000000"/>
              </w:rPr>
              <w:t>Added section to clarify that Attachment P is applicable to NV Energy’s Interconnection Customers.</w:t>
            </w:r>
            <w:r>
              <w:rPr>
                <w:rFonts w:eastAsia="Times New Roman"/>
                <w:color w:val="000000"/>
              </w:rPr>
              <w:t xml:space="preserve">  </w:t>
            </w:r>
          </w:p>
        </w:tc>
      </w:tr>
      <w:tr w:rsidR="006E6A3F" w:rsidTr="00076612">
        <w:trPr>
          <w:trHeight w:val="496"/>
        </w:trPr>
        <w:tc>
          <w:tcPr>
            <w:tcW w:w="1638" w:type="dxa"/>
          </w:tcPr>
          <w:p w:rsidR="006E6A3F" w:rsidRDefault="006E6A3F" w:rsidP="00707DE0">
            <w:pPr>
              <w:textAlignment w:val="baseline"/>
              <w:rPr>
                <w:rFonts w:eastAsia="Times New Roman"/>
                <w:color w:val="000000"/>
              </w:rPr>
            </w:pPr>
            <w:r>
              <w:rPr>
                <w:rFonts w:eastAsia="Times New Roman"/>
                <w:color w:val="000000"/>
              </w:rPr>
              <w:t>Section 1, Attachment P</w:t>
            </w:r>
          </w:p>
        </w:tc>
        <w:tc>
          <w:tcPr>
            <w:tcW w:w="7938" w:type="dxa"/>
          </w:tcPr>
          <w:p w:rsidR="006E6A3F" w:rsidRDefault="006E6A3F" w:rsidP="00CA2E3C">
            <w:pPr>
              <w:textAlignment w:val="baseline"/>
              <w:rPr>
                <w:rFonts w:eastAsia="Times New Roman"/>
                <w:color w:val="000000"/>
                <w:spacing w:val="-2"/>
              </w:rPr>
            </w:pPr>
            <w:r>
              <w:rPr>
                <w:rFonts w:eastAsia="Times New Roman"/>
                <w:color w:val="000000"/>
                <w:spacing w:val="-2"/>
              </w:rPr>
              <w:t>Section added to provide a general overview of the purpose and operation of Attachment P and to clarify that this Attachment P is applicable to all of NV Energy’s Transmission Customers and Interconnection Customers with new and existing service agreements pursuant to its OATT.</w:t>
            </w:r>
          </w:p>
        </w:tc>
      </w:tr>
      <w:tr w:rsidR="006E6A3F" w:rsidTr="00076612">
        <w:tc>
          <w:tcPr>
            <w:tcW w:w="1638" w:type="dxa"/>
          </w:tcPr>
          <w:p w:rsidR="006E6A3F" w:rsidRDefault="006E6A3F" w:rsidP="0050604B">
            <w:pPr>
              <w:textAlignment w:val="baseline"/>
              <w:rPr>
                <w:rFonts w:eastAsia="Times New Roman"/>
                <w:color w:val="000000"/>
              </w:rPr>
            </w:pPr>
            <w:r>
              <w:rPr>
                <w:rFonts w:eastAsia="Times New Roman"/>
                <w:color w:val="000000"/>
              </w:rPr>
              <w:t>Section 2, Attachment  P</w:t>
            </w:r>
          </w:p>
        </w:tc>
        <w:tc>
          <w:tcPr>
            <w:tcW w:w="7938" w:type="dxa"/>
          </w:tcPr>
          <w:p w:rsidR="006E6A3F" w:rsidRPr="00E44F02" w:rsidRDefault="006E6A3F" w:rsidP="00707DE0">
            <w:pPr>
              <w:textAlignment w:val="baseline"/>
              <w:rPr>
                <w:rFonts w:eastAsia="Times New Roman"/>
                <w:color w:val="000000"/>
                <w:spacing w:val="-2"/>
                <w:highlight w:val="yellow"/>
              </w:rPr>
            </w:pPr>
            <w:r>
              <w:rPr>
                <w:rFonts w:eastAsia="Times New Roman"/>
                <w:color w:val="000000"/>
                <w:spacing w:val="-2"/>
              </w:rPr>
              <w:t xml:space="preserve">Section added to explain that the decision of a Transmission Customer to participate in the EIM with resources as NV Energy EIM Participating Resources is voluntary and, if a Transmission Customer chooses to participate, to identify the basic requirements to </w:t>
            </w:r>
            <w:r>
              <w:rPr>
                <w:rFonts w:eastAsia="Times New Roman"/>
                <w:color w:val="000000"/>
                <w:spacing w:val="-2"/>
              </w:rPr>
              <w:lastRenderedPageBreak/>
              <w:t>become a NV Energy EIM Participating Resource.</w:t>
            </w:r>
          </w:p>
        </w:tc>
      </w:tr>
      <w:tr w:rsidR="006E6A3F" w:rsidTr="00076612">
        <w:tc>
          <w:tcPr>
            <w:tcW w:w="1638" w:type="dxa"/>
          </w:tcPr>
          <w:p w:rsidR="006E6A3F" w:rsidRDefault="006E6A3F" w:rsidP="0050604B">
            <w:pPr>
              <w:textAlignment w:val="baseline"/>
              <w:rPr>
                <w:rFonts w:eastAsia="Times New Roman"/>
                <w:color w:val="000000"/>
              </w:rPr>
            </w:pPr>
            <w:r>
              <w:rPr>
                <w:rFonts w:eastAsia="Times New Roman"/>
                <w:color w:val="000000"/>
              </w:rPr>
              <w:lastRenderedPageBreak/>
              <w:t>Section 3, Attachment P</w:t>
            </w:r>
          </w:p>
        </w:tc>
        <w:tc>
          <w:tcPr>
            <w:tcW w:w="7938" w:type="dxa"/>
          </w:tcPr>
          <w:p w:rsidR="006E6A3F" w:rsidRPr="00E44F02" w:rsidRDefault="006E6A3F" w:rsidP="00707DE0">
            <w:pPr>
              <w:textAlignment w:val="baseline"/>
              <w:rPr>
                <w:rFonts w:eastAsia="Times New Roman"/>
                <w:color w:val="000000"/>
                <w:spacing w:val="-2"/>
                <w:highlight w:val="yellow"/>
              </w:rPr>
            </w:pPr>
            <w:r>
              <w:rPr>
                <w:rFonts w:eastAsia="Times New Roman"/>
                <w:color w:val="000000"/>
              </w:rPr>
              <w:t>Section added to provide the specific eligibility criteria required to become a NV Energy EIM Participating Resource and to set forth the application and certification processes.</w:t>
            </w:r>
          </w:p>
        </w:tc>
      </w:tr>
      <w:tr w:rsidR="006E6A3F" w:rsidTr="00076612">
        <w:tc>
          <w:tcPr>
            <w:tcW w:w="1638" w:type="dxa"/>
          </w:tcPr>
          <w:p w:rsidR="006E6A3F" w:rsidRDefault="006E6A3F" w:rsidP="00443EA3">
            <w:pPr>
              <w:textAlignment w:val="baseline"/>
              <w:rPr>
                <w:rFonts w:eastAsia="Times New Roman"/>
                <w:color w:val="000000"/>
              </w:rPr>
            </w:pPr>
            <w:r>
              <w:rPr>
                <w:rFonts w:eastAsia="Times New Roman"/>
                <w:color w:val="000000"/>
              </w:rPr>
              <w:t>Section 3.1, Attachment P</w:t>
            </w:r>
          </w:p>
        </w:tc>
        <w:tc>
          <w:tcPr>
            <w:tcW w:w="7938" w:type="dxa"/>
          </w:tcPr>
          <w:p w:rsidR="006E6A3F" w:rsidRDefault="006E6A3F" w:rsidP="00443EA3">
            <w:pPr>
              <w:textAlignment w:val="baseline"/>
              <w:rPr>
                <w:rFonts w:eastAsia="Times New Roman"/>
                <w:color w:val="000000"/>
                <w:spacing w:val="-2"/>
              </w:rPr>
            </w:pPr>
            <w:r>
              <w:rPr>
                <w:rFonts w:eastAsia="Times New Roman"/>
                <w:color w:val="000000"/>
              </w:rPr>
              <w:t>Section describes the transmission requirements for internal resources within NV Energy’s BAAs to become eligible as a NV Energy EIM Participating Resource.</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3.2,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describes the transmission requirements for resources external to NV Energy’s BAAs</w:t>
            </w:r>
          </w:p>
        </w:tc>
      </w:tr>
      <w:tr w:rsidR="006E6A3F" w:rsidTr="00076612">
        <w:tc>
          <w:tcPr>
            <w:tcW w:w="1638" w:type="dxa"/>
          </w:tcPr>
          <w:p w:rsidR="006E6A3F" w:rsidRDefault="006E6A3F" w:rsidP="00AE22DC">
            <w:pPr>
              <w:textAlignment w:val="baseline"/>
              <w:rPr>
                <w:rFonts w:eastAsia="Times New Roman"/>
                <w:color w:val="000000"/>
              </w:rPr>
            </w:pPr>
            <w:r>
              <w:rPr>
                <w:rFonts w:eastAsia="Times New Roman"/>
                <w:color w:val="000000"/>
              </w:rPr>
              <w:t>Section 3.2.1,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1"/>
              </w:rPr>
              <w:t>Section explains that an external resource may participate in the EIM if the Transmission Customer implements a Pseudo-Tie to NV Energy’s BAA, has arranged third-party firm transmission equal to the amount of energy that will be Pseudo-Tied, and has secured transmission service pursuant to Section 3.1 of Attachment P.</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3.2.2, Attachment P</w:t>
            </w:r>
          </w:p>
        </w:tc>
        <w:tc>
          <w:tcPr>
            <w:tcW w:w="7938" w:type="dxa"/>
          </w:tcPr>
          <w:p w:rsidR="006E6A3F" w:rsidRDefault="006E6A3F" w:rsidP="00707DE0">
            <w:pPr>
              <w:jc w:val="both"/>
              <w:textAlignment w:val="baseline"/>
              <w:rPr>
                <w:rFonts w:eastAsia="Times New Roman"/>
                <w:color w:val="000000"/>
              </w:rPr>
            </w:pPr>
            <w:r>
              <w:rPr>
                <w:rFonts w:eastAsia="Times New Roman"/>
                <w:color w:val="000000"/>
              </w:rPr>
              <w:t>Section explains the manner in which Pseudo-Tie implementation costs shall be allocated.</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3.3,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application and certification process for NV Energy EIM Participating Resources.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3.3.1, Attachment P</w:t>
            </w:r>
          </w:p>
        </w:tc>
        <w:tc>
          <w:tcPr>
            <w:tcW w:w="7938" w:type="dxa"/>
          </w:tcPr>
          <w:p w:rsidR="006E6A3F" w:rsidRDefault="006E6A3F" w:rsidP="003669FE">
            <w:pPr>
              <w:textAlignment w:val="baseline"/>
              <w:rPr>
                <w:rFonts w:eastAsia="Times New Roman"/>
                <w:color w:val="000000"/>
                <w:spacing w:val="-1"/>
              </w:rPr>
            </w:pPr>
            <w:r>
              <w:rPr>
                <w:rFonts w:eastAsia="Times New Roman"/>
                <w:color w:val="000000"/>
              </w:rPr>
              <w:t xml:space="preserve">Section describes the requirements for applications to become a NV Energy EIM Participating Resource. </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3.3.2,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requirements for the NV Energy EIM Entity to process the application of Transmission Customers for a NV Energy EIM Participating Resource.</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3.3.3,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process under which a NV Energy EIM Participating Resource becomes certified.</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3.3.4,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provides that, unless certified by the NV Energy EIM Entity, the resource shall be deemed a Non-Participating Resource.</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3.3.5,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an ongoing obligation of a Transmission Customer with a NV Energy EIM Participating Resource to inform the NV Energy EIM Entity of any changes in information submitted as part of the application process.  This provision is necessary to ensure NV Energy EIM Participating Resources continue to meet eligibility requirements.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spacing w:val="-4"/>
              </w:rPr>
              <w:t>Sections 4 and 4.1,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roles and responsibilities of the participants in the EIM.</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4.1.1,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describes the responsibilities of the Transmission Provider as the NV Energy EIM Entity and the NV Energy EIM Entity Scheduling Coordinator.</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4.1.1.1, Attachment P</w:t>
            </w:r>
          </w:p>
        </w:tc>
        <w:tc>
          <w:tcPr>
            <w:tcW w:w="7938" w:type="dxa"/>
          </w:tcPr>
          <w:p w:rsidR="006E6A3F" w:rsidRDefault="006E6A3F" w:rsidP="00926BD6">
            <w:pPr>
              <w:textAlignment w:val="baseline"/>
              <w:rPr>
                <w:rFonts w:eastAsia="Times New Roman"/>
                <w:color w:val="000000"/>
              </w:rPr>
            </w:pPr>
            <w:r>
              <w:rPr>
                <w:rFonts w:eastAsia="Times New Roman"/>
                <w:color w:val="000000"/>
                <w:spacing w:val="-2"/>
              </w:rPr>
              <w:t>Section describes the responsibility of the NV Energy EIM Entity to identify the NV Energy EIM Entity Scheduling Coordinator and for the NV Energy EIM Entity Scheduling Coordinator to fulfill the responsibilities established by the CAISO under its tariff.</w:t>
            </w:r>
          </w:p>
        </w:tc>
      </w:tr>
      <w:tr w:rsidR="006E6A3F" w:rsidTr="00076612">
        <w:tc>
          <w:tcPr>
            <w:tcW w:w="1638" w:type="dxa"/>
          </w:tcPr>
          <w:p w:rsidR="006E6A3F" w:rsidRDefault="006E6A3F" w:rsidP="00707DE0">
            <w:pPr>
              <w:textAlignment w:val="baseline"/>
              <w:rPr>
                <w:rFonts w:eastAsia="Times New Roman"/>
                <w:color w:val="000000"/>
                <w:spacing w:val="-4"/>
              </w:rPr>
            </w:pPr>
            <w:r>
              <w:rPr>
                <w:rFonts w:eastAsia="Times New Roman"/>
                <w:color w:val="000000"/>
              </w:rPr>
              <w:t>Section 4.1.1.2,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responsibility of the NV Energy EIM Entity to process applications of Transmission Customers seeking authorization to participate in the EIM with NV Energy EIM Participating Resources.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4.1.1.3,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responsibility of the NV Energy EIM Entity to make certain implementation decisions for NV Energy’s BAAs.  The section identifies key implementing decisions made by NV Energy with respect to eligibility, Load Aggregation Points, CAISO load forecasting, and CAISO metering agreements.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4.1.1.4,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recognizes that the NV Energy EIM Entity shall establish the NV Energy EIM BP to facilitate implementation and operation of the EIM.</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4.1.1.5,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 xml:space="preserve">Section permits the NV Energy EIM Entity to:  (1) terminate its participation in the EIM by providing a notice of termination to the CAISO; and (2) take contingency </w:t>
            </w:r>
            <w:r>
              <w:rPr>
                <w:rFonts w:eastAsia="Times New Roman"/>
                <w:color w:val="000000"/>
              </w:rPr>
              <w:lastRenderedPageBreak/>
              <w:t>actions in NV Energy’s BAAs in accordance with Section 10 of Attachment P.</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lastRenderedPageBreak/>
              <w:t>Section 4.1.2,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1"/>
              </w:rPr>
              <w:t>Section sets forth the NV Energy EIM Entity’s responsibilities to provide required information to the CAISO.</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4.1.2.1,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requires the NV Energy EIM Entity to provide the CAISO with information associated with transmission facilities within NV Energy’s BAAs, to include in the full network model.</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4.1.2.2,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This section requires the NV Energy EIM Entity to register Non-Participating Resources with the CAISO.</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4.1.3, Attachment P</w:t>
            </w:r>
          </w:p>
        </w:tc>
        <w:tc>
          <w:tcPr>
            <w:tcW w:w="7938" w:type="dxa"/>
          </w:tcPr>
          <w:p w:rsidR="006E6A3F" w:rsidRDefault="006E6A3F" w:rsidP="00707DE0">
            <w:pPr>
              <w:textAlignment w:val="baseline"/>
              <w:rPr>
                <w:rFonts w:eastAsia="Times New Roman"/>
                <w:color w:val="000000"/>
                <w:spacing w:val="-1"/>
              </w:rPr>
            </w:pPr>
            <w:r>
              <w:rPr>
                <w:rFonts w:eastAsia="Times New Roman"/>
                <w:color w:val="000000"/>
              </w:rPr>
              <w:t>Section describes the NV Energy EIM Entity’s day-to-day operation of the EIM.</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4.1.3.1, Attachment P</w:t>
            </w:r>
          </w:p>
        </w:tc>
        <w:tc>
          <w:tcPr>
            <w:tcW w:w="7938" w:type="dxa"/>
          </w:tcPr>
          <w:p w:rsidR="006E6A3F" w:rsidRDefault="006E6A3F" w:rsidP="00707DE0">
            <w:pPr>
              <w:jc w:val="both"/>
              <w:textAlignment w:val="baseline"/>
              <w:rPr>
                <w:rFonts w:eastAsia="Times New Roman"/>
                <w:color w:val="000000"/>
                <w:spacing w:val="-2"/>
              </w:rPr>
            </w:pPr>
            <w:r>
              <w:rPr>
                <w:rFonts w:eastAsia="Times New Roman"/>
                <w:color w:val="000000"/>
              </w:rPr>
              <w:t>Section describes the NV Energy EIM Entity’s responsibility to provide hourly Transmission Customer Base Schedules and Resource Plans to the CAISO consistent with Section 29.34 of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4.1.3.2,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requires the NV Energy EIM Entity to inform the CAISO of a Manual Dispatch by providing reliability adjustment information consistent with Section 29.34 of the MO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4.1.3.3,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that the CAISO will calculate the actual values for Dynamic Schedules reflecting EIM Transfers and the NV Energy EIM Entity shall confirm the values within applicable timeframes.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4.1.4,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requires the NV Energy EIM Entity to submit load, resource, and Interchange meter data to the CAISO on behalf of Transmission Customers with Non-Participating Resources consistent with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4.1.5,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provides that the NV Energy EIM Entity shall be responsible for financial settlement of all charges and payments allocated by the CAISO to the NV Energy EIM Entity.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4.1.6,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provides that the NV Energy EIM Entity shall manage dispute resolution with the CAISO consistent with Section 29.13 of the CAISO Tariff and Section 12 of NV Energy’s OATT.</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responsibilities of Transmission Customers with respect to the EIM.</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the requirement of Transmission Customers to provide initial registration data.</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4.2.1.1,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requires a Transmission Customer with a NV Energy EIM Participating Resource to provide the CAISO and the NV Energy EIM Entity with data necessary to meet the CAISO’s registration requirements.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4.2.1.2,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requires a Transmission Customer with Non- Participating Resources to provide the NV Energy EIM Entity with data necessary to meet the CAISO’s registration requirements.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the responsibility of Transmission Customers to update registration data.</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4.2.2.1,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ongoing obligation of a Transmission Customer with a NV Energy EIM Participating Resource to inform the CAISO and NV Energy EIM Entity of any changes to the information submitted to the NV Energy EIM Entity consistent with Section 29.4(e)(4)(D) of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4.2.2.2,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sets forth ongoing obligation of a Transmission Customer with Non-Participating Resources to inform the NV Energy EIM Entity of any changes to the information submitted to the NV Energy EIM Entity.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4.2.3, Attachment P</w:t>
            </w:r>
          </w:p>
        </w:tc>
        <w:tc>
          <w:tcPr>
            <w:tcW w:w="7938" w:type="dxa"/>
          </w:tcPr>
          <w:p w:rsidR="006E6A3F" w:rsidRDefault="006E6A3F" w:rsidP="00707DE0">
            <w:pPr>
              <w:jc w:val="both"/>
              <w:textAlignment w:val="baseline"/>
              <w:rPr>
                <w:rFonts w:eastAsia="Times New Roman"/>
                <w:color w:val="000000"/>
              </w:rPr>
            </w:pPr>
            <w:r>
              <w:rPr>
                <w:rFonts w:eastAsia="Times New Roman"/>
                <w:color w:val="000000"/>
              </w:rPr>
              <w:t xml:space="preserve">Section requires all Transmission Customers (with or without NV Energy EIM Participating Resources) to provide planned and unplanned outage information in </w:t>
            </w:r>
            <w:r>
              <w:rPr>
                <w:rFonts w:eastAsia="Times New Roman"/>
                <w:color w:val="000000"/>
              </w:rPr>
              <w:lastRenderedPageBreak/>
              <w:t>accordance with Attachment P, Section 7.</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lastRenderedPageBreak/>
              <w:t>Section 4.2.4,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the requirements for submitting Forecast Data, which will be used to establish Transmission Customer Base Schedules and settle imbalances.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4.2.4.1,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requires Transmission Customers with a NV Energy EIM Participating Resource to submit Forecast Data to the NV Energy EIM Entity.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4.2.4.2,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requires Transmission Customers with Non- Participating Resources to submit Forecast Data to the NV Energy EIM Entity.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4.2.4.2.1,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Alternative methodology for Transmission Customers with a Non-</w:t>
            </w:r>
            <w:proofErr w:type="gramStart"/>
            <w:r>
              <w:rPr>
                <w:rFonts w:eastAsia="Times New Roman"/>
                <w:color w:val="000000"/>
              </w:rPr>
              <w:t>Participating  Resource</w:t>
            </w:r>
            <w:proofErr w:type="gramEnd"/>
            <w:r>
              <w:rPr>
                <w:rFonts w:eastAsia="Times New Roman"/>
                <w:color w:val="000000"/>
              </w:rPr>
              <w:t xml:space="preserve"> that is a variable resource to submit Forecast Data.</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4.2.4.3,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requires Transmission Customers with load within NV Energy’s BAAs to submit Forecast Data to the NV Energy EIM Entity.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4.2.4.4,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requires Transmission Customers wheeling through NV Energy’s BAAs to submit Forecast Data to the NV Energy EIM Entity.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4.2.5,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metering requirements for Transmission Customers with Non-Participating Resources.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5,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Transmission Operations related to the EIM.</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5.1,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requires the NV Energy EIM Entity to provide information to the CAISO regarding real-time data for NV Energy’s Transmission System and interties and any changes to transmission capacity and the Transmission System due to operational circumstances.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6,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operation of the NV Energy Transmission System under normal and emergency circumstances upon EIM implementation.</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6.1,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recognizes that participation in the EIM does not modify NV Energy’s obligation to comply with applicable reliability requirements, including NERC and WECC reliability standards. NV Energy will remain responsible for maintaining appropriate operating reserve levels, processing e-Tags, and monitoring and managing real-time flows in its BAAs, among other things.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6.2,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sets forth that the NV Energy EIM Entity and Transmission Customers shall comply with Good Utility Practice in the performance of their EIM responsibilities.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6.3,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describes the manner in which the NV Energy EIM Entity will manage contingencies and emergencies.</w:t>
            </w:r>
          </w:p>
        </w:tc>
      </w:tr>
      <w:tr w:rsidR="006E6A3F" w:rsidTr="00076612">
        <w:tc>
          <w:tcPr>
            <w:tcW w:w="1638" w:type="dxa"/>
          </w:tcPr>
          <w:p w:rsidR="006E6A3F" w:rsidRDefault="006E6A3F" w:rsidP="003D1C7B">
            <w:pPr>
              <w:textAlignment w:val="baseline"/>
              <w:rPr>
                <w:rFonts w:eastAsia="Times New Roman"/>
                <w:color w:val="000000"/>
              </w:rPr>
            </w:pPr>
            <w:r>
              <w:rPr>
                <w:rFonts w:eastAsia="Times New Roman"/>
                <w:color w:val="000000"/>
              </w:rPr>
              <w:t>Section 6.3.1,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that if an EIM disruption occurs consistent with Section 29.7(j) of the CAISO Tariff, the NV Energy EIM Entity shall promptly inform the CAISO consistent with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6.3.2,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permits the NV Energy EIM Entity to issue a Manual Dispatch order to a Transmission Customer with a NV Energy EIM Participating Resource or Non-Participating Resources to address an operational or reliability issue in NV Energy’s BAAs.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describes the responsibilities of parties with regard to outages.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7.1,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sets forth the manner in which the NV Energy EIM Entity will provide information regarding transmission outages.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7.1.1,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requires the NV Energy EIM Entity to submit information to the CAISO for planned transmission outages in accordance with Section 29.9(e) of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7.1.2,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 xml:space="preserve">Section requires the NV Energy EIM Entity to submit information to the CAISO regarding any unplanned transmission outages as soon as possible in accordance with Section 29.9(e) </w:t>
            </w:r>
            <w:r>
              <w:rPr>
                <w:rFonts w:eastAsia="Times New Roman"/>
                <w:color w:val="000000"/>
              </w:rPr>
              <w:t>of the CAISO Tariff.</w:t>
            </w:r>
          </w:p>
        </w:tc>
      </w:tr>
      <w:tr w:rsidR="006E6A3F" w:rsidTr="00076612">
        <w:tc>
          <w:tcPr>
            <w:tcW w:w="1638" w:type="dxa"/>
          </w:tcPr>
          <w:p w:rsidR="006E6A3F" w:rsidRDefault="006E6A3F" w:rsidP="00716D16">
            <w:pPr>
              <w:textAlignment w:val="baseline"/>
              <w:rPr>
                <w:rFonts w:eastAsia="Times New Roman"/>
                <w:color w:val="000000"/>
              </w:rPr>
            </w:pPr>
            <w:r>
              <w:rPr>
                <w:rFonts w:eastAsia="Times New Roman"/>
                <w:color w:val="000000"/>
              </w:rPr>
              <w:lastRenderedPageBreak/>
              <w:t>Section 7.2,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requires Transmission Customers that are also NV Energy BAA Transmission Owners to provide the NV Energy EIM Entity with planned and unplanned transmission outage data within prescribed timeframes.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7.3,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sets forth responsibilities for reporting NV Energy EIM Participating Resource outages.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7.3.1,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manner in which planned outages of a NV Energy EIM Participating Resource shall be reported consistent with Section 29.9(c) of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7.3.2,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describes the manner in which unplanned outages of a NV Energy EIM Participating Resource shall be reported consistent with Section 29.9(e) of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7.4,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sets forth responsibilities for reporting Non- Participating Resource outages.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7.4.1, Attachment P</w:t>
            </w:r>
          </w:p>
        </w:tc>
        <w:tc>
          <w:tcPr>
            <w:tcW w:w="7938" w:type="dxa"/>
          </w:tcPr>
          <w:p w:rsidR="006E6A3F" w:rsidRDefault="006E6A3F" w:rsidP="00707DE0">
            <w:pPr>
              <w:jc w:val="both"/>
              <w:textAlignment w:val="baseline"/>
              <w:rPr>
                <w:rFonts w:eastAsia="Times New Roman"/>
                <w:color w:val="000000"/>
              </w:rPr>
            </w:pPr>
            <w:r>
              <w:rPr>
                <w:rFonts w:eastAsia="Times New Roman"/>
                <w:color w:val="000000"/>
              </w:rPr>
              <w:t>Section describes the manner in which planned outages of a Non-Participating Resource shall be reported consistent with Section 29.9(c) of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7.4.2,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manner in which unplanned outages of a Non-Participating Resource shall be reported consistent with Section 29.9(e) of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that the NV Energy EIM BP will specify the specific charge codes applicable to EIM settlement.</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the method of sub-allocation of IIE by the NV Energy EIM Entity. Allocations to the NV Energy EIM Entity pursuant to Section 29.11(b) of the CAISO Tariff for IIE shall be sub-allocated to Transmission Customers in accordance with Schedule 9.</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8.2 sets forth that any charges or payments to the NV Energy EIM Entity pursuant to Section 29.11(b)(3)(B) and (C) of the CAISO Tariff for UIE that are not otherwise recovered under Schedules 4 or 9 shall not be sub-allocated to Transmission Customers.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8.3,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provides that any charges to the NV Energy EIM Entity pursuant to Section 29.11(c) of the CAISO Tariff for Unaccounted for Energy (UFE) shall not be sub-allocated to Transmission Customers.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8.4,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describes allocation of charges for under-scheduling or over-scheduling load.</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8.4.1,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requires the NV Energy EIM Entity to assign charges for under-scheduling load pursuant to Section 29.11(d)(1) of the CAISO Tariff to the Transmission Customers subject to Schedule 4 in the offending BAA that contributed to the imbalance based on their respective under-scheduling imbalance ratio share.</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8.4.2,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requires the NV Energy EIM Entity to assign charges for over-scheduling load pursuant to Section 29.11(d)(2) of the CAISO Tariff to the Transmission Customers subject to Schedule 4 in the offending BAA that contributed to the imbalance based on their respective over-scheduling imbalance ratio share.</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8.4.3,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sets forth the manner in which payment to the NV Energy EIM Entity pursuant to Section 29.11(d</w:t>
            </w:r>
            <w:proofErr w:type="gramStart"/>
            <w:r>
              <w:rPr>
                <w:rFonts w:eastAsia="Times New Roman"/>
                <w:color w:val="000000"/>
                <w:spacing w:val="-2"/>
              </w:rPr>
              <w:t>)(</w:t>
            </w:r>
            <w:proofErr w:type="gramEnd"/>
            <w:r>
              <w:rPr>
                <w:rFonts w:eastAsia="Times New Roman"/>
                <w:color w:val="000000"/>
                <w:spacing w:val="-2"/>
              </w:rPr>
              <w:t>3) of the CAISO Tariff shall be distributed to Transmission Customers in non-offending BAs.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8.5, Attachment P</w:t>
            </w:r>
          </w:p>
        </w:tc>
        <w:tc>
          <w:tcPr>
            <w:tcW w:w="7938" w:type="dxa"/>
          </w:tcPr>
          <w:p w:rsidR="006E6A3F" w:rsidRDefault="006E6A3F" w:rsidP="00707DE0">
            <w:pPr>
              <w:jc w:val="both"/>
              <w:textAlignment w:val="baseline"/>
              <w:rPr>
                <w:rFonts w:eastAsia="Times New Roman"/>
                <w:color w:val="000000"/>
              </w:rPr>
            </w:pPr>
            <w:r>
              <w:rPr>
                <w:rFonts w:eastAsia="Times New Roman"/>
                <w:color w:val="000000"/>
              </w:rPr>
              <w:t>Section regarding EIM uplifts.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8.5.1,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that charges to the NV Energy EIM Entity pursuant to Section 29.11(e</w:t>
            </w:r>
            <w:proofErr w:type="gramStart"/>
            <w:r>
              <w:rPr>
                <w:rFonts w:eastAsia="Times New Roman"/>
                <w:color w:val="000000"/>
              </w:rPr>
              <w:t>)(</w:t>
            </w:r>
            <w:proofErr w:type="gramEnd"/>
            <w:r>
              <w:rPr>
                <w:rFonts w:eastAsia="Times New Roman"/>
                <w:color w:val="000000"/>
              </w:rPr>
              <w:t>3) of the CAISO Tariff for EIM BAA real-time market neutrality will be sub-allocated to Transmission Customers based on Measured Demand.</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 xml:space="preserve">Section 8.5.2, </w:t>
            </w:r>
            <w:r>
              <w:rPr>
                <w:rFonts w:eastAsia="Times New Roman"/>
                <w:color w:val="000000"/>
              </w:rPr>
              <w:lastRenderedPageBreak/>
              <w:t>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lastRenderedPageBreak/>
              <w:t xml:space="preserve">Section sets forth that charges to the NV Energy EIM Entity pursuant to Section </w:t>
            </w:r>
            <w:r>
              <w:rPr>
                <w:rFonts w:eastAsia="Times New Roman"/>
                <w:color w:val="000000"/>
              </w:rPr>
              <w:lastRenderedPageBreak/>
              <w:t>29.11(e)(2) of the CAISO Tariff for the EIM real-time congestion offset will be sub-allocated to Transmission Customers based on Measured Demand.</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lastRenderedPageBreak/>
              <w:t>Section 8.5.3,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sets forth that charges to the NV Energy EIM Entity pursuant to Section 29.11(e</w:t>
            </w:r>
            <w:proofErr w:type="gramStart"/>
            <w:r>
              <w:rPr>
                <w:rFonts w:eastAsia="Times New Roman"/>
                <w:color w:val="000000"/>
              </w:rPr>
              <w:t>)(</w:t>
            </w:r>
            <w:proofErr w:type="gramEnd"/>
            <w:r>
              <w:rPr>
                <w:rFonts w:eastAsia="Times New Roman"/>
                <w:color w:val="000000"/>
              </w:rPr>
              <w:t>4) of the CAISO Tariff for real-time marginal cost of losses offset shall not be sub-allocated to Transmission Customers.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8.5.4,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the manner in which EIM neutrality settlements to the NV Energy EIM Entity pursuant to Section 29.11(e</w:t>
            </w:r>
            <w:proofErr w:type="gramStart"/>
            <w:r>
              <w:rPr>
                <w:rFonts w:eastAsia="Times New Roman"/>
                <w:color w:val="000000"/>
              </w:rPr>
              <w:t>)(</w:t>
            </w:r>
            <w:proofErr w:type="gramEnd"/>
            <w:r>
              <w:rPr>
                <w:rFonts w:eastAsia="Times New Roman"/>
                <w:color w:val="000000"/>
              </w:rPr>
              <w:t>5) of the CAISO Tariff for EIM shall be sub- allocated.</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8.5.5,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that charges to the NV Energy EIM Entity pursuant to Section 29.11(f) of the CAISO Tariff for EIM real-time bid cost recovery shall be sub-allocated to Transmission Customers based on Measured Demand.</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8.5.6,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that charges to the NV Energy EIM Entity pursuant to Section 29.11(g) of the CAISO Tariff for Flexible Ramping Constraint shall be sub-allocated to Transmission Customers based on Measured Demand.</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8.5.7,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sets forth that if the NV Energy EIM Entity incurs a penalty for inaccurate or late settlement quality meter data pursuant to Section 37.11.1 of the CAISO Tariff, the NV Energy EIM Entity shall directly assign the penalty to the offending Transmission Customer.</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8.5.8,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specifies the sub-allocation of ten other neutrality settlement charges assigned to the NV Energy EIM Entity.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8.6, Attachment P</w:t>
            </w:r>
          </w:p>
        </w:tc>
        <w:tc>
          <w:tcPr>
            <w:tcW w:w="7938" w:type="dxa"/>
          </w:tcPr>
          <w:p w:rsidR="006E6A3F" w:rsidRDefault="006E6A3F" w:rsidP="00707DE0">
            <w:pPr>
              <w:textAlignment w:val="baseline"/>
              <w:rPr>
                <w:rFonts w:eastAsia="Times New Roman"/>
                <w:color w:val="000000"/>
              </w:rPr>
            </w:pPr>
            <w:proofErr w:type="gramStart"/>
            <w:r>
              <w:rPr>
                <w:rFonts w:eastAsia="Times New Roman"/>
                <w:color w:val="000000"/>
              </w:rPr>
              <w:t>Sections requires</w:t>
            </w:r>
            <w:proofErr w:type="gramEnd"/>
            <w:r>
              <w:rPr>
                <w:rFonts w:eastAsia="Times New Roman"/>
                <w:color w:val="000000"/>
              </w:rPr>
              <w:t xml:space="preserve"> the sub-allocation of charges to the NV Energy EIM Entity pursuant to Section 29.22(a) of the CAISO Tariff for CAISO tax to the Transmission Customers triggering the tax liability.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8.7,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providing that there will be no separate EIM transmission service charges.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8.8, Attachment P</w:t>
            </w:r>
          </w:p>
        </w:tc>
        <w:tc>
          <w:tcPr>
            <w:tcW w:w="7938" w:type="dxa"/>
          </w:tcPr>
          <w:p w:rsidR="006E6A3F" w:rsidRDefault="006E6A3F" w:rsidP="00707DE0">
            <w:pPr>
              <w:textAlignment w:val="baseline"/>
              <w:rPr>
                <w:rFonts w:eastAsia="Times New Roman"/>
                <w:color w:val="000000"/>
                <w:spacing w:val="-2"/>
              </w:rPr>
            </w:pPr>
            <w:r>
              <w:rPr>
                <w:rFonts w:eastAsia="Times New Roman"/>
                <w:color w:val="000000"/>
              </w:rPr>
              <w:t>Section sets forth that charges to the NV Energy EIM Entity pursuant to Section 29.11(j) of the CAISO Tariff for variable energy resource forecasts shall be charged to the Transmission Customer with a Non-Participating Resource requesting the forecast.</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8.9, Attachment P</w:t>
            </w:r>
          </w:p>
        </w:tc>
        <w:tc>
          <w:tcPr>
            <w:tcW w:w="7938" w:type="dxa"/>
          </w:tcPr>
          <w:p w:rsidR="006E6A3F" w:rsidRDefault="006E6A3F" w:rsidP="00707DE0">
            <w:pPr>
              <w:jc w:val="both"/>
              <w:textAlignment w:val="baseline"/>
              <w:rPr>
                <w:rFonts w:eastAsia="Times New Roman"/>
                <w:color w:val="000000"/>
                <w:spacing w:val="-2"/>
              </w:rPr>
            </w:pPr>
            <w:r>
              <w:rPr>
                <w:rFonts w:eastAsia="Times New Roman"/>
                <w:color w:val="000000"/>
              </w:rPr>
              <w:t>Section provides that the NV Energy EIM Entity is subject to the CAISO’s payment calendar for issuing settlement statements, among other things, consistent with section 29.11(l) of the CAISO Tariff.</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8.10,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establishes a residual balancing account to the extent CAISO EIM-related charges or payments to the NV Energy EIM Entity are not captured elsewhere in Attachment H-1, Schedules 1, 4 and 9, or Section 8 of Attachment P of NV Energy’s OATT, until NV Energy makes a Federal Power Act Section 205 filing with FERC proposing an allocation methodology.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8.11, Attachment P</w:t>
            </w:r>
          </w:p>
        </w:tc>
        <w:tc>
          <w:tcPr>
            <w:tcW w:w="7938" w:type="dxa"/>
          </w:tcPr>
          <w:p w:rsidR="006E6A3F" w:rsidRDefault="006E6A3F" w:rsidP="00716DCB">
            <w:pPr>
              <w:textAlignment w:val="baseline"/>
              <w:rPr>
                <w:rFonts w:eastAsia="Times New Roman"/>
                <w:color w:val="000000"/>
              </w:rPr>
            </w:pPr>
            <w:r>
              <w:rPr>
                <w:rFonts w:eastAsia="Times New Roman"/>
                <w:color w:val="000000"/>
              </w:rPr>
              <w:t>Section provides that if the CAISO modifies the NV Energy EIM Entity settlement statement in accordance with the CAISO’s market validation and price correction procedures, the NV Energy EIM Entity reserves the right to make corresponding or similar changes to the charges and payments sub-allocated under Attachment P.</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8.12</w:t>
            </w:r>
          </w:p>
        </w:tc>
        <w:tc>
          <w:tcPr>
            <w:tcW w:w="7938" w:type="dxa"/>
          </w:tcPr>
          <w:p w:rsidR="006E6A3F" w:rsidRDefault="006E6A3F" w:rsidP="00707DE0">
            <w:pPr>
              <w:textAlignment w:val="baseline"/>
              <w:rPr>
                <w:rFonts w:eastAsia="Times New Roman"/>
                <w:color w:val="000000"/>
              </w:rPr>
            </w:pPr>
            <w:r>
              <w:rPr>
                <w:rFonts w:eastAsia="Times New Roman"/>
                <w:color w:val="000000"/>
              </w:rPr>
              <w:t>The Section addresses allocation of operating reserve obligations assessed by the CAISO to EIM Transfers for imbalances in the NV Energy BAAs.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9, Attachment</w:t>
            </w:r>
            <w:r w:rsidR="00076612">
              <w:rPr>
                <w:rFonts w:eastAsia="Times New Roman"/>
                <w:color w:val="000000"/>
              </w:rPr>
              <w:t xml:space="preserve"> </w:t>
            </w:r>
            <w:r>
              <w:rPr>
                <w:rFonts w:eastAsia="Times New Roman"/>
                <w:color w:val="000000"/>
              </w:rPr>
              <w:t>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responsibilities related to compliance.</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9.1,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requirements regarding the provision of data for the EIM and the treatment of confidential customer information provided to the NV Energy EIM Entity.</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9.2,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sets forth six rules of conduct for parties to satisfy associated EIM-related responsibilities.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 xml:space="preserve">Section 9.3, </w:t>
            </w:r>
            <w:r>
              <w:rPr>
                <w:rFonts w:eastAsia="Times New Roman"/>
                <w:color w:val="000000"/>
              </w:rPr>
              <w:lastRenderedPageBreak/>
              <w:t>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lastRenderedPageBreak/>
              <w:t>Section permits the NV Energy EIM Entity to refer a violation of Section 9.2 to FERC.</w:t>
            </w:r>
          </w:p>
        </w:tc>
      </w:tr>
      <w:tr w:rsidR="006E6A3F" w:rsidTr="00076612">
        <w:tc>
          <w:tcPr>
            <w:tcW w:w="1638" w:type="dxa"/>
          </w:tcPr>
          <w:p w:rsidR="006E6A3F" w:rsidRDefault="006E6A3F" w:rsidP="002508F6">
            <w:pPr>
              <w:textAlignment w:val="baseline"/>
              <w:rPr>
                <w:rFonts w:eastAsia="Times New Roman"/>
                <w:color w:val="000000"/>
              </w:rPr>
            </w:pPr>
            <w:r>
              <w:rPr>
                <w:rFonts w:eastAsia="Times New Roman"/>
                <w:color w:val="000000"/>
              </w:rPr>
              <w:lastRenderedPageBreak/>
              <w:t>Section 10,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regarding market contingencies.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10.1,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provides that if the CAISO implements a temporary suspension in accordance with Section 29.1(d)(1) of the CAISO Tariff, the NV Energy EIM Entity shall utilize Temporary Schedules 4,9, and 10.</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10.2,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permits the NV Energy EIM Entity to invoke enumerated corrective actions by the CAISO if the NV Energy EIM Entity submits a notice of termination of its participation in the EIM, including the utilization of Temporary Schedules 4, 9, and 10.</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10.3, Attachment P</w:t>
            </w:r>
          </w:p>
        </w:tc>
        <w:tc>
          <w:tcPr>
            <w:tcW w:w="7938" w:type="dxa"/>
          </w:tcPr>
          <w:p w:rsidR="006E6A3F" w:rsidRDefault="006E6A3F" w:rsidP="00707DE0">
            <w:pPr>
              <w:textAlignment w:val="baseline"/>
              <w:rPr>
                <w:rFonts w:eastAsia="Times New Roman"/>
                <w:color w:val="000000"/>
              </w:rPr>
            </w:pPr>
            <w:r>
              <w:rPr>
                <w:rFonts w:eastAsia="Times New Roman"/>
                <w:color w:val="000000"/>
              </w:rPr>
              <w:t>Section permits the NV Energy EIM Entity to declare a temporary contingency and invoke corrective actions for the EIM to address enumerated events.</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10.3.1, Attachment P</w:t>
            </w:r>
          </w:p>
        </w:tc>
        <w:tc>
          <w:tcPr>
            <w:tcW w:w="7938" w:type="dxa"/>
          </w:tcPr>
          <w:p w:rsidR="006E6A3F" w:rsidRDefault="006E6A3F" w:rsidP="00707DE0">
            <w:pPr>
              <w:textAlignment w:val="baseline"/>
              <w:rPr>
                <w:rFonts w:eastAsia="Times New Roman"/>
                <w:color w:val="000000"/>
              </w:rPr>
            </w:pPr>
            <w:r>
              <w:rPr>
                <w:rFonts w:eastAsia="Times New Roman"/>
                <w:color w:val="000000"/>
                <w:spacing w:val="-2"/>
              </w:rPr>
              <w:t>Section sets forth the corrective actions the NV Energy EIM Entity may take to respond to a temporary contingency, including the utilization of Temporary Schedules 4, 9, and 10.</w:t>
            </w:r>
          </w:p>
        </w:tc>
      </w:tr>
      <w:tr w:rsidR="006E6A3F" w:rsidTr="00076612">
        <w:tc>
          <w:tcPr>
            <w:tcW w:w="1638" w:type="dxa"/>
          </w:tcPr>
          <w:p w:rsidR="006E6A3F" w:rsidRDefault="006E6A3F" w:rsidP="00707DE0">
            <w:pPr>
              <w:textAlignment w:val="baseline"/>
              <w:rPr>
                <w:rFonts w:eastAsia="Times New Roman"/>
                <w:color w:val="000000"/>
              </w:rPr>
            </w:pPr>
            <w:r>
              <w:rPr>
                <w:rFonts w:eastAsia="Times New Roman"/>
                <w:color w:val="000000"/>
              </w:rPr>
              <w:t>Section 10.4, Attachment P</w:t>
            </w:r>
          </w:p>
        </w:tc>
        <w:tc>
          <w:tcPr>
            <w:tcW w:w="7938" w:type="dxa"/>
          </w:tcPr>
          <w:p w:rsidR="006E6A3F" w:rsidRDefault="006E6A3F" w:rsidP="00076612">
            <w:pPr>
              <w:textAlignment w:val="baseline"/>
              <w:rPr>
                <w:rFonts w:eastAsia="Times New Roman"/>
                <w:color w:val="000000"/>
                <w:spacing w:val="-2"/>
              </w:rPr>
            </w:pPr>
            <w:r>
              <w:rPr>
                <w:rFonts w:eastAsia="Times New Roman"/>
                <w:color w:val="000000"/>
              </w:rPr>
              <w:t>Section sets forth the Temporary Schedules 4, 9 and 10 that shall be utilized by the NV Energy EIM Entity upon the occurrence of specified market contingencies. Temporary Schedules 4, 9, and 10 are substantively identical to current Schedules 4 and 9 in NV Energy’s OATT.</w:t>
            </w:r>
          </w:p>
        </w:tc>
      </w:tr>
      <w:tr w:rsidR="00833887" w:rsidTr="00076612">
        <w:tc>
          <w:tcPr>
            <w:tcW w:w="1638" w:type="dxa"/>
          </w:tcPr>
          <w:p w:rsidR="00833887" w:rsidRDefault="00833887" w:rsidP="00707DE0">
            <w:pPr>
              <w:textAlignment w:val="baseline"/>
              <w:rPr>
                <w:rFonts w:eastAsia="Times New Roman"/>
                <w:color w:val="000000"/>
              </w:rPr>
            </w:pPr>
          </w:p>
        </w:tc>
        <w:tc>
          <w:tcPr>
            <w:tcW w:w="7938" w:type="dxa"/>
          </w:tcPr>
          <w:p w:rsidR="00833887" w:rsidRDefault="00833887" w:rsidP="00312861">
            <w:pPr>
              <w:textAlignment w:val="baseline"/>
              <w:rPr>
                <w:rFonts w:eastAsia="Times New Roman"/>
                <w:color w:val="000000"/>
                <w:spacing w:val="-2"/>
              </w:rPr>
            </w:pPr>
          </w:p>
        </w:tc>
      </w:tr>
      <w:tr w:rsidR="00833887" w:rsidTr="00076612">
        <w:tc>
          <w:tcPr>
            <w:tcW w:w="1638" w:type="dxa"/>
          </w:tcPr>
          <w:p w:rsidR="00833887" w:rsidRDefault="00833887" w:rsidP="00707DE0">
            <w:pPr>
              <w:textAlignment w:val="baseline"/>
              <w:rPr>
                <w:rFonts w:eastAsia="Times New Roman"/>
                <w:color w:val="000000"/>
              </w:rPr>
            </w:pPr>
          </w:p>
        </w:tc>
        <w:tc>
          <w:tcPr>
            <w:tcW w:w="7938" w:type="dxa"/>
          </w:tcPr>
          <w:p w:rsidR="00833887" w:rsidRDefault="00833887" w:rsidP="00707DE0">
            <w:pPr>
              <w:textAlignment w:val="baseline"/>
              <w:rPr>
                <w:rFonts w:eastAsia="Times New Roman"/>
                <w:color w:val="000000"/>
              </w:rPr>
            </w:pPr>
          </w:p>
        </w:tc>
      </w:tr>
      <w:tr w:rsidR="00833887" w:rsidTr="00076612">
        <w:tc>
          <w:tcPr>
            <w:tcW w:w="1638" w:type="dxa"/>
          </w:tcPr>
          <w:p w:rsidR="00833887" w:rsidRDefault="00833887" w:rsidP="00707DE0">
            <w:pPr>
              <w:textAlignment w:val="baseline"/>
              <w:rPr>
                <w:rFonts w:eastAsia="Times New Roman"/>
                <w:color w:val="000000"/>
              </w:rPr>
            </w:pPr>
          </w:p>
        </w:tc>
        <w:tc>
          <w:tcPr>
            <w:tcW w:w="7938" w:type="dxa"/>
          </w:tcPr>
          <w:p w:rsidR="00833887" w:rsidRDefault="00833887" w:rsidP="0046392C">
            <w:pPr>
              <w:textAlignment w:val="baseline"/>
              <w:rPr>
                <w:rFonts w:eastAsia="Times New Roman"/>
                <w:color w:val="000000"/>
                <w:spacing w:val="-2"/>
              </w:rPr>
            </w:pPr>
          </w:p>
        </w:tc>
      </w:tr>
      <w:tr w:rsidR="00833887" w:rsidTr="00076612">
        <w:tc>
          <w:tcPr>
            <w:tcW w:w="1638" w:type="dxa"/>
          </w:tcPr>
          <w:p w:rsidR="00833887" w:rsidRDefault="00833887" w:rsidP="00092ED9">
            <w:pPr>
              <w:textAlignment w:val="baseline"/>
              <w:rPr>
                <w:rFonts w:eastAsia="Times New Roman"/>
                <w:color w:val="000000"/>
              </w:rPr>
            </w:pPr>
          </w:p>
        </w:tc>
        <w:tc>
          <w:tcPr>
            <w:tcW w:w="7938" w:type="dxa"/>
          </w:tcPr>
          <w:p w:rsidR="00833887" w:rsidRDefault="00833887" w:rsidP="0046392C">
            <w:pPr>
              <w:textAlignment w:val="baseline"/>
              <w:rPr>
                <w:rFonts w:eastAsia="Times New Roman"/>
                <w:color w:val="000000"/>
              </w:rPr>
            </w:pPr>
          </w:p>
        </w:tc>
      </w:tr>
    </w:tbl>
    <w:p w:rsidR="00BC6F34" w:rsidRDefault="00BC6F34" w:rsidP="00BC6F34">
      <w:pPr>
        <w:spacing w:before="16" w:line="316" w:lineRule="exact"/>
        <w:textAlignment w:val="baseline"/>
        <w:rPr>
          <w:rFonts w:eastAsia="Times New Roman"/>
          <w:b/>
          <w:color w:val="000000"/>
          <w:spacing w:val="-2"/>
          <w:sz w:val="24"/>
        </w:rPr>
      </w:pPr>
    </w:p>
    <w:p w:rsidR="009666AD" w:rsidRDefault="009666AD" w:rsidP="00BC6F34">
      <w:pPr>
        <w:spacing w:before="16" w:line="316" w:lineRule="exact"/>
        <w:textAlignment w:val="baseline"/>
        <w:rPr>
          <w:rFonts w:eastAsia="Times New Roman"/>
          <w:b/>
          <w:color w:val="000000"/>
          <w:spacing w:val="-2"/>
          <w:sz w:val="24"/>
        </w:rPr>
      </w:pPr>
    </w:p>
    <w:p w:rsidR="00757488" w:rsidRDefault="00757488" w:rsidP="00BC6F34">
      <w:pPr>
        <w:spacing w:before="16" w:line="316" w:lineRule="exact"/>
        <w:textAlignment w:val="baseline"/>
        <w:rPr>
          <w:rFonts w:eastAsia="Times New Roman"/>
          <w:b/>
          <w:color w:val="000000"/>
          <w:spacing w:val="-2"/>
          <w:sz w:val="24"/>
        </w:rPr>
      </w:pPr>
    </w:p>
    <w:p w:rsidR="00757488" w:rsidRDefault="00757488" w:rsidP="00BC6F34">
      <w:pPr>
        <w:spacing w:before="16" w:line="316" w:lineRule="exact"/>
        <w:textAlignment w:val="baseline"/>
        <w:rPr>
          <w:rFonts w:eastAsia="Times New Roman"/>
          <w:b/>
          <w:color w:val="000000"/>
          <w:spacing w:val="-2"/>
          <w:sz w:val="24"/>
        </w:rPr>
      </w:pPr>
    </w:p>
    <w:sectPr w:rsidR="00757488" w:rsidSect="00076612">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7C" w:rsidRDefault="004E227C" w:rsidP="004B64D0">
      <w:r>
        <w:separator/>
      </w:r>
    </w:p>
  </w:endnote>
  <w:endnote w:type="continuationSeparator" w:id="0">
    <w:p w:rsidR="004E227C" w:rsidRDefault="004E227C" w:rsidP="004B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637549"/>
      <w:docPartObj>
        <w:docPartGallery w:val="Page Numbers (Bottom of Page)"/>
        <w:docPartUnique/>
      </w:docPartObj>
    </w:sdtPr>
    <w:sdtEndPr>
      <w:rPr>
        <w:noProof/>
      </w:rPr>
    </w:sdtEndPr>
    <w:sdtContent>
      <w:p w:rsidR="00076612" w:rsidRDefault="007B4758">
        <w:pPr>
          <w:pStyle w:val="Footer"/>
          <w:jc w:val="right"/>
        </w:pPr>
        <w:r>
          <w:fldChar w:fldCharType="begin"/>
        </w:r>
        <w:r w:rsidR="00076612">
          <w:instrText xml:space="preserve"> PAGE   \* MERGEFORMAT </w:instrText>
        </w:r>
        <w:r>
          <w:fldChar w:fldCharType="separate"/>
        </w:r>
        <w:r w:rsidR="003669FE">
          <w:rPr>
            <w:noProof/>
          </w:rPr>
          <w:t>10</w:t>
        </w:r>
        <w:r>
          <w:rPr>
            <w:noProof/>
          </w:rPr>
          <w:fldChar w:fldCharType="end"/>
        </w:r>
      </w:p>
    </w:sdtContent>
  </w:sdt>
  <w:p w:rsidR="002F1F87" w:rsidRDefault="002F1F87" w:rsidP="004B64D0">
    <w:pPr>
      <w:pStyle w:val="Foote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7C" w:rsidRDefault="004E227C" w:rsidP="004B64D0">
      <w:r>
        <w:separator/>
      </w:r>
    </w:p>
  </w:footnote>
  <w:footnote w:type="continuationSeparator" w:id="0">
    <w:p w:rsidR="004E227C" w:rsidRDefault="004E227C" w:rsidP="004B6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
  <w:rsids>
    <w:rsidRoot w:val="00566074"/>
    <w:rsid w:val="00034BD6"/>
    <w:rsid w:val="00042943"/>
    <w:rsid w:val="00047A96"/>
    <w:rsid w:val="00072AEE"/>
    <w:rsid w:val="00076612"/>
    <w:rsid w:val="00092ED9"/>
    <w:rsid w:val="000A3A51"/>
    <w:rsid w:val="00144EE4"/>
    <w:rsid w:val="00160DC5"/>
    <w:rsid w:val="00162036"/>
    <w:rsid w:val="00187770"/>
    <w:rsid w:val="001A6F92"/>
    <w:rsid w:val="001E140B"/>
    <w:rsid w:val="00227708"/>
    <w:rsid w:val="002508F6"/>
    <w:rsid w:val="0025415A"/>
    <w:rsid w:val="002A06A0"/>
    <w:rsid w:val="002A1732"/>
    <w:rsid w:val="002F1F87"/>
    <w:rsid w:val="00312861"/>
    <w:rsid w:val="00340C95"/>
    <w:rsid w:val="00354F46"/>
    <w:rsid w:val="00360D37"/>
    <w:rsid w:val="003669FE"/>
    <w:rsid w:val="00367396"/>
    <w:rsid w:val="0037007B"/>
    <w:rsid w:val="003A652D"/>
    <w:rsid w:val="003A758E"/>
    <w:rsid w:val="003D1C7B"/>
    <w:rsid w:val="00405BD4"/>
    <w:rsid w:val="004073A1"/>
    <w:rsid w:val="00410FFB"/>
    <w:rsid w:val="00443EA3"/>
    <w:rsid w:val="00445E20"/>
    <w:rsid w:val="0046392C"/>
    <w:rsid w:val="00471455"/>
    <w:rsid w:val="004737A9"/>
    <w:rsid w:val="004A3597"/>
    <w:rsid w:val="004B64D0"/>
    <w:rsid w:val="004D2177"/>
    <w:rsid w:val="004D5972"/>
    <w:rsid w:val="004E227C"/>
    <w:rsid w:val="004E7A4D"/>
    <w:rsid w:val="0050604B"/>
    <w:rsid w:val="00566074"/>
    <w:rsid w:val="00570D8A"/>
    <w:rsid w:val="005F0574"/>
    <w:rsid w:val="00602C4F"/>
    <w:rsid w:val="006144D6"/>
    <w:rsid w:val="00635AD4"/>
    <w:rsid w:val="00672E4C"/>
    <w:rsid w:val="006E6A3F"/>
    <w:rsid w:val="00707DE0"/>
    <w:rsid w:val="00716D16"/>
    <w:rsid w:val="00716DCB"/>
    <w:rsid w:val="0072746F"/>
    <w:rsid w:val="00741A44"/>
    <w:rsid w:val="00757488"/>
    <w:rsid w:val="0076630F"/>
    <w:rsid w:val="007A5715"/>
    <w:rsid w:val="007B4758"/>
    <w:rsid w:val="007D2BD5"/>
    <w:rsid w:val="007E074B"/>
    <w:rsid w:val="007F0EEF"/>
    <w:rsid w:val="007F4503"/>
    <w:rsid w:val="00833887"/>
    <w:rsid w:val="00850942"/>
    <w:rsid w:val="0086302C"/>
    <w:rsid w:val="008B5CA3"/>
    <w:rsid w:val="008F0CA1"/>
    <w:rsid w:val="00926BD6"/>
    <w:rsid w:val="00953756"/>
    <w:rsid w:val="009666AD"/>
    <w:rsid w:val="009855A8"/>
    <w:rsid w:val="0098641B"/>
    <w:rsid w:val="009B19DF"/>
    <w:rsid w:val="009B7530"/>
    <w:rsid w:val="009F7E24"/>
    <w:rsid w:val="00A60388"/>
    <w:rsid w:val="00AB63E5"/>
    <w:rsid w:val="00AE22DC"/>
    <w:rsid w:val="00AF4E02"/>
    <w:rsid w:val="00B527E2"/>
    <w:rsid w:val="00BC6F34"/>
    <w:rsid w:val="00C21E7D"/>
    <w:rsid w:val="00C24E0C"/>
    <w:rsid w:val="00C96446"/>
    <w:rsid w:val="00CA2E3C"/>
    <w:rsid w:val="00CE0602"/>
    <w:rsid w:val="00CF2F1F"/>
    <w:rsid w:val="00D65703"/>
    <w:rsid w:val="00DD2BFE"/>
    <w:rsid w:val="00E20A43"/>
    <w:rsid w:val="00E44F02"/>
    <w:rsid w:val="00E57315"/>
    <w:rsid w:val="00E85019"/>
    <w:rsid w:val="00ED5592"/>
    <w:rsid w:val="00F03637"/>
    <w:rsid w:val="00F25DCC"/>
    <w:rsid w:val="00F33BCD"/>
    <w:rsid w:val="00F41D06"/>
    <w:rsid w:val="00F50C15"/>
    <w:rsid w:val="00F83F82"/>
    <w:rsid w:val="00FB30D8"/>
    <w:rsid w:val="00FE1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6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D0"/>
    <w:pPr>
      <w:tabs>
        <w:tab w:val="center" w:pos="4680"/>
        <w:tab w:val="right" w:pos="9360"/>
      </w:tabs>
    </w:pPr>
  </w:style>
  <w:style w:type="character" w:customStyle="1" w:styleId="HeaderChar">
    <w:name w:val="Header Char"/>
    <w:basedOn w:val="DefaultParagraphFont"/>
    <w:link w:val="Header"/>
    <w:uiPriority w:val="99"/>
    <w:rsid w:val="004B64D0"/>
  </w:style>
  <w:style w:type="paragraph" w:styleId="Footer">
    <w:name w:val="footer"/>
    <w:basedOn w:val="Normal"/>
    <w:link w:val="FooterChar"/>
    <w:uiPriority w:val="99"/>
    <w:unhideWhenUsed/>
    <w:rsid w:val="004B64D0"/>
    <w:pPr>
      <w:tabs>
        <w:tab w:val="center" w:pos="4680"/>
        <w:tab w:val="right" w:pos="9360"/>
      </w:tabs>
    </w:pPr>
  </w:style>
  <w:style w:type="character" w:customStyle="1" w:styleId="FooterChar">
    <w:name w:val="Footer Char"/>
    <w:basedOn w:val="DefaultParagraphFont"/>
    <w:link w:val="Footer"/>
    <w:uiPriority w:val="99"/>
    <w:rsid w:val="004B64D0"/>
  </w:style>
  <w:style w:type="character" w:customStyle="1" w:styleId="zzmpTrailerItem">
    <w:name w:val="zzmpTrailerItem"/>
    <w:basedOn w:val="DefaultParagraphFont"/>
    <w:rsid w:val="004B64D0"/>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BC6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4A3597"/>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6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D0"/>
    <w:pPr>
      <w:tabs>
        <w:tab w:val="center" w:pos="4680"/>
        <w:tab w:val="right" w:pos="9360"/>
      </w:tabs>
    </w:pPr>
  </w:style>
  <w:style w:type="character" w:customStyle="1" w:styleId="HeaderChar">
    <w:name w:val="Header Char"/>
    <w:basedOn w:val="DefaultParagraphFont"/>
    <w:link w:val="Header"/>
    <w:uiPriority w:val="99"/>
    <w:rsid w:val="004B64D0"/>
  </w:style>
  <w:style w:type="paragraph" w:styleId="Footer">
    <w:name w:val="footer"/>
    <w:basedOn w:val="Normal"/>
    <w:link w:val="FooterChar"/>
    <w:uiPriority w:val="99"/>
    <w:unhideWhenUsed/>
    <w:rsid w:val="004B64D0"/>
    <w:pPr>
      <w:tabs>
        <w:tab w:val="center" w:pos="4680"/>
        <w:tab w:val="right" w:pos="9360"/>
      </w:tabs>
    </w:pPr>
  </w:style>
  <w:style w:type="character" w:customStyle="1" w:styleId="FooterChar">
    <w:name w:val="Footer Char"/>
    <w:basedOn w:val="DefaultParagraphFont"/>
    <w:link w:val="Footer"/>
    <w:uiPriority w:val="99"/>
    <w:rsid w:val="004B64D0"/>
  </w:style>
  <w:style w:type="character" w:customStyle="1" w:styleId="zzmpTrailerItem">
    <w:name w:val="zzmpTrailerItem"/>
    <w:basedOn w:val="DefaultParagraphFont"/>
    <w:rsid w:val="004B64D0"/>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BC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4A3597"/>
    <w:rPr>
      <w:color w:val="0000FF"/>
      <w:u w:val="doub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4947</Words>
  <Characters>28203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2014-09-22T14:58:00Z</dcterms:created>
  <dcterms:modified xsi:type="dcterms:W3CDTF">2014-09-22T16:59:00Z</dcterms:modified>
</cp:coreProperties>
</file>