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D15DC4" w:rsidRDefault="005B29DB" w:rsidP="00242066">
            <w:pPr>
              <w:rPr>
                <w:rFonts w:ascii="Arial" w:hAnsi="Arial" w:cs="Arial"/>
                <w:b/>
                <w:i/>
                <w:iCs/>
                <w:sz w:val="22"/>
                <w:szCs w:val="22"/>
              </w:rPr>
            </w:pPr>
            <w:r>
              <w:rPr>
                <w:rFonts w:ascii="Arial" w:hAnsi="Arial" w:cs="Arial"/>
                <w:b/>
                <w:i/>
                <w:iCs/>
                <w:sz w:val="22"/>
                <w:szCs w:val="22"/>
              </w:rPr>
              <w:t xml:space="preserve"> 17-02016</w:t>
            </w:r>
          </w:p>
          <w:p w:rsidR="00D50FDF" w:rsidRPr="003B3853" w:rsidRDefault="00D50FDF" w:rsidP="00242066">
            <w:pPr>
              <w:rPr>
                <w:rFonts w:ascii="Arial" w:hAnsi="Arial" w:cs="Arial"/>
                <w:b/>
                <w:sz w:val="22"/>
                <w:szCs w:val="22"/>
              </w:rPr>
            </w:pPr>
            <w:r>
              <w:rPr>
                <w:rFonts w:ascii="Arial" w:hAnsi="Arial" w:cs="Arial"/>
                <w:b/>
                <w:i/>
                <w:iCs/>
                <w:sz w:val="22"/>
                <w:szCs w:val="22"/>
              </w:rPr>
              <w:t xml:space="preserve"> 17-0</w:t>
            </w:r>
            <w:r w:rsidR="005B29DB">
              <w:rPr>
                <w:rFonts w:ascii="Arial" w:hAnsi="Arial" w:cs="Arial"/>
                <w:b/>
                <w:i/>
                <w:iCs/>
                <w:sz w:val="22"/>
                <w:szCs w:val="22"/>
              </w:rPr>
              <w:t>2019</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D15DC4" w:rsidRDefault="001B398D" w:rsidP="00E40425">
            <w:pPr>
              <w:rPr>
                <w:rFonts w:ascii="Arial" w:hAnsi="Arial" w:cs="Arial"/>
                <w:b/>
                <w:i/>
                <w:iCs/>
                <w:sz w:val="22"/>
                <w:szCs w:val="22"/>
              </w:rPr>
            </w:pPr>
            <w:r>
              <w:rPr>
                <w:rFonts w:ascii="Arial" w:hAnsi="Arial" w:cs="Arial"/>
                <w:b/>
                <w:i/>
                <w:iCs/>
                <w:sz w:val="22"/>
                <w:szCs w:val="22"/>
              </w:rPr>
              <w:t xml:space="preserve">      </w:t>
            </w:r>
            <w:r w:rsidR="00E40425">
              <w:rPr>
                <w:rFonts w:ascii="Arial" w:hAnsi="Arial" w:cs="Arial"/>
                <w:b/>
                <w:i/>
                <w:iCs/>
                <w:sz w:val="22"/>
                <w:szCs w:val="22"/>
              </w:rPr>
              <w:t xml:space="preserve"> </w:t>
            </w:r>
            <w:r>
              <w:rPr>
                <w:rFonts w:ascii="Arial" w:hAnsi="Arial" w:cs="Arial"/>
                <w:b/>
                <w:i/>
                <w:iCs/>
                <w:sz w:val="22"/>
                <w:szCs w:val="22"/>
              </w:rPr>
              <w:t xml:space="preserve">  </w:t>
            </w:r>
            <w:r w:rsidR="005B29DB">
              <w:rPr>
                <w:rFonts w:ascii="Arial" w:hAnsi="Arial" w:cs="Arial"/>
                <w:b/>
                <w:i/>
                <w:iCs/>
                <w:sz w:val="22"/>
                <w:szCs w:val="22"/>
              </w:rPr>
              <w:t>1-15362799</w:t>
            </w:r>
          </w:p>
          <w:p w:rsidR="00D50FDF" w:rsidRDefault="00D17299" w:rsidP="00E40425">
            <w:pPr>
              <w:rPr>
                <w:rFonts w:ascii="Arial" w:hAnsi="Arial" w:cs="Arial"/>
                <w:b/>
                <w:i/>
                <w:iCs/>
                <w:sz w:val="22"/>
                <w:szCs w:val="22"/>
              </w:rPr>
            </w:pPr>
            <w:r>
              <w:rPr>
                <w:rFonts w:ascii="Arial" w:hAnsi="Arial" w:cs="Arial"/>
                <w:b/>
                <w:i/>
                <w:iCs/>
                <w:sz w:val="22"/>
                <w:szCs w:val="22"/>
              </w:rPr>
              <w:t xml:space="preserve">         </w:t>
            </w:r>
            <w:r w:rsidR="005B29DB">
              <w:rPr>
                <w:rFonts w:ascii="Arial" w:hAnsi="Arial" w:cs="Arial"/>
                <w:b/>
                <w:i/>
                <w:iCs/>
                <w:sz w:val="22"/>
                <w:szCs w:val="22"/>
              </w:rPr>
              <w:t>1-15437393</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866503" w:rsidRDefault="00866503" w:rsidP="00242066">
            <w:pPr>
              <w:spacing w:after="58"/>
            </w:pPr>
            <w:r>
              <w:t>115 kV Line ST5</w:t>
            </w:r>
            <w:r>
              <w:t xml:space="preserve"> (Seven Sisters – </w:t>
            </w:r>
            <w:proofErr w:type="spellStart"/>
            <w:r>
              <w:t>Transcona</w:t>
            </w:r>
            <w:proofErr w:type="spellEnd"/>
            <w:r>
              <w:t>)</w:t>
            </w:r>
          </w:p>
          <w:p w:rsidR="00A105BD" w:rsidRPr="007C05E9" w:rsidRDefault="00866503" w:rsidP="00242066">
            <w:pPr>
              <w:spacing w:after="58"/>
            </w:pPr>
            <w:r>
              <w:t>115 kV Line ST6 (</w:t>
            </w:r>
            <w:proofErr w:type="spellStart"/>
            <w:r>
              <w:t>Anola</w:t>
            </w:r>
            <w:proofErr w:type="spellEnd"/>
            <w:r w:rsidR="00A105BD">
              <w:t xml:space="preserve"> – </w:t>
            </w:r>
            <w:proofErr w:type="spellStart"/>
            <w:r w:rsidR="00A105BD">
              <w:t>Transcona</w:t>
            </w:r>
            <w:proofErr w:type="spellEnd"/>
            <w:r w:rsidR="00A105BD">
              <w: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66503">
              <w:rPr>
                <w:sz w:val="22"/>
                <w:szCs w:val="22"/>
              </w:rPr>
              <w:t>10</w:t>
            </w:r>
            <w:r w:rsidR="00A80CBC">
              <w:rPr>
                <w:sz w:val="22"/>
                <w:szCs w:val="22"/>
              </w:rPr>
              <w:t>-</w:t>
            </w:r>
            <w:r w:rsidR="00866503">
              <w:rPr>
                <w:sz w:val="22"/>
                <w:szCs w:val="22"/>
              </w:rPr>
              <w:t>24</w:t>
            </w:r>
            <w:r w:rsidR="001A7593">
              <w:rPr>
                <w:sz w:val="22"/>
                <w:szCs w:val="22"/>
              </w:rPr>
              <w:t xml:space="preserve"> from </w:t>
            </w:r>
            <w:r w:rsidR="00866503">
              <w:rPr>
                <w:sz w:val="22"/>
                <w:szCs w:val="22"/>
              </w:rPr>
              <w:t>080</w:t>
            </w:r>
            <w:r w:rsidR="00E40425">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866503">
              <w:rPr>
                <w:sz w:val="22"/>
                <w:szCs w:val="22"/>
              </w:rPr>
              <w:t>10</w:t>
            </w:r>
            <w:r w:rsidR="00524FD6">
              <w:rPr>
                <w:sz w:val="22"/>
                <w:szCs w:val="22"/>
              </w:rPr>
              <w:t>-</w:t>
            </w:r>
            <w:r w:rsidR="00866503">
              <w:rPr>
                <w:sz w:val="22"/>
                <w:szCs w:val="22"/>
              </w:rPr>
              <w:t>27</w:t>
            </w:r>
            <w:r w:rsidR="00926D01">
              <w:rPr>
                <w:sz w:val="22"/>
                <w:szCs w:val="22"/>
              </w:rPr>
              <w:t xml:space="preserve"> a</w:t>
            </w:r>
            <w:r w:rsidR="00524FD6">
              <w:rPr>
                <w:sz w:val="22"/>
                <w:szCs w:val="22"/>
              </w:rPr>
              <w:t xml:space="preserve">t </w:t>
            </w:r>
            <w:r w:rsidR="00D74184">
              <w:rPr>
                <w:sz w:val="22"/>
                <w:szCs w:val="22"/>
              </w:rPr>
              <w:t>1</w:t>
            </w:r>
            <w:r w:rsidR="00866503">
              <w:rPr>
                <w:sz w:val="22"/>
                <w:szCs w:val="22"/>
              </w:rPr>
              <w:t>63</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866503">
              <w:rPr>
                <w:sz w:val="22"/>
                <w:szCs w:val="22"/>
              </w:rPr>
              <w:t>10</w:t>
            </w:r>
            <w:r w:rsidR="00C64ED5">
              <w:rPr>
                <w:sz w:val="22"/>
                <w:szCs w:val="22"/>
              </w:rPr>
              <w:t>-</w:t>
            </w:r>
            <w:r w:rsidR="00866503">
              <w:rPr>
                <w:sz w:val="22"/>
                <w:szCs w:val="22"/>
              </w:rPr>
              <w:t>24</w:t>
            </w:r>
            <w:r w:rsidR="00C64ED5">
              <w:rPr>
                <w:sz w:val="22"/>
                <w:szCs w:val="22"/>
              </w:rPr>
              <w:t xml:space="preserve"> from </w:t>
            </w:r>
            <w:r w:rsidR="00866503">
              <w:rPr>
                <w:sz w:val="22"/>
                <w:szCs w:val="22"/>
              </w:rPr>
              <w:t>080</w:t>
            </w:r>
            <w:r w:rsidR="00E40425">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866503">
              <w:rPr>
                <w:sz w:val="22"/>
                <w:szCs w:val="22"/>
              </w:rPr>
              <w:t>10</w:t>
            </w:r>
            <w:r w:rsidR="00524FD6">
              <w:rPr>
                <w:sz w:val="22"/>
                <w:szCs w:val="22"/>
              </w:rPr>
              <w:t>-</w:t>
            </w:r>
            <w:r w:rsidR="00866503">
              <w:rPr>
                <w:sz w:val="22"/>
                <w:szCs w:val="22"/>
              </w:rPr>
              <w:t>27</w:t>
            </w:r>
            <w:r w:rsidR="00524FD6">
              <w:rPr>
                <w:sz w:val="22"/>
                <w:szCs w:val="22"/>
              </w:rPr>
              <w:t xml:space="preserve"> at </w:t>
            </w:r>
            <w:r w:rsidR="00D74184">
              <w:rPr>
                <w:sz w:val="22"/>
                <w:szCs w:val="22"/>
              </w:rPr>
              <w:t>1</w:t>
            </w:r>
            <w:r w:rsidR="006E4B79">
              <w:rPr>
                <w:sz w:val="22"/>
                <w:szCs w:val="22"/>
              </w:rPr>
              <w:t>6</w:t>
            </w:r>
            <w:r w:rsidR="00866503">
              <w:rPr>
                <w:sz w:val="22"/>
                <w:szCs w:val="22"/>
              </w:rPr>
              <w:t>3</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D17299">
              <w:t xml:space="preserve">- Generation Pattern 1, 3 and 5 (Summer </w:t>
            </w:r>
            <w:r w:rsidR="00242066">
              <w:t>1</w:t>
            </w:r>
            <w:r w:rsidR="00D17299">
              <w:t>66- 550</w:t>
            </w:r>
            <w:r w:rsidR="00242066">
              <w:t xml:space="preserve">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BC67A4" w:rsidRPr="00B41D2B" w:rsidRDefault="00866503" w:rsidP="00242066">
            <w:r>
              <w:t xml:space="preserve">ST5 &amp; ST6 – </w:t>
            </w:r>
            <w:r>
              <w:t xml:space="preserve">Install new tower </w:t>
            </w:r>
            <w:r w:rsidRPr="00B46288">
              <w:t>for new Riel Electrod</w:t>
            </w:r>
            <w:r>
              <w:t>e line that will pass under the</w:t>
            </w:r>
            <w:r w:rsidRPr="00B46288">
              <w:t xml:space="preserve"> line</w:t>
            </w:r>
            <w:r>
              <w:t>.</w:t>
            </w:r>
          </w:p>
        </w:tc>
      </w:tr>
    </w:tbl>
    <w:bookmarkStart w:id="51" w:name="_MON_1317120208"/>
    <w:bookmarkStart w:id="52" w:name="_MON_1318056200"/>
    <w:bookmarkStart w:id="53" w:name="_MON_1318057265"/>
    <w:bookmarkStart w:id="54" w:name="_MON_1318143451"/>
    <w:bookmarkStart w:id="55" w:name="_MON_1318159763"/>
    <w:bookmarkStart w:id="56" w:name="_MON_1318159905"/>
    <w:bookmarkStart w:id="57" w:name="_MON_1318160127"/>
    <w:bookmarkStart w:id="58" w:name="_MON_1320564806"/>
    <w:bookmarkStart w:id="59" w:name="_MON_1321878920"/>
    <w:bookmarkStart w:id="60" w:name="_MON_1324808922"/>
    <w:bookmarkStart w:id="61" w:name="_MON_1324811031"/>
    <w:bookmarkStart w:id="62" w:name="_MON_1334045256"/>
    <w:bookmarkStart w:id="63" w:name="_MON_1337411156"/>
    <w:bookmarkStart w:id="64" w:name="_MON_1337413679"/>
    <w:bookmarkStart w:id="65" w:name="_MON_1337667673"/>
    <w:bookmarkStart w:id="66" w:name="_MON_1337668215"/>
    <w:bookmarkStart w:id="67" w:name="_MON_1340010796"/>
    <w:bookmarkStart w:id="68" w:name="_MON_1342331775"/>
    <w:bookmarkStart w:id="69" w:name="_MON_1342596813"/>
    <w:bookmarkStart w:id="70" w:name="_MON_1343034919"/>
    <w:bookmarkStart w:id="71" w:name="_MON_1343722081"/>
    <w:bookmarkStart w:id="72" w:name="_MON_1343820433"/>
    <w:bookmarkStart w:id="73" w:name="_MON_1344767399"/>
    <w:bookmarkStart w:id="74" w:name="_MON_1344772010"/>
    <w:bookmarkStart w:id="75" w:name="_MON_1346067167"/>
    <w:bookmarkStart w:id="76" w:name="_MON_1346133990"/>
    <w:bookmarkStart w:id="77" w:name="_MON_1349858579"/>
    <w:bookmarkStart w:id="78" w:name="_MON_1349862462"/>
    <w:bookmarkStart w:id="79" w:name="_MON_1349862608"/>
    <w:bookmarkStart w:id="80" w:name="_MON_1349862737"/>
    <w:bookmarkStart w:id="81" w:name="_MON_1349862950"/>
    <w:bookmarkStart w:id="82" w:name="_MON_1363000740"/>
    <w:bookmarkStart w:id="83" w:name="_MON_1363081452"/>
    <w:bookmarkStart w:id="84" w:name="_MON_1364379757"/>
    <w:bookmarkStart w:id="85" w:name="_MON_1364379835"/>
    <w:bookmarkStart w:id="86" w:name="_MON_1365570454"/>
    <w:bookmarkStart w:id="87" w:name="_MON_1365578718"/>
    <w:bookmarkStart w:id="88" w:name="_MON_1365578762"/>
    <w:bookmarkStart w:id="89" w:name="_MON_1365582573"/>
    <w:bookmarkStart w:id="90" w:name="_MON_1366009633"/>
    <w:bookmarkStart w:id="91" w:name="_MON_1366011108"/>
    <w:bookmarkStart w:id="92" w:name="_MON_1367060692"/>
    <w:bookmarkStart w:id="93" w:name="_MON_1367060775"/>
    <w:bookmarkStart w:id="94" w:name="_MON_1367143761"/>
    <w:bookmarkStart w:id="95" w:name="_MON_1367145126"/>
    <w:bookmarkStart w:id="96" w:name="_MON_1367145999"/>
    <w:bookmarkStart w:id="97" w:name="_MON_1367408689"/>
    <w:bookmarkStart w:id="98" w:name="_MON_1367409024"/>
    <w:bookmarkStart w:id="99" w:name="_MON_1367409257"/>
    <w:bookmarkStart w:id="100" w:name="_MON_1371363154"/>
    <w:bookmarkStart w:id="101" w:name="_MON_1371363169"/>
    <w:bookmarkStart w:id="102" w:name="_MON_1371363225"/>
    <w:bookmarkStart w:id="103" w:name="_MON_1371368943"/>
    <w:bookmarkStart w:id="104" w:name="_MON_1371541266"/>
    <w:bookmarkStart w:id="105" w:name="_MON_1371551655"/>
    <w:bookmarkStart w:id="106" w:name="_MON_1374399161"/>
    <w:bookmarkStart w:id="107" w:name="_MON_1375256798"/>
    <w:bookmarkStart w:id="108" w:name="_MON_1375256936"/>
    <w:bookmarkStart w:id="109" w:name="_MON_1377680707"/>
    <w:bookmarkStart w:id="110" w:name="_MON_1377680748"/>
    <w:bookmarkStart w:id="111" w:name="_MON_1378100244"/>
    <w:bookmarkStart w:id="112" w:name="_MON_1378290275"/>
    <w:bookmarkStart w:id="113" w:name="_MON_1378625649"/>
    <w:bookmarkStart w:id="114" w:name="_MON_1379241608"/>
    <w:bookmarkStart w:id="115" w:name="_MON_1379936379"/>
    <w:bookmarkStart w:id="116" w:name="_MON_1380089393"/>
    <w:bookmarkStart w:id="117" w:name="_MON_1380092763"/>
    <w:bookmarkStart w:id="118" w:name="_MON_1380541985"/>
    <w:bookmarkStart w:id="119" w:name="_MON_1380542502"/>
    <w:bookmarkStart w:id="120" w:name="_MON_1380701938"/>
    <w:bookmarkStart w:id="121" w:name="_MON_1380703507"/>
    <w:bookmarkStart w:id="122" w:name="_MON_1380704442"/>
    <w:bookmarkStart w:id="123" w:name="_MON_1381737509"/>
    <w:bookmarkStart w:id="124" w:name="_MON_1381737743"/>
    <w:bookmarkStart w:id="125" w:name="_MON_1381750585"/>
    <w:bookmarkStart w:id="126" w:name="_MON_1382186615"/>
    <w:bookmarkStart w:id="127" w:name="_MON_1382187210"/>
    <w:bookmarkStart w:id="128" w:name="_MON_1382187327"/>
    <w:bookmarkStart w:id="129" w:name="_MON_1385361888"/>
    <w:bookmarkStart w:id="130" w:name="_MON_1385362922"/>
    <w:bookmarkStart w:id="131" w:name="_MON_1386145191"/>
    <w:bookmarkStart w:id="132" w:name="_MON_1393415225"/>
    <w:bookmarkStart w:id="133" w:name="_MON_1394619859"/>
    <w:bookmarkStart w:id="134" w:name="_MON_1394620672"/>
    <w:bookmarkStart w:id="135" w:name="_MON_1301305463"/>
    <w:bookmarkStart w:id="136" w:name="_MON_1301306629"/>
    <w:bookmarkStart w:id="137" w:name="_MON_1301306801"/>
    <w:bookmarkStart w:id="138" w:name="_MON_1301306936"/>
    <w:bookmarkStart w:id="139" w:name="_MON_1301307363"/>
    <w:bookmarkStart w:id="140" w:name="_MON_1301307391"/>
    <w:bookmarkStart w:id="141" w:name="_MON_1301307434"/>
    <w:bookmarkStart w:id="142" w:name="_MON_1301307467"/>
    <w:bookmarkStart w:id="143" w:name="_MON_1301307503"/>
    <w:bookmarkStart w:id="144" w:name="_MON_1302437318"/>
    <w:bookmarkStart w:id="145" w:name="_MON_1302514343"/>
    <w:bookmarkStart w:id="146" w:name="_MON_1302514525"/>
    <w:bookmarkStart w:id="147" w:name="_MON_1303037556"/>
    <w:bookmarkStart w:id="148" w:name="_MON_1303041159"/>
    <w:bookmarkStart w:id="149" w:name="_MON_1303041176"/>
    <w:bookmarkStart w:id="150" w:name="_MON_1303127325"/>
    <w:bookmarkStart w:id="151" w:name="_MON_1303215221"/>
    <w:bookmarkStart w:id="152" w:name="_MON_1303215304"/>
    <w:bookmarkStart w:id="153" w:name="_MON_1303278620"/>
    <w:bookmarkStart w:id="154" w:name="_MON_1303278685"/>
    <w:bookmarkStart w:id="155" w:name="_MON_1303292410"/>
    <w:bookmarkStart w:id="156" w:name="_MON_1303292685"/>
    <w:bookmarkStart w:id="157" w:name="_MON_1304240182"/>
    <w:bookmarkStart w:id="158" w:name="_MON_1304240971"/>
    <w:bookmarkStart w:id="159" w:name="_MON_1304243142"/>
    <w:bookmarkStart w:id="160" w:name="_MON_1304501104"/>
    <w:bookmarkStart w:id="161" w:name="_MON_1304502849"/>
    <w:bookmarkStart w:id="162" w:name="_MON_1305722027"/>
    <w:bookmarkStart w:id="163" w:name="_MON_1306910497"/>
    <w:bookmarkStart w:id="164" w:name="_MON_1307355740"/>
    <w:bookmarkStart w:id="165" w:name="_MON_1307355901"/>
    <w:bookmarkStart w:id="166" w:name="_MON_1311592999"/>
    <w:bookmarkStart w:id="167" w:name="_MON_1311659932"/>
    <w:bookmarkStart w:id="168" w:name="_MON_1311766278"/>
    <w:bookmarkStart w:id="169" w:name="_MON_1312260991"/>
    <w:bookmarkStart w:id="170" w:name="_MON_1313483405"/>
    <w:bookmarkStart w:id="171" w:name="_MON_1313487002"/>
    <w:bookmarkStart w:id="172" w:name="_MON_1315642654"/>
    <w:bookmarkStart w:id="173" w:name="_MON_131564860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6438292"/>
    <w:bookmarkEnd w:id="174"/>
    <w:p w:rsidR="00EC58FF" w:rsidRDefault="00866503">
      <w:pPr>
        <w:tabs>
          <w:tab w:val="left" w:pos="-1440"/>
          <w:tab w:val="left" w:pos="-720"/>
          <w:tab w:val="left" w:pos="0"/>
          <w:tab w:val="left" w:pos="720"/>
          <w:tab w:val="left" w:pos="1050"/>
          <w:tab w:val="left" w:pos="2160"/>
        </w:tabs>
      </w:pPr>
      <w:r>
        <w:object w:dxaOrig="9628" w:dyaOrig="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5pt;height:341pt" o:ole="">
            <v:imagedata r:id="rId13" o:title=""/>
          </v:shape>
          <o:OLEObject Type="Embed" ProgID="Excel.Sheet.8" ShapeID="_x0000_i1025" DrawAspect="Content" ObjectID="_1569672298" r:id="rId14"/>
        </w:object>
      </w:r>
    </w:p>
    <w:p w:rsidR="00D13F12" w:rsidRDefault="002739BA">
      <w:pPr>
        <w:tabs>
          <w:tab w:val="left" w:pos="-1440"/>
          <w:tab w:val="left" w:pos="-720"/>
          <w:tab w:val="left" w:pos="0"/>
          <w:tab w:val="left" w:pos="720"/>
          <w:tab w:val="left" w:pos="1050"/>
          <w:tab w:val="left" w:pos="2160"/>
        </w:tabs>
      </w:pPr>
      <w:r>
        <w:rPr>
          <w:noProof/>
          <w:snapToGrid/>
        </w:rPr>
        <w:lastRenderedPageBreak/>
        <w:pict>
          <v:shape id="_x0000_s1028" type="#_x0000_t75" style="position:absolute;margin-left:0;margin-top:23.55pt;width:526.7pt;height:208.2pt;z-index:251658240;mso-position-horizontal:left">
            <v:imagedata r:id="rId15" o:title=""/>
            <w10:wrap type="square" side="right"/>
          </v:shape>
          <o:OLEObject Type="Embed" ProgID="Excel.Sheet.12" ShapeID="_x0000_s1028" DrawAspect="Content" ObjectID="_1569672299" r:id="rId16"/>
        </w:pict>
      </w: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t>Special Instructions to MHEB Operator:</w:t>
            </w:r>
          </w:p>
        </w:tc>
        <w:tc>
          <w:tcPr>
            <w:tcW w:w="8100" w:type="dxa"/>
            <w:vAlign w:val="center"/>
          </w:tcPr>
          <w:p w:rsidR="004F1D96" w:rsidRPr="004F1D96" w:rsidRDefault="00C511FB" w:rsidP="004F1D96">
            <w:pPr>
              <w:rPr>
                <w:rFonts w:asciiTheme="minorHAnsi" w:hAnsiTheme="minorHAnsi"/>
                <w:snapToGrid/>
                <w:color w:val="000000"/>
                <w:szCs w:val="24"/>
              </w:rPr>
            </w:pPr>
            <w:r w:rsidRPr="001A7593">
              <w:rPr>
                <w:b/>
                <w:bCs/>
              </w:rPr>
              <w:t>Export</w:t>
            </w:r>
            <w:r w:rsidRPr="004F1D96">
              <w:rPr>
                <w:rFonts w:asciiTheme="minorHAnsi" w:hAnsiTheme="minorHAnsi"/>
                <w:szCs w:val="24"/>
              </w:rPr>
              <w:t xml:space="preserve">:  </w:t>
            </w:r>
            <w:r w:rsidR="004F1D96" w:rsidRPr="004F1D96">
              <w:rPr>
                <w:rFonts w:asciiTheme="minorHAnsi" w:hAnsiTheme="minorHAnsi"/>
                <w:szCs w:val="24"/>
              </w:rPr>
              <w:t xml:space="preserve"> </w:t>
            </w:r>
            <w:r w:rsidR="004F1D96" w:rsidRPr="004F1D96">
              <w:rPr>
                <w:rFonts w:asciiTheme="minorHAnsi" w:hAnsiTheme="minorHAnsi"/>
                <w:snapToGrid/>
                <w:color w:val="000000"/>
                <w:szCs w:val="24"/>
              </w:rPr>
              <w:t xml:space="preserve">If the schedule is </w:t>
            </w:r>
            <w:r w:rsidR="004F1D96" w:rsidRPr="004F1D96">
              <w:rPr>
                <w:rFonts w:asciiTheme="minorHAnsi" w:hAnsiTheme="minorHAnsi"/>
                <w:b/>
                <w:bCs/>
                <w:snapToGrid/>
                <w:color w:val="000000"/>
                <w:szCs w:val="24"/>
              </w:rPr>
              <w:t xml:space="preserve">below 60 MW </w:t>
            </w:r>
            <w:r w:rsidR="004F1D96" w:rsidRPr="004F1D96">
              <w:rPr>
                <w:rFonts w:asciiTheme="minorHAnsi" w:hAnsiTheme="minorHAnsi"/>
                <w:snapToGrid/>
                <w:color w:val="000000"/>
                <w:szCs w:val="24"/>
              </w:rPr>
              <w:t>and RTCA indicates that the loss of WT34 will cause an overload on SG12, then reduce Seven Sisters generation.</w:t>
            </w:r>
          </w:p>
          <w:p w:rsidR="004F1D96" w:rsidRDefault="004F1D96" w:rsidP="004F1D96">
            <w:pPr>
              <w:widowControl/>
              <w:rPr>
                <w:rFonts w:asciiTheme="minorHAnsi" w:hAnsiTheme="minorHAnsi"/>
                <w:snapToGrid/>
                <w:color w:val="000000"/>
                <w:szCs w:val="24"/>
              </w:rPr>
            </w:pPr>
            <w:r w:rsidRPr="004F1D96">
              <w:rPr>
                <w:rFonts w:asciiTheme="minorHAnsi" w:hAnsiTheme="minorHAnsi"/>
                <w:snapToGrid/>
                <w:color w:val="000000"/>
                <w:szCs w:val="24"/>
              </w:rPr>
              <w:t> </w:t>
            </w:r>
          </w:p>
          <w:p w:rsidR="004F1D96" w:rsidRPr="004F1D96" w:rsidRDefault="004F1D96" w:rsidP="004F1D96">
            <w:pPr>
              <w:widowControl/>
              <w:rPr>
                <w:rFonts w:asciiTheme="minorHAnsi" w:hAnsiTheme="minorHAnsi"/>
                <w:snapToGrid/>
                <w:color w:val="000000"/>
                <w:szCs w:val="24"/>
              </w:rPr>
            </w:pPr>
            <w:r w:rsidRPr="004F1D96">
              <w:rPr>
                <w:rFonts w:asciiTheme="minorHAnsi" w:hAnsiTheme="minorHAnsi"/>
                <w:snapToGrid/>
                <w:color w:val="000000"/>
                <w:szCs w:val="24"/>
              </w:rPr>
              <w:t xml:space="preserve">If the schedule is </w:t>
            </w:r>
            <w:r w:rsidRPr="004F1D96">
              <w:rPr>
                <w:rFonts w:asciiTheme="minorHAnsi" w:hAnsiTheme="minorHAnsi"/>
                <w:b/>
                <w:bCs/>
                <w:snapToGrid/>
                <w:color w:val="000000"/>
                <w:szCs w:val="24"/>
              </w:rPr>
              <w:t xml:space="preserve">above 60 MW </w:t>
            </w:r>
            <w:r w:rsidRPr="004F1D96">
              <w:rPr>
                <w:rFonts w:asciiTheme="minorHAnsi" w:hAnsiTheme="minorHAnsi"/>
                <w:snapToGrid/>
                <w:color w:val="000000"/>
                <w:szCs w:val="24"/>
              </w:rPr>
              <w:t>and RTCA indicates that the loss of WT34 will cause an overload on SG12 or the loss of SR3 will cause an overload on SG12, then then the transfer from IESO may need to be curtailed.</w:t>
            </w:r>
          </w:p>
          <w:p w:rsidR="004F1D96" w:rsidRDefault="004F1D96" w:rsidP="004F1D96">
            <w:pPr>
              <w:tabs>
                <w:tab w:val="left" w:pos="150"/>
                <w:tab w:val="left" w:pos="1410"/>
              </w:tabs>
              <w:autoSpaceDE w:val="0"/>
              <w:autoSpaceDN w:val="0"/>
              <w:adjustRightInd w:val="0"/>
              <w:rPr>
                <w:rFonts w:ascii="Tahoma" w:hAnsi="Tahoma" w:cs="Tahoma"/>
                <w:color w:val="000000"/>
                <w:sz w:val="16"/>
                <w:szCs w:val="16"/>
              </w:rPr>
            </w:pPr>
          </w:p>
          <w:p w:rsidR="00C511FB" w:rsidRDefault="00C511FB" w:rsidP="00CF6FBE">
            <w:pPr>
              <w:tabs>
                <w:tab w:val="left" w:pos="150"/>
                <w:tab w:val="left" w:pos="1410"/>
              </w:tabs>
              <w:autoSpaceDE w:val="0"/>
              <w:autoSpaceDN w:val="0"/>
              <w:adjustRightInd w:val="0"/>
            </w:pPr>
            <w:r>
              <w:rPr>
                <w:rFonts w:ascii="Tahoma" w:hAnsi="Tahoma" w:cs="Tahoma"/>
                <w:color w:val="000000"/>
                <w:sz w:val="16"/>
                <w:szCs w:val="16"/>
              </w:rPr>
              <w:br/>
              <w:t> </w:t>
            </w:r>
            <w:bookmarkStart w:id="175" w:name="_GoBack"/>
            <w:bookmarkEnd w:id="175"/>
            <w:r w:rsidRPr="001A7593">
              <w:rPr>
                <w:b/>
                <w:bCs/>
              </w:rPr>
              <w:t>Import</w:t>
            </w:r>
            <w:r w:rsidRPr="001A7593">
              <w:t xml:space="preserve">: </w:t>
            </w:r>
            <w:r w:rsidRPr="004F1D96">
              <w:rPr>
                <w:rFonts w:asciiTheme="minorHAnsi" w:hAnsiTheme="minorHAnsi"/>
                <w:color w:val="000000"/>
                <w:szCs w:val="24"/>
              </w:rPr>
              <w:t xml:space="preserve"> </w:t>
            </w:r>
            <w:r w:rsidRPr="004F1D96">
              <w:rPr>
                <w:rFonts w:asciiTheme="minorHAnsi" w:hAnsiTheme="minorHAnsi"/>
                <w:szCs w:val="24"/>
              </w:rPr>
              <w:t xml:space="preserve"> </w:t>
            </w:r>
            <w:r w:rsidR="004F1D96" w:rsidRPr="004F1D96">
              <w:rPr>
                <w:rFonts w:asciiTheme="minorHAnsi" w:hAnsiTheme="minorHAnsi"/>
                <w:color w:val="000000"/>
                <w:szCs w:val="24"/>
              </w:rPr>
              <w:t xml:space="preserve"> </w:t>
            </w:r>
            <w:r w:rsidR="004F1D96" w:rsidRPr="004F1D96">
              <w:rPr>
                <w:rFonts w:asciiTheme="minorHAnsi" w:hAnsiTheme="minorHAnsi"/>
                <w:color w:val="000000"/>
                <w:szCs w:val="24"/>
              </w:rPr>
              <w:t>If RTCA indicates that the loss of WT34 will cause an overload on SG12, then the transfer from IESO may need to be curtailed.</w:t>
            </w:r>
            <w:r w:rsidR="004F1D96" w:rsidRPr="004F1D96">
              <w:rPr>
                <w:rFonts w:asciiTheme="minorHAnsi" w:hAnsiTheme="minorHAnsi"/>
                <w:color w:val="000000"/>
                <w:szCs w:val="24"/>
              </w:rPr>
              <w:br/>
              <w:t> </w:t>
            </w:r>
            <w:r w:rsidR="004F1D96" w:rsidRPr="004F1D96">
              <w:rPr>
                <w:rFonts w:asciiTheme="minorHAnsi" w:hAnsiTheme="minorHAnsi"/>
                <w:color w:val="000000"/>
                <w:szCs w:val="24"/>
              </w:rPr>
              <w:br/>
              <w:t xml:space="preserve">For higher Winnipeg River generation conditions, if RTCA indicates that the loss of WT34 will cause an overload on SG12 or PR2, then reduce Seven Sisters generation and/or </w:t>
            </w:r>
            <w:proofErr w:type="gramStart"/>
            <w:r w:rsidR="004F1D96" w:rsidRPr="004F1D96">
              <w:rPr>
                <w:rFonts w:asciiTheme="minorHAnsi" w:hAnsiTheme="minorHAnsi"/>
                <w:color w:val="000000"/>
                <w:szCs w:val="24"/>
              </w:rPr>
              <w:t>McArthur Falls</w:t>
            </w:r>
            <w:proofErr w:type="gramEnd"/>
            <w:r w:rsidR="004F1D96" w:rsidRPr="004F1D96">
              <w:rPr>
                <w:rFonts w:asciiTheme="minorHAnsi" w:hAnsiTheme="minorHAnsi"/>
                <w:color w:val="000000"/>
                <w:szCs w:val="24"/>
              </w:rPr>
              <w:t xml:space="preserve"> generation as required</w:t>
            </w:r>
            <w:r w:rsidRPr="004F1D96">
              <w:rPr>
                <w:rFonts w:asciiTheme="minorHAnsi" w:hAnsiTheme="minorHAnsi"/>
                <w:color w:val="000000"/>
                <w:szCs w:val="24"/>
              </w:rPr>
              <w:t>.</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866503">
              <w:t xml:space="preserve"> (Export) Transfer Limit = 203</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866503">
              <w:t>8</w:t>
            </w:r>
            <w:r w:rsidR="00D8674C">
              <w:t>4</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D8674C">
              <w:t>sfer Limit During Offloads = 140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866503">
              <w:t>During Offloads = 8</w:t>
            </w:r>
            <w:r w:rsidR="00D8674C">
              <w:t>4</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Default="00FC4F26"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Default="00F808FD" w:rsidP="00EC18D4">
            <w:pPr>
              <w:tabs>
                <w:tab w:val="left" w:pos="150"/>
                <w:tab w:val="left" w:pos="1410"/>
              </w:tabs>
              <w:autoSpaceDE w:val="0"/>
              <w:autoSpaceDN w:val="0"/>
              <w:adjustRightInd w:val="0"/>
            </w:pPr>
          </w:p>
          <w:p w:rsidR="00F808FD" w:rsidRPr="00C511FB" w:rsidRDefault="00F808FD"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lastRenderedPageBreak/>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4F1D96" w:rsidP="000122BB">
            <w:pPr>
              <w:tabs>
                <w:tab w:val="left" w:pos="-1440"/>
                <w:tab w:val="left" w:pos="-720"/>
                <w:tab w:val="left" w:pos="0"/>
                <w:tab w:val="left" w:pos="720"/>
                <w:tab w:val="left" w:pos="960"/>
              </w:tabs>
              <w:spacing w:before="120"/>
            </w:pPr>
            <w:r>
              <w:t>2017 10</w:t>
            </w:r>
            <w:r w:rsidR="008923AA">
              <w:t xml:space="preserve"> </w:t>
            </w:r>
            <w:r>
              <w:t>16</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BA" w:rsidRDefault="002739BA">
      <w:r>
        <w:separator/>
      </w:r>
    </w:p>
  </w:endnote>
  <w:endnote w:type="continuationSeparator" w:id="0">
    <w:p w:rsidR="002739BA" w:rsidRDefault="002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F44491">
            <w:rPr>
              <w:rFonts w:ascii="Arial" w:hAnsi="Arial"/>
              <w:noProof/>
              <w:sz w:val="20"/>
            </w:rPr>
            <w:t>2</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F44491">
            <w:rPr>
              <w:rFonts w:ascii="Arial" w:hAnsi="Arial"/>
              <w:noProof/>
              <w:sz w:val="20"/>
            </w:rPr>
            <w:t>3</w:t>
          </w:r>
          <w:r w:rsidR="00D67B7B">
            <w:rPr>
              <w:rFonts w:ascii="Arial" w:hAnsi="Arial"/>
              <w:sz w:val="20"/>
            </w:rPr>
            <w:fldChar w:fldCharType="end"/>
          </w:r>
        </w:p>
      </w:tc>
    </w:tr>
  </w:tbl>
  <w:p w:rsidR="00B30E18" w:rsidRDefault="000D20EB" w:rsidP="00410B3E">
    <w:pPr>
      <w:pStyle w:val="Footer"/>
      <w:tabs>
        <w:tab w:val="clear" w:pos="4320"/>
        <w:tab w:val="clear" w:pos="8640"/>
        <w:tab w:val="left" w:pos="6960"/>
      </w:tabs>
      <w:rPr>
        <w:rFonts w:ascii="Arial" w:hAnsi="Arial"/>
        <w:sz w:val="20"/>
      </w:rPr>
    </w:pPr>
    <w:r>
      <w:rPr>
        <w:rFonts w:ascii="Arial" w:hAnsi="Arial"/>
        <w:sz w:val="20"/>
      </w:rPr>
      <w:t>17-250</w:t>
    </w:r>
    <w:r w:rsidR="00F1234A">
      <w:rPr>
        <w:rFonts w:ascii="Arial" w:hAnsi="Arial"/>
        <w:sz w:val="20"/>
      </w:rPr>
      <w:t>_</w:t>
    </w:r>
    <w:r w:rsidR="004B6EF5">
      <w:rPr>
        <w:rFonts w:ascii="Arial" w:hAnsi="Arial"/>
        <w:sz w:val="20"/>
      </w:rPr>
      <w:t>ST5</w:t>
    </w:r>
    <w:r w:rsidR="00D91275">
      <w:rPr>
        <w:rFonts w:ascii="Arial" w:hAnsi="Arial"/>
        <w:sz w:val="20"/>
      </w:rPr>
      <w:t>_</w:t>
    </w:r>
    <w:r>
      <w:rPr>
        <w:rFonts w:ascii="Arial" w:hAnsi="Arial"/>
        <w:sz w:val="20"/>
      </w:rPr>
      <w:t>ST6_10_24_to_10_27</w:t>
    </w:r>
    <w:r w:rsidR="00D91275">
      <w:rPr>
        <w:rFonts w:ascii="Arial" w:hAnsi="Arial"/>
        <w:sz w:val="20"/>
      </w:rPr>
      <w:t xml:space="preserve">.doc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BA" w:rsidRDefault="002739BA">
      <w:r>
        <w:separator/>
      </w:r>
    </w:p>
  </w:footnote>
  <w:footnote w:type="continuationSeparator" w:id="0">
    <w:p w:rsidR="002739BA" w:rsidRDefault="0027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473ED8">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0D20EB">
            <w:rPr>
              <w:rFonts w:ascii="Arial" w:hAnsi="Arial"/>
              <w:b/>
              <w:sz w:val="32"/>
              <w:szCs w:val="32"/>
            </w:rPr>
            <w:t>250</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181"/>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0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55C"/>
    <w:rsid w:val="001A4311"/>
    <w:rsid w:val="001A44CF"/>
    <w:rsid w:val="001A505C"/>
    <w:rsid w:val="001A58D2"/>
    <w:rsid w:val="001A5D41"/>
    <w:rsid w:val="001A612E"/>
    <w:rsid w:val="001A71EC"/>
    <w:rsid w:val="001A7593"/>
    <w:rsid w:val="001B140F"/>
    <w:rsid w:val="001B23F3"/>
    <w:rsid w:val="001B3652"/>
    <w:rsid w:val="001B398D"/>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67C4"/>
    <w:rsid w:val="002372CC"/>
    <w:rsid w:val="00237FC1"/>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39BA"/>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215A"/>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B6EF5"/>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1D96"/>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BB5"/>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29DB"/>
    <w:rsid w:val="005B4103"/>
    <w:rsid w:val="005B4A21"/>
    <w:rsid w:val="005B57BF"/>
    <w:rsid w:val="005B593F"/>
    <w:rsid w:val="005B5E79"/>
    <w:rsid w:val="005C0E2B"/>
    <w:rsid w:val="005C3722"/>
    <w:rsid w:val="005C3805"/>
    <w:rsid w:val="005C438C"/>
    <w:rsid w:val="005C55A6"/>
    <w:rsid w:val="005C7140"/>
    <w:rsid w:val="005C72CA"/>
    <w:rsid w:val="005D071D"/>
    <w:rsid w:val="005D150E"/>
    <w:rsid w:val="005D48BD"/>
    <w:rsid w:val="005D55BD"/>
    <w:rsid w:val="005E212D"/>
    <w:rsid w:val="005E2998"/>
    <w:rsid w:val="005E38D9"/>
    <w:rsid w:val="005E3B9C"/>
    <w:rsid w:val="005E3FB8"/>
    <w:rsid w:val="005E459F"/>
    <w:rsid w:val="005E4A14"/>
    <w:rsid w:val="005E6688"/>
    <w:rsid w:val="005E733A"/>
    <w:rsid w:val="005E7357"/>
    <w:rsid w:val="005E741C"/>
    <w:rsid w:val="005F0A73"/>
    <w:rsid w:val="005F1D5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A77"/>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9A4"/>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4022"/>
    <w:rsid w:val="008043E6"/>
    <w:rsid w:val="00810ADC"/>
    <w:rsid w:val="00810DB0"/>
    <w:rsid w:val="00810E84"/>
    <w:rsid w:val="00815BFC"/>
    <w:rsid w:val="00817248"/>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6503"/>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2A7C"/>
    <w:rsid w:val="008F33A5"/>
    <w:rsid w:val="008F37B8"/>
    <w:rsid w:val="008F43F9"/>
    <w:rsid w:val="008F449F"/>
    <w:rsid w:val="008F4F63"/>
    <w:rsid w:val="008F5B4E"/>
    <w:rsid w:val="008F6255"/>
    <w:rsid w:val="008F6A5F"/>
    <w:rsid w:val="008F763C"/>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235"/>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5BD"/>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1C32"/>
    <w:rsid w:val="00A94AD6"/>
    <w:rsid w:val="00A94C69"/>
    <w:rsid w:val="00A9745C"/>
    <w:rsid w:val="00AA1122"/>
    <w:rsid w:val="00AA312C"/>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92D"/>
    <w:rsid w:val="00BC6476"/>
    <w:rsid w:val="00BC67A4"/>
    <w:rsid w:val="00BD1372"/>
    <w:rsid w:val="00BD2F62"/>
    <w:rsid w:val="00BD2F94"/>
    <w:rsid w:val="00BD33F0"/>
    <w:rsid w:val="00BD3A57"/>
    <w:rsid w:val="00BD425F"/>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3D1"/>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299"/>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0FDF"/>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8674C"/>
    <w:rsid w:val="00D90BC6"/>
    <w:rsid w:val="00D90F8C"/>
    <w:rsid w:val="00D91275"/>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44A8"/>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A23"/>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46B"/>
    <w:rsid w:val="00E448DD"/>
    <w:rsid w:val="00E450DD"/>
    <w:rsid w:val="00E4654D"/>
    <w:rsid w:val="00E528D4"/>
    <w:rsid w:val="00E533BE"/>
    <w:rsid w:val="00E53ABE"/>
    <w:rsid w:val="00E53B7E"/>
    <w:rsid w:val="00E55295"/>
    <w:rsid w:val="00E56B5E"/>
    <w:rsid w:val="00E56CF3"/>
    <w:rsid w:val="00E60A99"/>
    <w:rsid w:val="00E62178"/>
    <w:rsid w:val="00E62CAC"/>
    <w:rsid w:val="00E67E70"/>
    <w:rsid w:val="00E70825"/>
    <w:rsid w:val="00E724F2"/>
    <w:rsid w:val="00E72A53"/>
    <w:rsid w:val="00E7539B"/>
    <w:rsid w:val="00E75E73"/>
    <w:rsid w:val="00E7609C"/>
    <w:rsid w:val="00E763C4"/>
    <w:rsid w:val="00E80181"/>
    <w:rsid w:val="00E805FD"/>
    <w:rsid w:val="00E80AC9"/>
    <w:rsid w:val="00E80D81"/>
    <w:rsid w:val="00E811AC"/>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BA0"/>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4A"/>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4491"/>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08FD"/>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8041">
      <w:bodyDiv w:val="1"/>
      <w:marLeft w:val="0"/>
      <w:marRight w:val="0"/>
      <w:marTop w:val="0"/>
      <w:marBottom w:val="0"/>
      <w:divBdr>
        <w:top w:val="none" w:sz="0" w:space="0" w:color="auto"/>
        <w:left w:val="none" w:sz="0" w:space="0" w:color="auto"/>
        <w:bottom w:val="none" w:sz="0" w:space="0" w:color="auto"/>
        <w:right w:val="none" w:sz="0" w:space="0" w:color="auto"/>
      </w:divBdr>
      <w:divsChild>
        <w:div w:id="924145998">
          <w:marLeft w:val="0"/>
          <w:marRight w:val="0"/>
          <w:marTop w:val="0"/>
          <w:marBottom w:val="0"/>
          <w:divBdr>
            <w:top w:val="none" w:sz="0" w:space="0" w:color="auto"/>
            <w:left w:val="none" w:sz="0" w:space="0" w:color="auto"/>
            <w:bottom w:val="none" w:sz="0" w:space="0" w:color="auto"/>
            <w:right w:val="none" w:sz="0" w:space="0" w:color="auto"/>
          </w:divBdr>
          <w:divsChild>
            <w:div w:id="622225030">
              <w:marLeft w:val="0"/>
              <w:marRight w:val="0"/>
              <w:marTop w:val="0"/>
              <w:marBottom w:val="0"/>
              <w:divBdr>
                <w:top w:val="none" w:sz="0" w:space="0" w:color="auto"/>
                <w:left w:val="none" w:sz="0" w:space="0" w:color="auto"/>
                <w:bottom w:val="none" w:sz="0" w:space="0" w:color="auto"/>
                <w:right w:val="none" w:sz="0" w:space="0" w:color="auto"/>
              </w:divBdr>
              <w:divsChild>
                <w:div w:id="2006321484">
                  <w:marLeft w:val="0"/>
                  <w:marRight w:val="0"/>
                  <w:marTop w:val="0"/>
                  <w:marBottom w:val="0"/>
                  <w:divBdr>
                    <w:top w:val="none" w:sz="0" w:space="0" w:color="auto"/>
                    <w:left w:val="none" w:sz="0" w:space="0" w:color="auto"/>
                    <w:bottom w:val="none" w:sz="0" w:space="0" w:color="auto"/>
                    <w:right w:val="none" w:sz="0" w:space="0" w:color="auto"/>
                  </w:divBdr>
                  <w:divsChild>
                    <w:div w:id="39282848">
                      <w:marLeft w:val="2325"/>
                      <w:marRight w:val="0"/>
                      <w:marTop w:val="0"/>
                      <w:marBottom w:val="0"/>
                      <w:divBdr>
                        <w:top w:val="none" w:sz="0" w:space="0" w:color="auto"/>
                        <w:left w:val="none" w:sz="0" w:space="0" w:color="auto"/>
                        <w:bottom w:val="none" w:sz="0" w:space="0" w:color="auto"/>
                        <w:right w:val="none" w:sz="0" w:space="0" w:color="auto"/>
                      </w:divBdr>
                      <w:divsChild>
                        <w:div w:id="1193148679">
                          <w:marLeft w:val="0"/>
                          <w:marRight w:val="0"/>
                          <w:marTop w:val="0"/>
                          <w:marBottom w:val="0"/>
                          <w:divBdr>
                            <w:top w:val="none" w:sz="0" w:space="0" w:color="auto"/>
                            <w:left w:val="none" w:sz="0" w:space="0" w:color="auto"/>
                            <w:bottom w:val="none" w:sz="0" w:space="0" w:color="auto"/>
                            <w:right w:val="none" w:sz="0" w:space="0" w:color="auto"/>
                          </w:divBdr>
                          <w:divsChild>
                            <w:div w:id="268896675">
                              <w:marLeft w:val="0"/>
                              <w:marRight w:val="0"/>
                              <w:marTop w:val="0"/>
                              <w:marBottom w:val="0"/>
                              <w:divBdr>
                                <w:top w:val="none" w:sz="0" w:space="0" w:color="auto"/>
                                <w:left w:val="none" w:sz="0" w:space="0" w:color="auto"/>
                                <w:bottom w:val="none" w:sz="0" w:space="0" w:color="auto"/>
                                <w:right w:val="none" w:sz="0" w:space="0" w:color="auto"/>
                              </w:divBdr>
                              <w:divsChild>
                                <w:div w:id="115802806">
                                  <w:marLeft w:val="0"/>
                                  <w:marRight w:val="0"/>
                                  <w:marTop w:val="0"/>
                                  <w:marBottom w:val="0"/>
                                  <w:divBdr>
                                    <w:top w:val="none" w:sz="0" w:space="0" w:color="auto"/>
                                    <w:left w:val="none" w:sz="0" w:space="0" w:color="auto"/>
                                    <w:bottom w:val="none" w:sz="0" w:space="0" w:color="auto"/>
                                    <w:right w:val="none" w:sz="0" w:space="0" w:color="auto"/>
                                  </w:divBdr>
                                  <w:divsChild>
                                    <w:div w:id="36510803">
                                      <w:marLeft w:val="0"/>
                                      <w:marRight w:val="0"/>
                                      <w:marTop w:val="0"/>
                                      <w:marBottom w:val="0"/>
                                      <w:divBdr>
                                        <w:top w:val="none" w:sz="0" w:space="0" w:color="auto"/>
                                        <w:left w:val="none" w:sz="0" w:space="0" w:color="auto"/>
                                        <w:bottom w:val="none" w:sz="0" w:space="0" w:color="auto"/>
                                        <w:right w:val="none" w:sz="0" w:space="0" w:color="auto"/>
                                      </w:divBdr>
                                      <w:divsChild>
                                        <w:div w:id="1951425322">
                                          <w:marLeft w:val="0"/>
                                          <w:marRight w:val="0"/>
                                          <w:marTop w:val="0"/>
                                          <w:marBottom w:val="0"/>
                                          <w:divBdr>
                                            <w:top w:val="none" w:sz="0" w:space="0" w:color="auto"/>
                                            <w:left w:val="none" w:sz="0" w:space="0" w:color="auto"/>
                                            <w:bottom w:val="none" w:sz="0" w:space="0" w:color="auto"/>
                                            <w:right w:val="none" w:sz="0" w:space="0" w:color="auto"/>
                                          </w:divBdr>
                                          <w:divsChild>
                                            <w:div w:id="1795516907">
                                              <w:marLeft w:val="0"/>
                                              <w:marRight w:val="0"/>
                                              <w:marTop w:val="0"/>
                                              <w:marBottom w:val="0"/>
                                              <w:divBdr>
                                                <w:top w:val="none" w:sz="0" w:space="0" w:color="auto"/>
                                                <w:left w:val="none" w:sz="0" w:space="0" w:color="auto"/>
                                                <w:bottom w:val="none" w:sz="0" w:space="0" w:color="auto"/>
                                                <w:right w:val="none" w:sz="0" w:space="0" w:color="auto"/>
                                              </w:divBdr>
                                            </w:div>
                                            <w:div w:id="199055599">
                                              <w:marLeft w:val="0"/>
                                              <w:marRight w:val="0"/>
                                              <w:marTop w:val="0"/>
                                              <w:marBottom w:val="0"/>
                                              <w:divBdr>
                                                <w:top w:val="none" w:sz="0" w:space="0" w:color="auto"/>
                                                <w:left w:val="none" w:sz="0" w:space="0" w:color="auto"/>
                                                <w:bottom w:val="none" w:sz="0" w:space="0" w:color="auto"/>
                                                <w:right w:val="none" w:sz="0" w:space="0" w:color="auto"/>
                                              </w:divBdr>
                                            </w:div>
                                            <w:div w:id="15229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2017-10-27T00:00:00-05:00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83F74655-7631-4F59-962D-12AB124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39</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17-173_ST5_ST6_08_31_to_09_01.docx </vt:lpstr>
    </vt:vector>
  </TitlesOfParts>
  <Company>Manitoba Hydro</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17-250_ST5_ST6_10_24_to_10_27.docx</dc:title>
  <dc:creator>J. Coates</dc:creator>
  <cp:lastModifiedBy>jmthompson</cp:lastModifiedBy>
  <cp:revision>8</cp:revision>
  <cp:lastPrinted>2017-07-07T14:56:00Z</cp:lastPrinted>
  <dcterms:created xsi:type="dcterms:W3CDTF">2017-10-16T19:16:00Z</dcterms:created>
  <dcterms:modified xsi:type="dcterms:W3CDTF">2017-10-16T20:16:00Z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