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Pr="00263BEA" w:rsidRDefault="00EF2190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190">
              <w:rPr>
                <w:rFonts w:ascii="Arial" w:hAnsi="Arial" w:cs="Arial"/>
                <w:b/>
                <w:sz w:val="22"/>
                <w:szCs w:val="22"/>
              </w:rPr>
              <w:t>16-12704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EF2190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19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1-11739369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EF2190" w:rsidP="005532A2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M86V</w:t>
            </w:r>
            <w:r w:rsidR="005532A2">
              <w:t xml:space="preserve"> </w:t>
            </w:r>
            <w:r w:rsidR="007F2DD4">
              <w:t xml:space="preserve"> (</w:t>
            </w:r>
            <w:r>
              <w:t>Riel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St. Vital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EF2190">
              <w:rPr>
                <w:sz w:val="22"/>
                <w:szCs w:val="22"/>
              </w:rPr>
              <w:t xml:space="preserve">09 </w:t>
            </w:r>
            <w:r w:rsidR="001A7593">
              <w:rPr>
                <w:sz w:val="22"/>
                <w:szCs w:val="22"/>
              </w:rPr>
              <w:t xml:space="preserve">from </w:t>
            </w:r>
            <w:r w:rsidR="009B71D5">
              <w:rPr>
                <w:sz w:val="22"/>
                <w:szCs w:val="22"/>
              </w:rPr>
              <w:t>08</w:t>
            </w:r>
            <w:r w:rsidR="005532A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EF2190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EF2190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5532A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</w:t>
            </w:r>
            <w:r w:rsidR="00EF2190">
              <w:rPr>
                <w:sz w:val="22"/>
                <w:szCs w:val="22"/>
              </w:rPr>
              <w:t>9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EF2190">
              <w:rPr>
                <w:sz w:val="22"/>
                <w:szCs w:val="22"/>
              </w:rPr>
              <w:t>09</w:t>
            </w:r>
            <w:r w:rsidR="005532A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EF2190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EF2190">
              <w:rPr>
                <w:sz w:val="22"/>
                <w:szCs w:val="22"/>
              </w:rPr>
              <w:t>17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EF2190" w:rsidP="00EF2190">
            <w:r>
              <w:t>M86V</w:t>
            </w:r>
            <w:r w:rsidR="007F2DD4">
              <w:t xml:space="preserve"> – </w:t>
            </w:r>
            <w:r w:rsidRPr="00EF2190">
              <w:t>St. Vital 230 kV M86V Line PT corrective. (</w:t>
            </w:r>
            <w:proofErr w:type="gramStart"/>
            <w:r w:rsidRPr="00EF2190">
              <w:t>ground</w:t>
            </w:r>
            <w:proofErr w:type="gramEnd"/>
            <w:r w:rsidRPr="00EF2190">
              <w:t xml:space="preserve"> braid from the equipment case to the neutral post is broken). No Riel </w:t>
            </w:r>
            <w:proofErr w:type="spellStart"/>
            <w:r w:rsidRPr="00EF2190">
              <w:t>mtce</w:t>
            </w:r>
            <w:proofErr w:type="spellEnd"/>
            <w:r w:rsidRPr="00EF2190">
              <w:t xml:space="preserve"> requirements, no protection </w:t>
            </w:r>
            <w:proofErr w:type="spellStart"/>
            <w:r w:rsidRPr="00EF2190">
              <w:t>mtce</w:t>
            </w:r>
            <w:proofErr w:type="spellEnd"/>
            <w:r w:rsidRPr="00EF2190">
              <w:t xml:space="preserve">, no </w:t>
            </w:r>
            <w:proofErr w:type="spellStart"/>
            <w:r w:rsidRPr="00EF2190">
              <w:t>teleprotection</w:t>
            </w:r>
            <w:proofErr w:type="spellEnd"/>
            <w:r w:rsidRPr="00EF2190">
              <w:t xml:space="preserve"> </w:t>
            </w:r>
            <w:proofErr w:type="spellStart"/>
            <w:r w:rsidRPr="00EF2190">
              <w:t>mtce</w:t>
            </w:r>
            <w:proofErr w:type="spellEnd"/>
            <w:r w:rsidRPr="00EF2190">
              <w:t xml:space="preserve">, no line </w:t>
            </w:r>
            <w:proofErr w:type="spellStart"/>
            <w:r w:rsidRPr="00EF2190">
              <w:t>mtce</w:t>
            </w:r>
            <w:proofErr w:type="spellEnd"/>
            <w:r w:rsidRPr="00EF2190">
              <w:t>.</w:t>
            </w:r>
          </w:p>
        </w:tc>
      </w:tr>
    </w:tbl>
    <w:bookmarkStart w:id="51" w:name="_MON_1312260991"/>
    <w:bookmarkStart w:id="52" w:name="_MON_1313483405"/>
    <w:bookmarkStart w:id="53" w:name="_MON_1313487002"/>
    <w:bookmarkStart w:id="54" w:name="_MON_1315642654"/>
    <w:bookmarkStart w:id="55" w:name="_MON_1315648603"/>
    <w:bookmarkStart w:id="56" w:name="_MON_1316438292"/>
    <w:bookmarkStart w:id="57" w:name="_MON_1317120208"/>
    <w:bookmarkStart w:id="58" w:name="_MON_1318056200"/>
    <w:bookmarkStart w:id="59" w:name="_MON_1318057265"/>
    <w:bookmarkStart w:id="60" w:name="_MON_1318143451"/>
    <w:bookmarkStart w:id="61" w:name="_MON_1318159763"/>
    <w:bookmarkStart w:id="62" w:name="_MON_1318159905"/>
    <w:bookmarkStart w:id="63" w:name="_MON_1318160127"/>
    <w:bookmarkStart w:id="64" w:name="_MON_1320564806"/>
    <w:bookmarkStart w:id="65" w:name="_MON_1321878920"/>
    <w:bookmarkStart w:id="66" w:name="_MON_1324808922"/>
    <w:bookmarkStart w:id="67" w:name="_MON_1324811031"/>
    <w:bookmarkStart w:id="68" w:name="_MON_1334045256"/>
    <w:bookmarkStart w:id="69" w:name="_MON_1337411156"/>
    <w:bookmarkStart w:id="70" w:name="_MON_1337413679"/>
    <w:bookmarkStart w:id="71" w:name="_MON_1337667673"/>
    <w:bookmarkStart w:id="72" w:name="_MON_1337668215"/>
    <w:bookmarkStart w:id="73" w:name="_MON_1340010796"/>
    <w:bookmarkStart w:id="74" w:name="_MON_1342331775"/>
    <w:bookmarkStart w:id="75" w:name="_MON_1342596813"/>
    <w:bookmarkStart w:id="76" w:name="_MON_1343034919"/>
    <w:bookmarkStart w:id="77" w:name="_MON_1343722081"/>
    <w:bookmarkStart w:id="78" w:name="_MON_1343820433"/>
    <w:bookmarkStart w:id="79" w:name="_MON_1344767399"/>
    <w:bookmarkStart w:id="80" w:name="_MON_1344772010"/>
    <w:bookmarkStart w:id="81" w:name="_MON_1346067167"/>
    <w:bookmarkStart w:id="82" w:name="_MON_1346133990"/>
    <w:bookmarkStart w:id="83" w:name="_MON_1349858579"/>
    <w:bookmarkStart w:id="84" w:name="_MON_1349862462"/>
    <w:bookmarkStart w:id="85" w:name="_MON_1349862608"/>
    <w:bookmarkStart w:id="86" w:name="_MON_1349862737"/>
    <w:bookmarkStart w:id="87" w:name="_MON_1349862950"/>
    <w:bookmarkStart w:id="88" w:name="_MON_1363000740"/>
    <w:bookmarkStart w:id="89" w:name="_MON_1363081452"/>
    <w:bookmarkStart w:id="90" w:name="_MON_1364379757"/>
    <w:bookmarkStart w:id="91" w:name="_MON_1364379835"/>
    <w:bookmarkStart w:id="92" w:name="_MON_1365570454"/>
    <w:bookmarkStart w:id="93" w:name="_MON_1365578718"/>
    <w:bookmarkStart w:id="94" w:name="_MON_1365578762"/>
    <w:bookmarkStart w:id="95" w:name="_MON_1365582573"/>
    <w:bookmarkStart w:id="96" w:name="_MON_1366009633"/>
    <w:bookmarkStart w:id="97" w:name="_MON_1366011108"/>
    <w:bookmarkStart w:id="98" w:name="_MON_1367060692"/>
    <w:bookmarkStart w:id="99" w:name="_MON_1367060775"/>
    <w:bookmarkStart w:id="100" w:name="_MON_1367143761"/>
    <w:bookmarkStart w:id="101" w:name="_MON_1367145126"/>
    <w:bookmarkStart w:id="102" w:name="_MON_1367145999"/>
    <w:bookmarkStart w:id="103" w:name="_MON_1367408689"/>
    <w:bookmarkStart w:id="104" w:name="_MON_1367409024"/>
    <w:bookmarkStart w:id="105" w:name="_MON_1367409257"/>
    <w:bookmarkStart w:id="106" w:name="_MON_1371363154"/>
    <w:bookmarkStart w:id="107" w:name="_MON_1371363169"/>
    <w:bookmarkStart w:id="108" w:name="_MON_1371363225"/>
    <w:bookmarkStart w:id="109" w:name="_MON_1371368943"/>
    <w:bookmarkStart w:id="110" w:name="_MON_1371541266"/>
    <w:bookmarkStart w:id="111" w:name="_MON_1371551655"/>
    <w:bookmarkStart w:id="112" w:name="_MON_1374399161"/>
    <w:bookmarkStart w:id="113" w:name="_MON_1375256798"/>
    <w:bookmarkStart w:id="114" w:name="_MON_1375256936"/>
    <w:bookmarkStart w:id="115" w:name="_MON_1377680707"/>
    <w:bookmarkStart w:id="116" w:name="_MON_1377680748"/>
    <w:bookmarkStart w:id="117" w:name="_MON_1378100244"/>
    <w:bookmarkStart w:id="118" w:name="_MON_1378290275"/>
    <w:bookmarkStart w:id="119" w:name="_MON_1378625649"/>
    <w:bookmarkStart w:id="120" w:name="_MON_1379241608"/>
    <w:bookmarkStart w:id="121" w:name="_MON_1379936379"/>
    <w:bookmarkStart w:id="122" w:name="_MON_1380089393"/>
    <w:bookmarkStart w:id="123" w:name="_MON_1380092763"/>
    <w:bookmarkStart w:id="124" w:name="_MON_1380541985"/>
    <w:bookmarkStart w:id="125" w:name="_MON_1380542502"/>
    <w:bookmarkStart w:id="126" w:name="_MON_1380701938"/>
    <w:bookmarkStart w:id="127" w:name="_MON_1380703507"/>
    <w:bookmarkStart w:id="128" w:name="_MON_1380704442"/>
    <w:bookmarkStart w:id="129" w:name="_MON_1381737509"/>
    <w:bookmarkStart w:id="130" w:name="_MON_1381737743"/>
    <w:bookmarkStart w:id="131" w:name="_MON_1381750585"/>
    <w:bookmarkStart w:id="132" w:name="_MON_1382186615"/>
    <w:bookmarkStart w:id="133" w:name="_MON_1382187210"/>
    <w:bookmarkStart w:id="134" w:name="_MON_1382187327"/>
    <w:bookmarkStart w:id="135" w:name="_MON_1385361888"/>
    <w:bookmarkStart w:id="136" w:name="_MON_1385362922"/>
    <w:bookmarkStart w:id="137" w:name="_MON_1386145191"/>
    <w:bookmarkStart w:id="138" w:name="_MON_1393415225"/>
    <w:bookmarkStart w:id="139" w:name="_MON_1394619859"/>
    <w:bookmarkStart w:id="140" w:name="_MON_1394620672"/>
    <w:bookmarkStart w:id="141" w:name="_MON_1301305463"/>
    <w:bookmarkStart w:id="142" w:name="_MON_1301306629"/>
    <w:bookmarkStart w:id="143" w:name="_MON_1301306801"/>
    <w:bookmarkStart w:id="144" w:name="_MON_1301306936"/>
    <w:bookmarkStart w:id="145" w:name="_MON_1301307363"/>
    <w:bookmarkStart w:id="146" w:name="_MON_1301307391"/>
    <w:bookmarkStart w:id="147" w:name="_MON_1301307434"/>
    <w:bookmarkStart w:id="148" w:name="_MON_1301307467"/>
    <w:bookmarkStart w:id="149" w:name="_MON_1301307503"/>
    <w:bookmarkStart w:id="150" w:name="_MON_1302437318"/>
    <w:bookmarkStart w:id="151" w:name="_MON_1302514343"/>
    <w:bookmarkStart w:id="152" w:name="_MON_1302514525"/>
    <w:bookmarkStart w:id="153" w:name="_MON_1303037556"/>
    <w:bookmarkStart w:id="154" w:name="_MON_1303041159"/>
    <w:bookmarkStart w:id="155" w:name="_MON_1303041176"/>
    <w:bookmarkStart w:id="156" w:name="_MON_1303127325"/>
    <w:bookmarkStart w:id="157" w:name="_MON_1303215221"/>
    <w:bookmarkStart w:id="158" w:name="_MON_1303215304"/>
    <w:bookmarkStart w:id="159" w:name="_MON_1303278620"/>
    <w:bookmarkStart w:id="160" w:name="_MON_1303278685"/>
    <w:bookmarkStart w:id="161" w:name="_MON_1303292410"/>
    <w:bookmarkStart w:id="162" w:name="_MON_1303292685"/>
    <w:bookmarkStart w:id="163" w:name="_MON_1304240182"/>
    <w:bookmarkStart w:id="164" w:name="_MON_1304240971"/>
    <w:bookmarkStart w:id="165" w:name="_MON_1304243142"/>
    <w:bookmarkStart w:id="166" w:name="_MON_1304501104"/>
    <w:bookmarkStart w:id="167" w:name="_MON_1304502849"/>
    <w:bookmarkStart w:id="168" w:name="_MON_1305722027"/>
    <w:bookmarkStart w:id="169" w:name="_MON_1306910497"/>
    <w:bookmarkStart w:id="170" w:name="_MON_1307355740"/>
    <w:bookmarkStart w:id="171" w:name="_MON_1307355901"/>
    <w:bookmarkStart w:id="172" w:name="_MON_1311592999"/>
    <w:bookmarkStart w:id="173" w:name="_MON_131165993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766278"/>
    <w:bookmarkEnd w:id="174"/>
    <w:p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1" o:title=""/>
          </v:shape>
          <o:OLEObject Type="Embed" ProgID="Excel.Sheet.8" ShapeID="_x0000_i1025" DrawAspect="Content" ObjectID="_1539604877" r:id="rId12"/>
        </w:object>
      </w:r>
      <w:r w:rsidR="00EC58FF">
        <w:br w:type="page"/>
      </w:r>
    </w:p>
    <w:p w:rsidR="005D48BD" w:rsidRDefault="005C56E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5C56EF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39604878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EF35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EF2190">
              <w:t>11</w:t>
            </w:r>
            <w:r w:rsidR="00413CE0">
              <w:t xml:space="preserve"> </w:t>
            </w:r>
            <w:r w:rsidR="00EF2190">
              <w:t>02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CD" w:rsidRDefault="005627CD">
      <w:r>
        <w:separator/>
      </w:r>
    </w:p>
  </w:endnote>
  <w:endnote w:type="continuationSeparator" w:id="0">
    <w:p w:rsidR="005627CD" w:rsidRDefault="0056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5C5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5C56E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5C56EF">
            <w:rPr>
              <w:rFonts w:ascii="Arial" w:hAnsi="Arial"/>
              <w:sz w:val="20"/>
            </w:rPr>
            <w:fldChar w:fldCharType="separate"/>
          </w:r>
          <w:r w:rsidR="00F841E2">
            <w:rPr>
              <w:rFonts w:ascii="Arial" w:hAnsi="Arial"/>
              <w:noProof/>
              <w:sz w:val="20"/>
            </w:rPr>
            <w:t>2</w:t>
          </w:r>
          <w:r w:rsidR="005C56EF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5C56E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5C56EF">
            <w:rPr>
              <w:rFonts w:ascii="Arial" w:hAnsi="Arial"/>
              <w:sz w:val="20"/>
            </w:rPr>
            <w:fldChar w:fldCharType="separate"/>
          </w:r>
          <w:r w:rsidR="00F841E2">
            <w:rPr>
              <w:rFonts w:ascii="Arial" w:hAnsi="Arial"/>
              <w:noProof/>
              <w:sz w:val="20"/>
            </w:rPr>
            <w:t>3</w:t>
          </w:r>
          <w:r w:rsidR="005C56EF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F841E2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16-227_M86</w:t>
    </w:r>
    <w:r w:rsidR="007305EE">
      <w:rPr>
        <w:rFonts w:ascii="Arial" w:hAnsi="Arial"/>
        <w:sz w:val="20"/>
      </w:rPr>
      <w:t>V_11_09.doc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CD" w:rsidRDefault="005627CD">
      <w:r>
        <w:separator/>
      </w:r>
    </w:p>
  </w:footnote>
  <w:footnote w:type="continuationSeparator" w:id="0">
    <w:p w:rsidR="005627CD" w:rsidRDefault="00562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6529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22</w:t>
          </w:r>
          <w:r w:rsidR="007305EE">
            <w:rPr>
              <w:rFonts w:ascii="Arial" w:hAnsi="Arial"/>
              <w:b/>
              <w:sz w:val="32"/>
              <w:szCs w:val="32"/>
            </w:rPr>
            <w:t>7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B5423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27CD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56EF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0E9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5EE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6217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190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0B7A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124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1E2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2016-11-09T01:00:00-06:00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16-221_D15Y_10_25.docx</vt:lpstr>
    </vt:vector>
  </TitlesOfParts>
  <Company>Manitoba Hydro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16-227_M86V_11_09.docx</dc:title>
  <dc:creator>J. Coates</dc:creator>
  <cp:lastModifiedBy>csbrooks</cp:lastModifiedBy>
  <cp:revision>8</cp:revision>
  <cp:lastPrinted>2015-11-05T13:43:00Z</cp:lastPrinted>
  <dcterms:created xsi:type="dcterms:W3CDTF">2016-11-02T19:23:00Z</dcterms:created>
  <dcterms:modified xsi:type="dcterms:W3CDTF">2016-11-02T20:15:00Z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