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9" w:rsidRDefault="009C56DB" w:rsidP="00951579">
      <w:pPr>
        <w:autoSpaceDE w:val="0"/>
        <w:autoSpaceDN w:val="0"/>
        <w:adjustRightInd w:val="0"/>
        <w:jc w:val="center"/>
      </w:pPr>
      <w:r>
        <w:t>NOTICE OF DISCOUNT</w:t>
      </w:r>
    </w:p>
    <w:p w:rsidR="00951579" w:rsidRDefault="00951579" w:rsidP="00951579">
      <w:pPr>
        <w:autoSpaceDE w:val="0"/>
        <w:autoSpaceDN w:val="0"/>
        <w:adjustRightInd w:val="0"/>
        <w:jc w:val="center"/>
      </w:pPr>
      <w:r>
        <w:t>UNDER RATE SCHEDULE 2</w:t>
      </w:r>
    </w:p>
    <w:p w:rsidR="009C56DB" w:rsidRDefault="009C56DB" w:rsidP="00951579">
      <w:pPr>
        <w:autoSpaceDE w:val="0"/>
        <w:autoSpaceDN w:val="0"/>
        <w:adjustRightInd w:val="0"/>
      </w:pPr>
    </w:p>
    <w:p w:rsidR="0015184D" w:rsidRDefault="000A7C31" w:rsidP="0015184D">
      <w:pPr>
        <w:autoSpaceDE w:val="0"/>
        <w:autoSpaceDN w:val="0"/>
        <w:adjustRightInd w:val="0"/>
      </w:pPr>
      <w:r>
        <w:tab/>
      </w:r>
      <w:r w:rsidR="0015184D">
        <w:t xml:space="preserve">Pursuant to LG&amp;E/KU's currently effective </w:t>
      </w:r>
      <w:r w:rsidR="009C56DB">
        <w:t xml:space="preserve">Rate </w:t>
      </w:r>
      <w:r w:rsidR="0015184D">
        <w:t>Schedule 2, LG&amp;E/KU is required to provide reactive power service at a rate of up to $0.108 per kW-Month times a Transmission Customer's Reserved Capacity or the Transmission Customer's Network Load for Network Integration Transmission Serv</w:t>
      </w:r>
      <w:r w:rsidR="009C56DB">
        <w:t xml:space="preserve">ice.  </w:t>
      </w:r>
      <w:r w:rsidR="00F740E3">
        <w:t>LG&amp;E and KU Energy LLC (LKE)</w:t>
      </w:r>
      <w:r w:rsidR="009C56DB">
        <w:t xml:space="preserve">, </w:t>
      </w:r>
      <w:r w:rsidR="007F1A3A">
        <w:t>th</w:t>
      </w:r>
      <w:r w:rsidR="0015184D">
        <w:t>rough its operating subsidiaries LG&amp;E and KU</w:t>
      </w:r>
      <w:r w:rsidR="009C56DB">
        <w:t>,</w:t>
      </w:r>
      <w:r w:rsidR="0015184D">
        <w:t xml:space="preserve"> notif</w:t>
      </w:r>
      <w:r w:rsidR="00C7213A">
        <w:t>ies</w:t>
      </w:r>
      <w:r w:rsidR="0015184D">
        <w:t xml:space="preserve"> all transmission customers that the rate </w:t>
      </w:r>
      <w:r w:rsidR="00071937">
        <w:t>for Schedule 2 ancillary service is being discounted pursu</w:t>
      </w:r>
      <w:r w:rsidR="00B12533">
        <w:t>an</w:t>
      </w:r>
      <w:r w:rsidR="00071937">
        <w:t xml:space="preserve">t to the Table 1 below and </w:t>
      </w:r>
      <w:r w:rsidR="009C56DB">
        <w:t xml:space="preserve">that </w:t>
      </w:r>
      <w:r w:rsidR="0015184D">
        <w:t>this discount is being applied equally for all customers</w:t>
      </w:r>
      <w:r w:rsidR="00A73FA7">
        <w:t xml:space="preserve"> for that billing month</w:t>
      </w:r>
      <w:r w:rsidR="0015184D">
        <w:t xml:space="preserve">.  </w:t>
      </w:r>
      <w:r w:rsidR="009C56DB">
        <w:t xml:space="preserve">The reason for the discount </w:t>
      </w:r>
      <w:r w:rsidR="007F1A3A">
        <w:t xml:space="preserve">is </w:t>
      </w:r>
      <w:r w:rsidR="009C56DB">
        <w:t xml:space="preserve">to </w:t>
      </w:r>
      <w:r w:rsidR="007F1A3A">
        <w:t>match revenues to expenses paid to generators.  T</w:t>
      </w:r>
      <w:r w:rsidR="009C56DB">
        <w:t>he currently effective Rate</w:t>
      </w:r>
      <w:r w:rsidR="0015184D">
        <w:t xml:space="preserve"> Schedul</w:t>
      </w:r>
      <w:r w:rsidR="007F1A3A">
        <w:t xml:space="preserve">e 2 provides </w:t>
      </w:r>
      <w:r w:rsidR="003451F9">
        <w:t xml:space="preserve">payment to and </w:t>
      </w:r>
      <w:r w:rsidR="007F1A3A">
        <w:t xml:space="preserve">recovery </w:t>
      </w:r>
      <w:r w:rsidR="003451F9">
        <w:t>for</w:t>
      </w:r>
      <w:r w:rsidR="007F1A3A">
        <w:t xml:space="preserve"> </w:t>
      </w:r>
      <w:r w:rsidR="009C56DB">
        <w:t xml:space="preserve">costs paid to generators </w:t>
      </w:r>
      <w:r w:rsidR="00C7213A">
        <w:t xml:space="preserve">for reactive power </w:t>
      </w:r>
      <w:r w:rsidR="007F1A3A">
        <w:t xml:space="preserve">produced outside of the plus or minus 95 percent power factor </w:t>
      </w:r>
      <w:r w:rsidR="003451F9">
        <w:t>bandwidth</w:t>
      </w:r>
      <w:r w:rsidR="007F1A3A">
        <w:t>. A</w:t>
      </w:r>
      <w:r w:rsidR="009C56DB">
        <w:t xml:space="preserve">ll revenues collected </w:t>
      </w:r>
      <w:r w:rsidR="00C7213A">
        <w:t xml:space="preserve">from customers </w:t>
      </w:r>
      <w:r w:rsidR="009C56DB">
        <w:t xml:space="preserve">through </w:t>
      </w:r>
      <w:r w:rsidR="00C7213A">
        <w:t xml:space="preserve">current </w:t>
      </w:r>
      <w:r w:rsidR="009C56DB">
        <w:t xml:space="preserve">rates </w:t>
      </w:r>
      <w:r w:rsidR="0015184D">
        <w:t xml:space="preserve">will be subject to </w:t>
      </w:r>
      <w:r w:rsidR="003451F9">
        <w:t xml:space="preserve">a </w:t>
      </w:r>
      <w:r w:rsidR="0015184D">
        <w:t xml:space="preserve">true-up </w:t>
      </w:r>
      <w:r w:rsidR="00962FD2">
        <w:t>during the first quarter of 2014</w:t>
      </w:r>
      <w:r w:rsidR="0015184D">
        <w:t xml:space="preserve">.  </w:t>
      </w:r>
    </w:p>
    <w:p w:rsidR="0015184D" w:rsidRDefault="0015184D" w:rsidP="0015184D">
      <w:pPr>
        <w:autoSpaceDE w:val="0"/>
        <w:autoSpaceDN w:val="0"/>
        <w:adjustRightInd w:val="0"/>
      </w:pPr>
    </w:p>
    <w:p w:rsidR="0052682C" w:rsidRDefault="0052682C" w:rsidP="0015184D">
      <w:pPr>
        <w:autoSpaceDE w:val="0"/>
        <w:autoSpaceDN w:val="0"/>
        <w:adjustRightInd w:val="0"/>
      </w:pPr>
      <w:r>
        <w:t xml:space="preserve">The actual Schedule 2 rate will be calculated at the end of each month based upon the actual </w:t>
      </w:r>
      <w:r w:rsidR="007F1A3A">
        <w:t xml:space="preserve">total </w:t>
      </w:r>
      <w:r>
        <w:t>cost to generators for that billing month.  The table below contains the historical Schedule 2 rate</w:t>
      </w:r>
      <w:r w:rsidR="00082F5C">
        <w:t>s</w:t>
      </w:r>
      <w:r>
        <w:t xml:space="preserve"> as well as the projected rate.</w:t>
      </w:r>
    </w:p>
    <w:p w:rsidR="0052682C" w:rsidRDefault="0052682C" w:rsidP="0015184D">
      <w:pPr>
        <w:autoSpaceDE w:val="0"/>
        <w:autoSpaceDN w:val="0"/>
        <w:adjustRightInd w:val="0"/>
      </w:pPr>
    </w:p>
    <w:p w:rsidR="00A53EBA" w:rsidRDefault="00A73FA7" w:rsidP="00A73FA7">
      <w:pPr>
        <w:jc w:val="center"/>
      </w:pPr>
      <w:r>
        <w:t>Table 1</w:t>
      </w:r>
    </w:p>
    <w:p w:rsidR="00A73FA7" w:rsidRDefault="00A73FA7" w:rsidP="00A73FA7">
      <w:pPr>
        <w:jc w:val="center"/>
      </w:pPr>
      <w:r>
        <w:t>($/k</w:t>
      </w:r>
      <w:r w:rsidR="0066086D">
        <w:t>W</w:t>
      </w:r>
      <w:r>
        <w:t>-period)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277"/>
        <w:gridCol w:w="1043"/>
        <w:gridCol w:w="1120"/>
        <w:gridCol w:w="1120"/>
        <w:gridCol w:w="1433"/>
        <w:gridCol w:w="1511"/>
        <w:gridCol w:w="1956"/>
      </w:tblGrid>
      <w:tr w:rsidR="00FE58B3" w:rsidRPr="00FE58B3" w:rsidTr="00C43794">
        <w:trPr>
          <w:trHeight w:val="64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Month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Monthly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Weekly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Daily (peak)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Hourly (peak)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Daily  (off-peak)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Hourly (off-peak)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Nov-1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lastRenderedPageBreak/>
              <w:t>Nov-1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0.013846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0.002038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0.0001442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0.001978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0.0000824</w:t>
            </w:r>
          </w:p>
        </w:tc>
      </w:tr>
      <w:tr w:rsidR="00860BC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BC8" w:rsidRPr="00FE58B3" w:rsidRDefault="00860BC8" w:rsidP="00860BC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</w:t>
            </w: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0.004616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0.000769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0.0000481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0.000660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0.0000275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</w:t>
            </w: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0.004616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0.000769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0.0000481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0.000660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0.0000275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</w:t>
            </w: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0.004616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0.000769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0.0000481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0.000660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0.0000275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Nov-1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0.000385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0.0000241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0.000330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0583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0.0000138</w:t>
            </w:r>
          </w:p>
        </w:tc>
      </w:tr>
      <w:tr w:rsidR="00D450F1" w:rsidRPr="00FE58B3" w:rsidTr="00D0583D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D450F1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0.000385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0.0000241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0.000330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0F1" w:rsidRPr="00FE58B3" w:rsidRDefault="002C1004" w:rsidP="00D450F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0.0000138</w:t>
            </w:r>
          </w:p>
        </w:tc>
      </w:tr>
      <w:tr w:rsidR="007056C3" w:rsidRPr="00FE58B3" w:rsidTr="00C43794">
        <w:trPr>
          <w:trHeight w:val="9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6C3" w:rsidRPr="00FE58B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Estimated average 2018</w:t>
            </w:r>
            <w:r w:rsidRPr="00FE58B3">
              <w:rPr>
                <w:rFonts w:eastAsia="Times New Roman"/>
                <w:color w:val="000000"/>
                <w:lang w:eastAsia="en-US"/>
              </w:rPr>
              <w:t xml:space="preserve"> cost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6C3" w:rsidRPr="00FE58B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</w:t>
            </w:r>
            <w:r>
              <w:rPr>
                <w:rFonts w:eastAsia="Times New Roman"/>
                <w:color w:val="000000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Pr="00FE58B3" w:rsidRDefault="007056C3" w:rsidP="007056C3">
            <w:pPr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Pr="00FE58B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Pr="00FE58B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Pr="00FE58B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056C3" w:rsidRPr="00FE58B3" w:rsidRDefault="007056C3" w:rsidP="007056C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0" w:name="_GoBack"/>
            <w:bookmarkEnd w:id="0"/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</w:tbl>
    <w:p w:rsidR="003E66A2" w:rsidRDefault="003E66A2" w:rsidP="00A73FA7">
      <w:pPr>
        <w:jc w:val="center"/>
      </w:pPr>
    </w:p>
    <w:sectPr w:rsidR="003E66A2" w:rsidSect="003D0D5D">
      <w:pgSz w:w="12240" w:h="15840"/>
      <w:pgMar w:top="864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BA"/>
    <w:rsid w:val="0004038A"/>
    <w:rsid w:val="00064906"/>
    <w:rsid w:val="00071937"/>
    <w:rsid w:val="00074B5E"/>
    <w:rsid w:val="00082F5C"/>
    <w:rsid w:val="000A7C31"/>
    <w:rsid w:val="0015184D"/>
    <w:rsid w:val="001D4A20"/>
    <w:rsid w:val="00203FC2"/>
    <w:rsid w:val="00297850"/>
    <w:rsid w:val="002C1004"/>
    <w:rsid w:val="002D4612"/>
    <w:rsid w:val="00342A30"/>
    <w:rsid w:val="003451F9"/>
    <w:rsid w:val="0035443C"/>
    <w:rsid w:val="003A362D"/>
    <w:rsid w:val="003B65D3"/>
    <w:rsid w:val="003B7755"/>
    <w:rsid w:val="003D0D5D"/>
    <w:rsid w:val="003E66A2"/>
    <w:rsid w:val="004C0B57"/>
    <w:rsid w:val="004D4B7A"/>
    <w:rsid w:val="0052682C"/>
    <w:rsid w:val="00554254"/>
    <w:rsid w:val="005775E8"/>
    <w:rsid w:val="00594CF1"/>
    <w:rsid w:val="00600A7D"/>
    <w:rsid w:val="0064126E"/>
    <w:rsid w:val="00641BF9"/>
    <w:rsid w:val="0066086D"/>
    <w:rsid w:val="006973EB"/>
    <w:rsid w:val="007056C3"/>
    <w:rsid w:val="007521BF"/>
    <w:rsid w:val="007D5804"/>
    <w:rsid w:val="007F1A3A"/>
    <w:rsid w:val="0082640B"/>
    <w:rsid w:val="00860BC8"/>
    <w:rsid w:val="00934AF8"/>
    <w:rsid w:val="00951579"/>
    <w:rsid w:val="00962FD2"/>
    <w:rsid w:val="009A142F"/>
    <w:rsid w:val="009A177D"/>
    <w:rsid w:val="009A5A6A"/>
    <w:rsid w:val="009C56DB"/>
    <w:rsid w:val="00A01F6E"/>
    <w:rsid w:val="00A30CC2"/>
    <w:rsid w:val="00A53EBA"/>
    <w:rsid w:val="00A7187E"/>
    <w:rsid w:val="00A725FC"/>
    <w:rsid w:val="00A73FA7"/>
    <w:rsid w:val="00AA3221"/>
    <w:rsid w:val="00AF5E85"/>
    <w:rsid w:val="00B07091"/>
    <w:rsid w:val="00B12533"/>
    <w:rsid w:val="00B60D32"/>
    <w:rsid w:val="00B80BD1"/>
    <w:rsid w:val="00BB63A6"/>
    <w:rsid w:val="00BD51C4"/>
    <w:rsid w:val="00BF2652"/>
    <w:rsid w:val="00C30BEE"/>
    <w:rsid w:val="00C43794"/>
    <w:rsid w:val="00C666AB"/>
    <w:rsid w:val="00C7213A"/>
    <w:rsid w:val="00CD563D"/>
    <w:rsid w:val="00CE4F4F"/>
    <w:rsid w:val="00D02EB6"/>
    <w:rsid w:val="00D26018"/>
    <w:rsid w:val="00D36373"/>
    <w:rsid w:val="00D450F1"/>
    <w:rsid w:val="00D50EDF"/>
    <w:rsid w:val="00E26021"/>
    <w:rsid w:val="00E322F3"/>
    <w:rsid w:val="00E40C3B"/>
    <w:rsid w:val="00E72B0A"/>
    <w:rsid w:val="00EF5845"/>
    <w:rsid w:val="00EF6914"/>
    <w:rsid w:val="00F740E3"/>
    <w:rsid w:val="00F84DC5"/>
    <w:rsid w:val="00FD1E9E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2CBD5"/>
  <w15:docId w15:val="{2D6DE0B8-EA55-4C78-BC53-2FDC5212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3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203FC2"/>
    <w:pPr>
      <w:spacing w:before="240" w:after="12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lockText">
    <w:name w:val="Block Text"/>
    <w:aliases w:val="Block Indent"/>
    <w:basedOn w:val="Normal"/>
    <w:rsid w:val="00B60D32"/>
    <w:pPr>
      <w:spacing w:before="120" w:after="120"/>
      <w:ind w:left="1440" w:right="1440"/>
    </w:pPr>
  </w:style>
  <w:style w:type="paragraph" w:styleId="BodyText">
    <w:name w:val="Body Text"/>
    <w:basedOn w:val="Normal"/>
    <w:rsid w:val="00342A30"/>
    <w:pPr>
      <w:spacing w:before="120" w:after="120"/>
      <w:ind w:firstLine="720"/>
      <w:jc w:val="both"/>
    </w:pPr>
  </w:style>
  <w:style w:type="paragraph" w:styleId="Closing">
    <w:name w:val="Closing"/>
    <w:basedOn w:val="Normal"/>
    <w:rsid w:val="00B60D32"/>
    <w:pPr>
      <w:ind w:left="4320"/>
    </w:pPr>
  </w:style>
  <w:style w:type="paragraph" w:styleId="Signature">
    <w:name w:val="Signature"/>
    <w:basedOn w:val="Normal"/>
    <w:rsid w:val="00B60D32"/>
    <w:pPr>
      <w:ind w:left="4320"/>
    </w:pPr>
  </w:style>
  <w:style w:type="paragraph" w:styleId="Subtitle">
    <w:name w:val="Subtitle"/>
    <w:basedOn w:val="Normal"/>
    <w:qFormat/>
    <w:rsid w:val="00B60D32"/>
    <w:pPr>
      <w:spacing w:before="120" w:after="240"/>
      <w:outlineLvl w:val="1"/>
    </w:pPr>
    <w:rPr>
      <w:rFonts w:cs="Arial"/>
      <w:b/>
    </w:rPr>
  </w:style>
  <w:style w:type="paragraph" w:styleId="EnvelopeAddress">
    <w:name w:val="envelope address"/>
    <w:basedOn w:val="Normal"/>
    <w:rsid w:val="00B60D3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60D32"/>
    <w:rPr>
      <w:rFonts w:cs="Arial"/>
      <w:sz w:val="20"/>
      <w:szCs w:val="20"/>
    </w:rPr>
  </w:style>
  <w:style w:type="paragraph" w:customStyle="1" w:styleId="BodyTextDSFirstLine10Justified">
    <w:name w:val="Body Text DS First Line (1.0) Justified"/>
    <w:basedOn w:val="Normal"/>
    <w:rsid w:val="00B60D32"/>
    <w:pPr>
      <w:spacing w:line="480" w:lineRule="auto"/>
      <w:ind w:firstLine="1440"/>
      <w:jc w:val="both"/>
    </w:pPr>
    <w:rPr>
      <w:rFonts w:eastAsia="Times New Roman"/>
      <w:lang w:eastAsia="en-US"/>
    </w:rPr>
  </w:style>
  <w:style w:type="paragraph" w:customStyle="1" w:styleId="BodyTextSSFirstLine5Justified">
    <w:name w:val="Body Text SS First Line (.5) Justified"/>
    <w:basedOn w:val="Normal"/>
    <w:rsid w:val="00EF6914"/>
    <w:pPr>
      <w:spacing w:before="120" w:after="120"/>
      <w:ind w:firstLine="720"/>
      <w:jc w:val="both"/>
    </w:pPr>
  </w:style>
  <w:style w:type="paragraph" w:customStyle="1" w:styleId="BodyTextDSFirstLine5Justified">
    <w:name w:val="Body Text DS First Line (.5) Justified"/>
    <w:basedOn w:val="Normal"/>
    <w:rsid w:val="003B65D3"/>
    <w:pPr>
      <w:spacing w:line="480" w:lineRule="auto"/>
      <w:ind w:firstLine="720"/>
      <w:jc w:val="both"/>
    </w:pPr>
  </w:style>
  <w:style w:type="paragraph" w:customStyle="1" w:styleId="BodyTextDSFirstLine5">
    <w:name w:val="Body Text DS First Line (.5)"/>
    <w:basedOn w:val="Normal"/>
    <w:rsid w:val="00B60D32"/>
    <w:pPr>
      <w:spacing w:line="480" w:lineRule="auto"/>
      <w:ind w:firstLine="720"/>
    </w:pPr>
  </w:style>
  <w:style w:type="paragraph" w:customStyle="1" w:styleId="BodyTextDSFirstLine10">
    <w:name w:val="Body Text DS First Line (1.0)"/>
    <w:basedOn w:val="Normal"/>
    <w:rsid w:val="00B60D32"/>
    <w:pPr>
      <w:spacing w:line="480" w:lineRule="auto"/>
      <w:ind w:firstLine="1440"/>
    </w:pPr>
  </w:style>
  <w:style w:type="paragraph" w:customStyle="1" w:styleId="BodyTextSSFirstLine5">
    <w:name w:val="Body Text SS First Line (.5 )"/>
    <w:basedOn w:val="Normal"/>
    <w:rsid w:val="00B60D32"/>
    <w:pPr>
      <w:spacing w:before="120" w:after="120"/>
      <w:ind w:firstLine="720"/>
    </w:pPr>
  </w:style>
  <w:style w:type="paragraph" w:customStyle="1" w:styleId="BodyTextSSFirstLine10">
    <w:name w:val="Body Text SS First Line (1.0)"/>
    <w:basedOn w:val="Normal"/>
    <w:rsid w:val="00B60D32"/>
    <w:pPr>
      <w:spacing w:before="120" w:after="120"/>
      <w:ind w:firstLine="1440"/>
    </w:pPr>
  </w:style>
  <w:style w:type="paragraph" w:customStyle="1" w:styleId="BodyTextSSFirstLine10Justified">
    <w:name w:val="Body Text SS First Line (1.0) Justified"/>
    <w:basedOn w:val="Normal"/>
    <w:rsid w:val="00B60D32"/>
    <w:pPr>
      <w:spacing w:before="120" w:after="120"/>
      <w:ind w:firstLine="1440"/>
      <w:jc w:val="both"/>
    </w:pPr>
    <w:rPr>
      <w:rFonts w:eastAsia="Times New Roman"/>
      <w:lang w:eastAsia="en-US"/>
    </w:rPr>
  </w:style>
  <w:style w:type="paragraph" w:customStyle="1" w:styleId="Heading">
    <w:name w:val="Heading"/>
    <w:basedOn w:val="Normal"/>
    <w:rsid w:val="00203FC2"/>
    <w:pPr>
      <w:spacing w:after="240"/>
      <w:jc w:val="center"/>
    </w:pPr>
    <w:rPr>
      <w:b/>
      <w:caps/>
      <w:u w:val="single"/>
    </w:rPr>
  </w:style>
  <w:style w:type="paragraph" w:customStyle="1" w:styleId="BodyTextLevel3">
    <w:name w:val="Body Text Level 3"/>
    <w:basedOn w:val="BodyText"/>
    <w:rsid w:val="00203FC2"/>
    <w:pPr>
      <w:ind w:firstLine="2160"/>
    </w:pPr>
  </w:style>
  <w:style w:type="paragraph" w:styleId="BalloonText">
    <w:name w:val="Balloon Text"/>
    <w:basedOn w:val="Normal"/>
    <w:semiHidden/>
    <w:rsid w:val="00071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LG&amp;E/KU's currently effective Schedule 2, LG&amp;E/KU is required to provide reactive power service at a rate of up to</vt:lpstr>
    </vt:vector>
  </TitlesOfParts>
  <Company>Troutman Sanders LLP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LG&amp;E/KU's currently effective Schedule 2, LG&amp;E/KU is required to provide reactive power service at a rate of up to</dc:title>
  <dc:creator>Information Technology Department</dc:creator>
  <cp:lastModifiedBy>Rubio, Fernando</cp:lastModifiedBy>
  <cp:revision>4</cp:revision>
  <cp:lastPrinted>2009-10-05T13:20:00Z</cp:lastPrinted>
  <dcterms:created xsi:type="dcterms:W3CDTF">2018-05-31T14:46:00Z</dcterms:created>
  <dcterms:modified xsi:type="dcterms:W3CDTF">2018-12-03T16:28:00Z</dcterms:modified>
</cp:coreProperties>
</file>