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24DE" w14:textId="77777777" w:rsidR="00D67A41" w:rsidRPr="00CF1C14" w:rsidRDefault="00D67A41" w:rsidP="00D67A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F1C14">
        <w:rPr>
          <w:rFonts w:ascii="Times New Roman" w:hAnsi="Times New Roman" w:cs="Times New Roman"/>
          <w:b/>
          <w:sz w:val="32"/>
          <w:szCs w:val="32"/>
          <w:u w:val="single"/>
        </w:rPr>
        <w:t xml:space="preserve">Attachment O Formula Rate Protocols </w:t>
      </w:r>
    </w:p>
    <w:p w14:paraId="376E5C4C" w14:textId="77777777" w:rsidR="0026309C" w:rsidRPr="00CF1C14" w:rsidRDefault="00D67A41" w:rsidP="00D67A41">
      <w:pPr>
        <w:rPr>
          <w:rFonts w:ascii="Times New Roman" w:hAnsi="Times New Roman" w:cs="Times New Roman"/>
          <w:sz w:val="24"/>
          <w:szCs w:val="24"/>
        </w:rPr>
      </w:pPr>
      <w:r w:rsidRPr="00CF1C14">
        <w:rPr>
          <w:rFonts w:ascii="Times New Roman" w:hAnsi="Times New Roman" w:cs="Times New Roman"/>
          <w:sz w:val="24"/>
          <w:szCs w:val="24"/>
        </w:rPr>
        <w:t xml:space="preserve">Section II.D </w:t>
      </w:r>
      <w:r w:rsidR="0026309C" w:rsidRPr="00CF1C14">
        <w:rPr>
          <w:rFonts w:ascii="Times New Roman" w:hAnsi="Times New Roman" w:cs="Times New Roman"/>
          <w:sz w:val="24"/>
          <w:szCs w:val="24"/>
        </w:rPr>
        <w:t xml:space="preserve">The Annual Update shall: </w:t>
      </w:r>
    </w:p>
    <w:p w14:paraId="1FD7AEFF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 xml:space="preserve">Include a workable data-populated Formula Rate Template and underlying </w:t>
      </w:r>
      <w:proofErr w:type="spellStart"/>
      <w:r w:rsidRPr="00873FDA">
        <w:rPr>
          <w:rFonts w:ascii="Times New Roman" w:hAnsi="Times New Roman" w:cs="Times New Roman"/>
          <w:sz w:val="24"/>
          <w:szCs w:val="24"/>
        </w:rPr>
        <w:t>workpapers</w:t>
      </w:r>
      <w:proofErr w:type="spellEnd"/>
      <w:r w:rsidRPr="00873FDA">
        <w:rPr>
          <w:rFonts w:ascii="Times New Roman" w:hAnsi="Times New Roman" w:cs="Times New Roman"/>
          <w:sz w:val="24"/>
          <w:szCs w:val="24"/>
        </w:rPr>
        <w:t xml:space="preserve"> in native format with all formulas and links intact;</w:t>
      </w:r>
    </w:p>
    <w:p w14:paraId="306128E1" w14:textId="67AED2CC" w:rsidR="00D67A41" w:rsidRPr="00873FDA" w:rsidRDefault="00D67A41" w:rsidP="00D67A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 xml:space="preserve">Response: 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E/KU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>’s 201</w:t>
      </w:r>
      <w:r w:rsidR="00793E93">
        <w:rPr>
          <w:rFonts w:ascii="Times New Roman" w:hAnsi="Times New Roman" w:cs="Times New Roman"/>
          <w:b/>
          <w:sz w:val="24"/>
          <w:szCs w:val="24"/>
        </w:rPr>
        <w:t>7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 xml:space="preserve"> Updated Attachment O 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Formula Rate Template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>, named “</w:t>
      </w:r>
      <w:proofErr w:type="spellStart"/>
      <w:r w:rsidR="00CC323B" w:rsidRPr="00873FDA">
        <w:rPr>
          <w:rFonts w:ascii="Times New Roman" w:hAnsi="Times New Roman" w:cs="Times New Roman"/>
          <w:b/>
          <w:sz w:val="24"/>
          <w:szCs w:val="24"/>
        </w:rPr>
        <w:t>Att</w:t>
      </w:r>
      <w:proofErr w:type="spellEnd"/>
      <w:r w:rsidR="00CC323B" w:rsidRPr="00873FDA">
        <w:rPr>
          <w:rFonts w:ascii="Times New Roman" w:hAnsi="Times New Roman" w:cs="Times New Roman"/>
          <w:b/>
          <w:sz w:val="24"/>
          <w:szCs w:val="24"/>
        </w:rPr>
        <w:t xml:space="preserve"> O 201</w:t>
      </w:r>
      <w:r w:rsidR="00140FEA">
        <w:rPr>
          <w:rFonts w:ascii="Times New Roman" w:hAnsi="Times New Roman" w:cs="Times New Roman"/>
          <w:b/>
          <w:sz w:val="24"/>
          <w:szCs w:val="24"/>
        </w:rPr>
        <w:t>7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 xml:space="preserve"> Posted.xlsx”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 xml:space="preserve"> can be located on the 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 xml:space="preserve">E/KU OASIS under 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“Transmission Rates”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 folder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.</w:t>
      </w:r>
    </w:p>
    <w:p w14:paraId="1A6A1B14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D91D9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>Be based on LG&amp;E/KU’s applicable FERC Form No. 1 for the prior calendar year;</w:t>
      </w:r>
    </w:p>
    <w:p w14:paraId="7EF12BE3" w14:textId="77777777" w:rsidR="00D67A41" w:rsidRPr="00873FDA" w:rsidRDefault="00D67A41" w:rsidP="00D67A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>Response: 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Pr="00873FDA">
        <w:rPr>
          <w:rFonts w:ascii="Times New Roman" w:hAnsi="Times New Roman" w:cs="Times New Roman"/>
          <w:b/>
          <w:sz w:val="24"/>
          <w:szCs w:val="24"/>
        </w:rPr>
        <w:t>E/KU FERC Form 1 data can be located on the 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Pr="00873FDA">
        <w:rPr>
          <w:rFonts w:ascii="Times New Roman" w:hAnsi="Times New Roman" w:cs="Times New Roman"/>
          <w:b/>
          <w:sz w:val="24"/>
          <w:szCs w:val="24"/>
        </w:rPr>
        <w:t xml:space="preserve">E/KU OASIS under 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73FDA">
        <w:rPr>
          <w:rFonts w:ascii="Times New Roman" w:hAnsi="Times New Roman" w:cs="Times New Roman"/>
          <w:b/>
          <w:sz w:val="24"/>
          <w:szCs w:val="24"/>
        </w:rPr>
        <w:t>“</w:t>
      </w:r>
      <w:r w:rsidR="00C13658" w:rsidRPr="00873FDA">
        <w:rPr>
          <w:rFonts w:ascii="Times New Roman" w:hAnsi="Times New Roman" w:cs="Times New Roman"/>
          <w:b/>
          <w:sz w:val="24"/>
          <w:szCs w:val="24"/>
        </w:rPr>
        <w:t>Transmission Rates &gt;</w:t>
      </w:r>
      <w:r w:rsidRPr="00873FDA">
        <w:rPr>
          <w:rFonts w:ascii="Times New Roman" w:hAnsi="Times New Roman" w:cs="Times New Roman"/>
          <w:b/>
          <w:sz w:val="24"/>
          <w:szCs w:val="24"/>
        </w:rPr>
        <w:t xml:space="preserve"> Supporting Documents”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 folder</w:t>
      </w:r>
      <w:r w:rsidRPr="00873FDA">
        <w:rPr>
          <w:rFonts w:ascii="Times New Roman" w:hAnsi="Times New Roman" w:cs="Times New Roman"/>
          <w:b/>
          <w:sz w:val="24"/>
          <w:szCs w:val="24"/>
        </w:rPr>
        <w:t>.</w:t>
      </w:r>
    </w:p>
    <w:p w14:paraId="052D9FA0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516FDA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 xml:space="preserve">Provide the formula rate calculations and all inputs thereto, as well as supporting documentation and </w:t>
      </w:r>
      <w:proofErr w:type="spellStart"/>
      <w:r w:rsidRPr="00873FDA">
        <w:rPr>
          <w:rFonts w:ascii="Times New Roman" w:hAnsi="Times New Roman" w:cs="Times New Roman"/>
          <w:sz w:val="24"/>
          <w:szCs w:val="24"/>
        </w:rPr>
        <w:t>workpapers</w:t>
      </w:r>
      <w:proofErr w:type="spellEnd"/>
      <w:r w:rsidRPr="00873FDA">
        <w:rPr>
          <w:rFonts w:ascii="Times New Roman" w:hAnsi="Times New Roman" w:cs="Times New Roman"/>
          <w:sz w:val="24"/>
          <w:szCs w:val="24"/>
        </w:rPr>
        <w:t xml:space="preserve"> for data that are used in the formula rate that are not otherwise available in the FERC Form No. 1;</w:t>
      </w:r>
    </w:p>
    <w:p w14:paraId="493CD6E9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>Response: 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Pr="00873FDA">
        <w:rPr>
          <w:rFonts w:ascii="Times New Roman" w:hAnsi="Times New Roman" w:cs="Times New Roman"/>
          <w:b/>
          <w:sz w:val="24"/>
          <w:szCs w:val="24"/>
        </w:rPr>
        <w:t>E/KU formula rate calculations and all inputs thereto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 xml:space="preserve"> are included in the document reference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d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 xml:space="preserve"> in response to Item #1.  S</w:t>
      </w:r>
      <w:r w:rsidRPr="00873FDA">
        <w:rPr>
          <w:rFonts w:ascii="Times New Roman" w:hAnsi="Times New Roman" w:cs="Times New Roman"/>
          <w:b/>
          <w:sz w:val="24"/>
          <w:szCs w:val="24"/>
        </w:rPr>
        <w:t xml:space="preserve">upporting documentation and </w:t>
      </w:r>
      <w:proofErr w:type="spellStart"/>
      <w:r w:rsidRPr="00873FDA">
        <w:rPr>
          <w:rFonts w:ascii="Times New Roman" w:hAnsi="Times New Roman" w:cs="Times New Roman"/>
          <w:b/>
          <w:sz w:val="24"/>
          <w:szCs w:val="24"/>
        </w:rPr>
        <w:t>workpapers</w:t>
      </w:r>
      <w:proofErr w:type="spellEnd"/>
      <w:r w:rsidRPr="00873FDA">
        <w:rPr>
          <w:rFonts w:ascii="Times New Roman" w:hAnsi="Times New Roman" w:cs="Times New Roman"/>
          <w:b/>
          <w:sz w:val="24"/>
          <w:szCs w:val="24"/>
        </w:rPr>
        <w:t xml:space="preserve"> for data that are used in the formula rate that are not otherwise available in the FERC Form No. 1 can be located on the LG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Pr="00873FDA">
        <w:rPr>
          <w:rFonts w:ascii="Times New Roman" w:hAnsi="Times New Roman" w:cs="Times New Roman"/>
          <w:b/>
          <w:sz w:val="24"/>
          <w:szCs w:val="24"/>
        </w:rPr>
        <w:t xml:space="preserve">E/KU OASIS under 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73FDA">
        <w:rPr>
          <w:rFonts w:ascii="Times New Roman" w:hAnsi="Times New Roman" w:cs="Times New Roman"/>
          <w:b/>
          <w:sz w:val="24"/>
          <w:szCs w:val="24"/>
        </w:rPr>
        <w:t>“Transmission Rates &gt; Supporting Documents”</w:t>
      </w:r>
      <w:r w:rsidR="009A6E46" w:rsidRPr="00873FDA">
        <w:rPr>
          <w:rFonts w:ascii="Times New Roman" w:hAnsi="Times New Roman" w:cs="Times New Roman"/>
          <w:b/>
          <w:sz w:val="24"/>
          <w:szCs w:val="24"/>
        </w:rPr>
        <w:t xml:space="preserve"> folder</w:t>
      </w:r>
      <w:r w:rsidRPr="00873FDA">
        <w:rPr>
          <w:rFonts w:ascii="Times New Roman" w:hAnsi="Times New Roman" w:cs="Times New Roman"/>
          <w:b/>
          <w:sz w:val="24"/>
          <w:szCs w:val="24"/>
        </w:rPr>
        <w:t>.</w:t>
      </w:r>
    </w:p>
    <w:p w14:paraId="3E0D84E2" w14:textId="77777777" w:rsidR="00C13658" w:rsidRPr="00873FDA" w:rsidRDefault="00CF1C14" w:rsidP="00CF1C14">
      <w:pPr>
        <w:pStyle w:val="ListParagraph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ab/>
      </w:r>
    </w:p>
    <w:p w14:paraId="27AF9C95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>Provide sufficient information to enable Interested Parties (as that term is defined in Section II.E of these protocols) to replicate the calculation of the formula</w:t>
      </w:r>
      <w:r w:rsidR="00C13658" w:rsidRPr="00873FDA">
        <w:rPr>
          <w:rFonts w:ascii="Times New Roman" w:hAnsi="Times New Roman" w:cs="Times New Roman"/>
          <w:sz w:val="24"/>
          <w:szCs w:val="24"/>
        </w:rPr>
        <w:t xml:space="preserve"> </w:t>
      </w:r>
      <w:r w:rsidRPr="00873FDA">
        <w:rPr>
          <w:rFonts w:ascii="Times New Roman" w:hAnsi="Times New Roman" w:cs="Times New Roman"/>
          <w:sz w:val="24"/>
          <w:szCs w:val="24"/>
        </w:rPr>
        <w:t xml:space="preserve">Louisville Gas and Electric </w:t>
      </w:r>
      <w:r w:rsidR="00C13658" w:rsidRPr="00873FDA">
        <w:rPr>
          <w:rFonts w:ascii="Times New Roman" w:hAnsi="Times New Roman" w:cs="Times New Roman"/>
          <w:sz w:val="24"/>
          <w:szCs w:val="24"/>
        </w:rPr>
        <w:t>C</w:t>
      </w:r>
      <w:r w:rsidRPr="00873FDA">
        <w:rPr>
          <w:rFonts w:ascii="Times New Roman" w:hAnsi="Times New Roman" w:cs="Times New Roman"/>
          <w:sz w:val="24"/>
          <w:szCs w:val="24"/>
        </w:rPr>
        <w:t>ompany Exhibit I Protocols results using the FERC Form No. 1 and any data not otherwise available in the FERC Form No. 1;</w:t>
      </w:r>
    </w:p>
    <w:p w14:paraId="1716C8BD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 xml:space="preserve">Response: 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>See the documents referenced in response to Items #1 and #3.</w:t>
      </w:r>
    </w:p>
    <w:p w14:paraId="601FAE82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A76A5BE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>Identify any changes in the formula references (page and line numbers) to the FERC Form No. 1;</w:t>
      </w:r>
    </w:p>
    <w:p w14:paraId="74C12ECE" w14:textId="77777777" w:rsidR="00031D89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>Response: LG</w:t>
      </w:r>
      <w:r w:rsidR="003B7164" w:rsidRPr="00873FDA">
        <w:rPr>
          <w:rFonts w:ascii="Times New Roman" w:hAnsi="Times New Roman" w:cs="Times New Roman"/>
          <w:b/>
          <w:sz w:val="24"/>
          <w:szCs w:val="24"/>
        </w:rPr>
        <w:t>&amp;</w:t>
      </w:r>
      <w:r w:rsidRPr="00873FDA">
        <w:rPr>
          <w:rFonts w:ascii="Times New Roman" w:hAnsi="Times New Roman" w:cs="Times New Roman"/>
          <w:b/>
          <w:sz w:val="24"/>
          <w:szCs w:val="24"/>
        </w:rPr>
        <w:t>E/KU identif</w:t>
      </w:r>
      <w:r w:rsidR="00A5039A" w:rsidRPr="00873FDA">
        <w:rPr>
          <w:rFonts w:ascii="Times New Roman" w:hAnsi="Times New Roman" w:cs="Times New Roman"/>
          <w:b/>
          <w:sz w:val="24"/>
          <w:szCs w:val="24"/>
        </w:rPr>
        <w:t>ied</w:t>
      </w:r>
      <w:r w:rsidRPr="00873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39A" w:rsidRPr="00873FDA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Pr="00873FDA">
        <w:rPr>
          <w:rFonts w:ascii="Times New Roman" w:hAnsi="Times New Roman" w:cs="Times New Roman"/>
          <w:b/>
          <w:sz w:val="24"/>
          <w:szCs w:val="24"/>
        </w:rPr>
        <w:t>changes in the formula references (page and line numbers) to the FERC Form No. 1.</w:t>
      </w:r>
      <w:r w:rsidR="00031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D8B4C" w14:textId="77777777" w:rsidR="00031D89" w:rsidRDefault="00973494" w:rsidP="00031D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D89">
        <w:rPr>
          <w:rFonts w:ascii="Times New Roman" w:hAnsi="Times New Roman" w:cs="Times New Roman"/>
          <w:sz w:val="24"/>
          <w:szCs w:val="24"/>
        </w:rPr>
        <w:t xml:space="preserve">Updated </w:t>
      </w:r>
      <w:r w:rsidR="00031D89" w:rsidRPr="00031D89">
        <w:rPr>
          <w:rFonts w:ascii="Times New Roman" w:hAnsi="Times New Roman" w:cs="Times New Roman"/>
          <w:sz w:val="24"/>
          <w:szCs w:val="24"/>
        </w:rPr>
        <w:t>Form 1 references for the following cells on the OATT Input Data tab:</w:t>
      </w:r>
    </w:p>
    <w:p w14:paraId="1845C332" w14:textId="77777777" w:rsidR="00031D89" w:rsidRDefault="00031D89" w:rsidP="0053007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244">
        <w:rPr>
          <w:rFonts w:ascii="Times New Roman" w:hAnsi="Times New Roman" w:cs="Times New Roman"/>
          <w:sz w:val="24"/>
          <w:szCs w:val="24"/>
        </w:rPr>
        <w:t xml:space="preserve">B352-B398 updated FERC Form 1 references for all page 330 and 330.1 inputs based on 2017 activity; </w:t>
      </w:r>
      <w:r w:rsidRPr="00530073">
        <w:rPr>
          <w:rFonts w:ascii="Times New Roman" w:hAnsi="Times New Roman" w:cs="Times New Roman"/>
          <w:sz w:val="24"/>
          <w:szCs w:val="24"/>
        </w:rPr>
        <w:tab/>
      </w:r>
    </w:p>
    <w:p w14:paraId="475E0DCF" w14:textId="77777777" w:rsidR="00530073" w:rsidRPr="00530073" w:rsidRDefault="00530073" w:rsidP="00530073">
      <w:pPr>
        <w:rPr>
          <w:rFonts w:ascii="Times New Roman" w:hAnsi="Times New Roman" w:cs="Times New Roman"/>
          <w:sz w:val="24"/>
          <w:szCs w:val="24"/>
        </w:rPr>
      </w:pPr>
    </w:p>
    <w:p w14:paraId="7E44A453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>Identify all material adjustments made to the FERC Form No. 1 data in determining formula inputs, including relevant footnotes to the FERC Form No. 1 and any adjustments not shown in the FERC Form No. 1;</w:t>
      </w:r>
    </w:p>
    <w:p w14:paraId="2A60F419" w14:textId="77777777" w:rsidR="00C13658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>Response: LGE/KU identif</w:t>
      </w:r>
      <w:r w:rsidR="00D17244">
        <w:rPr>
          <w:rFonts w:ascii="Times New Roman" w:hAnsi="Times New Roman" w:cs="Times New Roman"/>
          <w:b/>
          <w:sz w:val="24"/>
          <w:szCs w:val="24"/>
        </w:rPr>
        <w:t xml:space="preserve">ied the following </w:t>
      </w:r>
      <w:r w:rsidRPr="00873FDA">
        <w:rPr>
          <w:rFonts w:ascii="Times New Roman" w:hAnsi="Times New Roman" w:cs="Times New Roman"/>
          <w:b/>
          <w:sz w:val="24"/>
          <w:szCs w:val="24"/>
        </w:rPr>
        <w:t>adjustments made to the FERC Form No. 1 data in determining formula inputs, including relevant footnotes to the FERC Form No. 1 and any adjustments not shown in the FERC Form No. 1.</w:t>
      </w:r>
    </w:p>
    <w:p w14:paraId="648124F1" w14:textId="6185976A" w:rsidR="00D17244" w:rsidRDefault="00D17244" w:rsidP="0053007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Included </w:t>
      </w:r>
      <w:r w:rsidR="004F574F">
        <w:rPr>
          <w:rFonts w:ascii="Times New Roman" w:hAnsi="Times New Roman" w:cs="Times New Roman"/>
          <w:b/>
          <w:sz w:val="24"/>
          <w:szCs w:val="24"/>
        </w:rPr>
        <w:t>ASC 740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98">
        <w:rPr>
          <w:rFonts w:ascii="Times New Roman" w:hAnsi="Times New Roman" w:cs="Times New Roman"/>
          <w:b/>
          <w:sz w:val="24"/>
          <w:szCs w:val="24"/>
        </w:rPr>
        <w:t xml:space="preserve">ADIT </w:t>
      </w:r>
      <w:r>
        <w:rPr>
          <w:rFonts w:ascii="Times New Roman" w:hAnsi="Times New Roman" w:cs="Times New Roman"/>
          <w:b/>
          <w:sz w:val="24"/>
          <w:szCs w:val="24"/>
        </w:rPr>
        <w:t xml:space="preserve">adjustment amounts for account 282 in cells C135, D135 largely as a result of the TCJA; </w:t>
      </w:r>
    </w:p>
    <w:p w14:paraId="497324CA" w14:textId="5D0EBB3C" w:rsidR="00D17244" w:rsidRDefault="00D17244" w:rsidP="00D1724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Included </w:t>
      </w:r>
      <w:r w:rsidR="004F574F">
        <w:rPr>
          <w:rFonts w:ascii="Times New Roman" w:hAnsi="Times New Roman" w:cs="Times New Roman"/>
          <w:b/>
          <w:sz w:val="24"/>
          <w:szCs w:val="24"/>
        </w:rPr>
        <w:t>ASC 740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98">
        <w:rPr>
          <w:rFonts w:ascii="Times New Roman" w:hAnsi="Times New Roman" w:cs="Times New Roman"/>
          <w:b/>
          <w:sz w:val="24"/>
          <w:szCs w:val="24"/>
        </w:rPr>
        <w:t xml:space="preserve">ADIT </w:t>
      </w:r>
      <w:r>
        <w:rPr>
          <w:rFonts w:ascii="Times New Roman" w:hAnsi="Times New Roman" w:cs="Times New Roman"/>
          <w:b/>
          <w:sz w:val="24"/>
          <w:szCs w:val="24"/>
        </w:rPr>
        <w:t>adjustment amounts for account 283 in cells C1</w:t>
      </w:r>
      <w:r w:rsidR="00E072C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, D1</w:t>
      </w:r>
      <w:r w:rsidR="00E072C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largely as a result of the TCJA; </w:t>
      </w:r>
    </w:p>
    <w:p w14:paraId="61574128" w14:textId="1931E50F" w:rsidR="00E072CB" w:rsidRDefault="00E072CB" w:rsidP="00E072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Included </w:t>
      </w:r>
      <w:r w:rsidR="004F574F">
        <w:rPr>
          <w:rFonts w:ascii="Times New Roman" w:hAnsi="Times New Roman" w:cs="Times New Roman"/>
          <w:b/>
          <w:sz w:val="24"/>
          <w:szCs w:val="24"/>
        </w:rPr>
        <w:t>ASC 740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98">
        <w:rPr>
          <w:rFonts w:ascii="Times New Roman" w:hAnsi="Times New Roman" w:cs="Times New Roman"/>
          <w:b/>
          <w:sz w:val="24"/>
          <w:szCs w:val="24"/>
        </w:rPr>
        <w:t xml:space="preserve">ADIT </w:t>
      </w:r>
      <w:r>
        <w:rPr>
          <w:rFonts w:ascii="Times New Roman" w:hAnsi="Times New Roman" w:cs="Times New Roman"/>
          <w:b/>
          <w:sz w:val="24"/>
          <w:szCs w:val="24"/>
        </w:rPr>
        <w:t>adjustment amounts for account 190 in cells C14</w:t>
      </w:r>
      <w:r w:rsidR="008115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D14</w:t>
      </w:r>
      <w:r w:rsidR="008115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largely as a result of the TCJA; </w:t>
      </w:r>
    </w:p>
    <w:p w14:paraId="6B6B8B52" w14:textId="77777777" w:rsidR="00A843C4" w:rsidRDefault="00D81673" w:rsidP="0053007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Included adjustments to remove from A&amp;G expenses KPSC</w:t>
      </w:r>
      <w:r w:rsidR="006949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approved regulatory asset treatment of pensions and Green River plant retirement in cells C198, C199, and D198;</w:t>
      </w:r>
    </w:p>
    <w:p w14:paraId="17CCC94B" w14:textId="70768A18" w:rsidR="00D17244" w:rsidRPr="000410C0" w:rsidRDefault="00A843C4" w:rsidP="0053007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10C0">
        <w:rPr>
          <w:rFonts w:ascii="Times New Roman" w:hAnsi="Times New Roman" w:cs="Times New Roman"/>
          <w:b/>
          <w:sz w:val="24"/>
          <w:szCs w:val="24"/>
        </w:rPr>
        <w:t>In</w:t>
      </w:r>
      <w:r w:rsidRPr="00D75D34">
        <w:rPr>
          <w:rFonts w:ascii="Times New Roman" w:hAnsi="Times New Roman" w:cs="Times New Roman"/>
          <w:b/>
          <w:sz w:val="24"/>
          <w:szCs w:val="24"/>
        </w:rPr>
        <w:t>cl</w:t>
      </w:r>
      <w:r w:rsidRPr="000410C0">
        <w:rPr>
          <w:rFonts w:ascii="Times New Roman" w:hAnsi="Times New Roman" w:cs="Times New Roman"/>
          <w:b/>
          <w:sz w:val="24"/>
          <w:szCs w:val="24"/>
        </w:rPr>
        <w:t>uded adjustment to remove from plant related tax expense KPSC</w:t>
      </w:r>
      <w:r w:rsidR="0069496C" w:rsidRPr="000410C0">
        <w:rPr>
          <w:rFonts w:ascii="Times New Roman" w:hAnsi="Times New Roman" w:cs="Times New Roman"/>
          <w:b/>
          <w:sz w:val="24"/>
          <w:szCs w:val="24"/>
        </w:rPr>
        <w:t>-</w:t>
      </w:r>
      <w:r w:rsidRPr="000410C0">
        <w:rPr>
          <w:rFonts w:ascii="Times New Roman" w:hAnsi="Times New Roman" w:cs="Times New Roman"/>
          <w:b/>
          <w:sz w:val="24"/>
          <w:szCs w:val="24"/>
        </w:rPr>
        <w:t xml:space="preserve">approved regulatory asset treatment of Green River plant retirement in cell </w:t>
      </w:r>
      <w:r w:rsidR="00D75D34">
        <w:rPr>
          <w:rFonts w:ascii="Times New Roman" w:hAnsi="Times New Roman" w:cs="Times New Roman"/>
          <w:b/>
          <w:sz w:val="24"/>
          <w:szCs w:val="24"/>
        </w:rPr>
        <w:t>C</w:t>
      </w:r>
      <w:r w:rsidR="00ED3887">
        <w:rPr>
          <w:rFonts w:ascii="Times New Roman" w:hAnsi="Times New Roman" w:cs="Times New Roman"/>
          <w:b/>
          <w:sz w:val="24"/>
          <w:szCs w:val="24"/>
        </w:rPr>
        <w:t>232</w:t>
      </w:r>
      <w:r w:rsidRPr="00D75D34">
        <w:rPr>
          <w:rFonts w:ascii="Times New Roman" w:hAnsi="Times New Roman" w:cs="Times New Roman"/>
          <w:b/>
          <w:sz w:val="24"/>
          <w:szCs w:val="24"/>
        </w:rPr>
        <w:t>;</w:t>
      </w:r>
      <w:r w:rsidR="00D81673" w:rsidRPr="000410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6530981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069BC" w14:textId="77777777" w:rsidR="0026309C" w:rsidRPr="00873FDA" w:rsidRDefault="0026309C" w:rsidP="00263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DA">
        <w:rPr>
          <w:rFonts w:ascii="Times New Roman" w:hAnsi="Times New Roman" w:cs="Times New Roman"/>
          <w:sz w:val="24"/>
          <w:szCs w:val="24"/>
        </w:rPr>
        <w:t>Provide underlying data for formula rate inputs that provide greater granularity than is required for the FERC Form No. 1;</w:t>
      </w:r>
    </w:p>
    <w:p w14:paraId="57054343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3FDA">
        <w:rPr>
          <w:rFonts w:ascii="Times New Roman" w:hAnsi="Times New Roman" w:cs="Times New Roman"/>
          <w:b/>
          <w:sz w:val="24"/>
          <w:szCs w:val="24"/>
        </w:rPr>
        <w:t xml:space="preserve">Response: </w:t>
      </w:r>
      <w:r w:rsidR="00CC323B" w:rsidRPr="00873FDA">
        <w:rPr>
          <w:rFonts w:ascii="Times New Roman" w:hAnsi="Times New Roman" w:cs="Times New Roman"/>
          <w:b/>
          <w:sz w:val="24"/>
          <w:szCs w:val="24"/>
        </w:rPr>
        <w:t>See the documents referenced in the response to Item #3.</w:t>
      </w:r>
    </w:p>
    <w:p w14:paraId="7FF245BD" w14:textId="77777777" w:rsidR="00C13658" w:rsidRPr="00873FDA" w:rsidRDefault="00C13658" w:rsidP="00C13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9D03C" w14:textId="77777777" w:rsidR="001D4759" w:rsidRDefault="001D4759" w:rsidP="001D4759">
      <w:pPr>
        <w:pStyle w:val="Default"/>
        <w:numPr>
          <w:ilvl w:val="0"/>
          <w:numId w:val="6"/>
        </w:numPr>
      </w:pPr>
      <w:r>
        <w:rPr>
          <w:sz w:val="23"/>
          <w:szCs w:val="23"/>
        </w:rPr>
        <w:t xml:space="preserve">With respect to any change in accounting that affects inputs to the formula rate or the resulting charges billed under the formula rate (“Accounting Change”): </w:t>
      </w:r>
    </w:p>
    <w:p w14:paraId="76164FA8" w14:textId="77777777" w:rsidR="001D4759" w:rsidRDefault="001D4759" w:rsidP="001D4759">
      <w:pPr>
        <w:pStyle w:val="Default"/>
        <w:numPr>
          <w:ilvl w:val="1"/>
          <w:numId w:val="6"/>
        </w:numPr>
      </w:pPr>
      <w:r w:rsidRPr="007672C1">
        <w:rPr>
          <w:sz w:val="23"/>
          <w:szCs w:val="23"/>
        </w:rPr>
        <w:t xml:space="preserve">Identify any Accounting Changes, including </w:t>
      </w:r>
    </w:p>
    <w:p w14:paraId="50FAD345" w14:textId="77777777" w:rsidR="001D4759" w:rsidRPr="007672C1" w:rsidRDefault="001D4759" w:rsidP="001D4759">
      <w:pPr>
        <w:pStyle w:val="Default"/>
        <w:numPr>
          <w:ilvl w:val="2"/>
          <w:numId w:val="6"/>
        </w:numPr>
      </w:pPr>
      <w:r w:rsidRPr="007672C1">
        <w:rPr>
          <w:sz w:val="23"/>
          <w:szCs w:val="23"/>
        </w:rPr>
        <w:t xml:space="preserve">The initial implementation of an accounting standard or policy; </w:t>
      </w:r>
    </w:p>
    <w:p w14:paraId="4187E5FE" w14:textId="77777777" w:rsidR="001D4759" w:rsidRDefault="001D4759" w:rsidP="001D4759">
      <w:pPr>
        <w:pStyle w:val="Default"/>
        <w:ind w:left="2160"/>
        <w:rPr>
          <w:b/>
        </w:rPr>
      </w:pPr>
      <w:r w:rsidRPr="007672C1">
        <w:rPr>
          <w:b/>
        </w:rPr>
        <w:t>Response:</w:t>
      </w:r>
      <w:r>
        <w:rPr>
          <w:b/>
        </w:rPr>
        <w:t xml:space="preserve"> LGE/KU has removed the effect of certain regulatory assets and liabilities authorized by the state regulatory commissions from the FERC formula rate. LGE/KU did not identify any other changes.</w:t>
      </w:r>
    </w:p>
    <w:p w14:paraId="158F18A5" w14:textId="77777777" w:rsidR="001D4759" w:rsidRDefault="001D4759" w:rsidP="001D4759">
      <w:pPr>
        <w:pStyle w:val="Default"/>
        <w:ind w:left="2160"/>
        <w:rPr>
          <w:b/>
        </w:rPr>
      </w:pPr>
    </w:p>
    <w:p w14:paraId="2DB11D7A" w14:textId="77777777" w:rsidR="001D4759" w:rsidRDefault="001D4759" w:rsidP="001D4759">
      <w:pPr>
        <w:pStyle w:val="Default"/>
        <w:numPr>
          <w:ilvl w:val="2"/>
          <w:numId w:val="6"/>
        </w:numPr>
      </w:pPr>
      <w:r>
        <w:t xml:space="preserve">The initial implementation of accounting practices for unusual or unconventional items where FERC has not provided specific accounting direction; </w:t>
      </w:r>
    </w:p>
    <w:p w14:paraId="7EC4993F" w14:textId="77777777" w:rsidR="001D4759" w:rsidRDefault="001D4759" w:rsidP="001D4759">
      <w:pPr>
        <w:pStyle w:val="Default"/>
        <w:ind w:left="2160"/>
        <w:rPr>
          <w:b/>
        </w:rPr>
      </w:pPr>
      <w:r w:rsidRPr="007672C1">
        <w:rPr>
          <w:b/>
        </w:rPr>
        <w:t>Response:</w:t>
      </w:r>
      <w:r>
        <w:rPr>
          <w:b/>
        </w:rPr>
        <w:t xml:space="preserve"> LGE/KU did not identify any changes.</w:t>
      </w:r>
    </w:p>
    <w:p w14:paraId="57381479" w14:textId="77777777" w:rsidR="001D4759" w:rsidRDefault="001D4759" w:rsidP="001D4759">
      <w:pPr>
        <w:pStyle w:val="Default"/>
        <w:ind w:left="2160"/>
        <w:rPr>
          <w:b/>
        </w:rPr>
      </w:pPr>
    </w:p>
    <w:p w14:paraId="1D765946" w14:textId="77777777" w:rsidR="001D4759" w:rsidRDefault="001D4759" w:rsidP="001D4759">
      <w:pPr>
        <w:pStyle w:val="Default"/>
        <w:numPr>
          <w:ilvl w:val="2"/>
          <w:numId w:val="6"/>
        </w:numPr>
      </w:pPr>
      <w:r>
        <w:t>c</w:t>
      </w:r>
      <w:r w:rsidRPr="007672C1">
        <w:t>orrection of errors and prior period adjustments that impact the revenue requirement;</w:t>
      </w:r>
    </w:p>
    <w:p w14:paraId="604B9ACF" w14:textId="77777777" w:rsidR="001D4759" w:rsidRPr="0005068C" w:rsidRDefault="001D4759" w:rsidP="001D4759">
      <w:pPr>
        <w:pStyle w:val="Default"/>
        <w:ind w:left="1440" w:firstLine="720"/>
        <w:rPr>
          <w:b/>
        </w:rPr>
      </w:pPr>
      <w:r w:rsidRPr="007672C1">
        <w:rPr>
          <w:b/>
        </w:rPr>
        <w:t>Response:</w:t>
      </w:r>
      <w:r>
        <w:rPr>
          <w:b/>
        </w:rPr>
        <w:t xml:space="preserve"> LGE/KU reports the following adjustments. </w:t>
      </w:r>
    </w:p>
    <w:p w14:paraId="4F7EE2DF" w14:textId="77777777" w:rsidR="001D4759" w:rsidRPr="00B41F39" w:rsidRDefault="001D4759" w:rsidP="001D4759">
      <w:pPr>
        <w:pStyle w:val="Default"/>
        <w:numPr>
          <w:ilvl w:val="0"/>
          <w:numId w:val="7"/>
        </w:numPr>
        <w:ind w:left="2160"/>
        <w:jc w:val="both"/>
        <w:rPr>
          <w:sz w:val="23"/>
          <w:szCs w:val="23"/>
        </w:rPr>
      </w:pPr>
      <w:r w:rsidRPr="00B41F39">
        <w:rPr>
          <w:b/>
          <w:bCs/>
          <w:sz w:val="23"/>
          <w:szCs w:val="23"/>
        </w:rPr>
        <w:t xml:space="preserve">LGE/KU routinely reviews charges to capital projects to ensure accurate classification and makes reclassifications to O&amp;M for previous year charges where appropriate. Such reclassifications may impact the determination of the Attachment O revenue requirement, depending on accounts impacted and type of charges being reclassified. </w:t>
      </w:r>
    </w:p>
    <w:p w14:paraId="51D25F86" w14:textId="77777777" w:rsidR="001D4759" w:rsidRPr="00B41F39" w:rsidRDefault="001D4759" w:rsidP="001D4759">
      <w:pPr>
        <w:pStyle w:val="Default"/>
        <w:numPr>
          <w:ilvl w:val="0"/>
          <w:numId w:val="7"/>
        </w:numPr>
        <w:ind w:left="2160"/>
        <w:jc w:val="both"/>
        <w:rPr>
          <w:b/>
          <w:sz w:val="23"/>
          <w:szCs w:val="23"/>
        </w:rPr>
      </w:pPr>
      <w:r w:rsidRPr="00B41F39">
        <w:rPr>
          <w:b/>
          <w:sz w:val="23"/>
          <w:szCs w:val="23"/>
        </w:rPr>
        <w:t>Letter of credit fees allocated to LKE by PPL Capital Funding were not properly allocated between the utilit</w:t>
      </w:r>
      <w:r>
        <w:rPr>
          <w:b/>
          <w:sz w:val="23"/>
          <w:szCs w:val="23"/>
        </w:rPr>
        <w:t>ies</w:t>
      </w:r>
      <w:r w:rsidRPr="00B41F39">
        <w:rPr>
          <w:b/>
          <w:sz w:val="23"/>
          <w:szCs w:val="23"/>
        </w:rPr>
        <w:t xml:space="preserve">, capital and service companies in a prior period. The fees were </w:t>
      </w:r>
      <w:r>
        <w:rPr>
          <w:b/>
          <w:sz w:val="23"/>
          <w:szCs w:val="23"/>
        </w:rPr>
        <w:t xml:space="preserve">properly </w:t>
      </w:r>
      <w:r w:rsidRPr="00B41F39">
        <w:rPr>
          <w:b/>
          <w:sz w:val="23"/>
          <w:szCs w:val="23"/>
        </w:rPr>
        <w:t>allocated according to the Utilities Services Agreement approved by the Virginia State Corporations Commission resulting in an increase in O&amp;M expense to the Utilities</w:t>
      </w:r>
      <w:r>
        <w:rPr>
          <w:b/>
          <w:sz w:val="23"/>
          <w:szCs w:val="23"/>
        </w:rPr>
        <w:t xml:space="preserve"> in the current period</w:t>
      </w:r>
      <w:r w:rsidRPr="00B41F39">
        <w:rPr>
          <w:b/>
          <w:sz w:val="23"/>
          <w:szCs w:val="23"/>
        </w:rPr>
        <w:t>.</w:t>
      </w:r>
    </w:p>
    <w:p w14:paraId="0EA781B5" w14:textId="77777777" w:rsidR="001D4759" w:rsidRPr="00B41F39" w:rsidRDefault="001D4759" w:rsidP="001D4759">
      <w:pPr>
        <w:pStyle w:val="Default"/>
        <w:numPr>
          <w:ilvl w:val="0"/>
          <w:numId w:val="7"/>
        </w:numPr>
        <w:ind w:left="2160"/>
        <w:jc w:val="both"/>
        <w:rPr>
          <w:b/>
          <w:sz w:val="23"/>
          <w:szCs w:val="23"/>
        </w:rPr>
      </w:pPr>
      <w:r w:rsidRPr="00B41F39">
        <w:rPr>
          <w:b/>
          <w:sz w:val="23"/>
          <w:szCs w:val="23"/>
        </w:rPr>
        <w:lastRenderedPageBreak/>
        <w:t xml:space="preserve">As part of the </w:t>
      </w:r>
      <w:r>
        <w:rPr>
          <w:b/>
          <w:sz w:val="23"/>
          <w:szCs w:val="23"/>
        </w:rPr>
        <w:t xml:space="preserve">utilities </w:t>
      </w:r>
      <w:r w:rsidRPr="00B41F39">
        <w:rPr>
          <w:b/>
          <w:sz w:val="23"/>
          <w:szCs w:val="23"/>
        </w:rPr>
        <w:t>allocation process, LGE/KU identified an improper allocation of A&amp;G costs related to one facility location. Correct allocation rules were subsequently applied resulting in an increase in O&amp;M expense</w:t>
      </w:r>
      <w:r>
        <w:rPr>
          <w:b/>
          <w:sz w:val="23"/>
          <w:szCs w:val="23"/>
        </w:rPr>
        <w:t xml:space="preserve"> in the current period</w:t>
      </w:r>
      <w:r w:rsidRPr="00B41F39">
        <w:rPr>
          <w:b/>
          <w:sz w:val="23"/>
          <w:szCs w:val="23"/>
        </w:rPr>
        <w:t>.</w:t>
      </w:r>
    </w:p>
    <w:p w14:paraId="4B27B10E" w14:textId="77777777" w:rsidR="001D4759" w:rsidRPr="00B41F39" w:rsidRDefault="001D4759" w:rsidP="001D4759">
      <w:pPr>
        <w:pStyle w:val="Default"/>
        <w:numPr>
          <w:ilvl w:val="0"/>
          <w:numId w:val="7"/>
        </w:numPr>
        <w:ind w:left="2160"/>
        <w:jc w:val="both"/>
        <w:rPr>
          <w:b/>
          <w:sz w:val="23"/>
          <w:szCs w:val="23"/>
        </w:rPr>
      </w:pPr>
      <w:r w:rsidRPr="00B41F39">
        <w:rPr>
          <w:b/>
          <w:sz w:val="23"/>
          <w:szCs w:val="23"/>
        </w:rPr>
        <w:t>LGE/KU routinely reviews the amortization of intercompany prepaid transactions. An adjustment was required to correct the allocation of prepaid expense between LG&amp;E/KU</w:t>
      </w:r>
      <w:r>
        <w:rPr>
          <w:b/>
          <w:sz w:val="23"/>
          <w:szCs w:val="23"/>
        </w:rPr>
        <w:t xml:space="preserve"> in the current period</w:t>
      </w:r>
      <w:r w:rsidRPr="00B41F39">
        <w:rPr>
          <w:b/>
          <w:sz w:val="23"/>
          <w:szCs w:val="23"/>
        </w:rPr>
        <w:t>.</w:t>
      </w:r>
    </w:p>
    <w:p w14:paraId="4CC037AF" w14:textId="77777777" w:rsidR="001D4759" w:rsidRPr="00B41F39" w:rsidRDefault="001D4759" w:rsidP="001D4759">
      <w:pPr>
        <w:pStyle w:val="Default"/>
        <w:numPr>
          <w:ilvl w:val="0"/>
          <w:numId w:val="7"/>
        </w:numPr>
        <w:ind w:left="2160"/>
        <w:jc w:val="both"/>
        <w:rPr>
          <w:b/>
          <w:sz w:val="23"/>
          <w:szCs w:val="23"/>
        </w:rPr>
      </w:pPr>
      <w:r w:rsidRPr="00B41F39">
        <w:rPr>
          <w:b/>
          <w:sz w:val="23"/>
          <w:szCs w:val="23"/>
        </w:rPr>
        <w:t xml:space="preserve">LGE/KU identified a duplicate payment by Accounts Payable, which was subsequently refunded by the vendor in </w:t>
      </w:r>
      <w:r>
        <w:rPr>
          <w:b/>
          <w:sz w:val="23"/>
          <w:szCs w:val="23"/>
        </w:rPr>
        <w:t xml:space="preserve">a </w:t>
      </w:r>
      <w:r w:rsidRPr="00B41F39">
        <w:rPr>
          <w:b/>
          <w:sz w:val="23"/>
          <w:szCs w:val="23"/>
        </w:rPr>
        <w:t>prior period, but not properly applied by LGE/KU. This adjustment resulted in an increase in O&amp;M expense</w:t>
      </w:r>
      <w:r>
        <w:rPr>
          <w:b/>
          <w:sz w:val="23"/>
          <w:szCs w:val="23"/>
        </w:rPr>
        <w:t xml:space="preserve"> in the current period</w:t>
      </w:r>
      <w:r w:rsidRPr="00B41F39">
        <w:rPr>
          <w:b/>
          <w:sz w:val="23"/>
          <w:szCs w:val="23"/>
        </w:rPr>
        <w:t>.</w:t>
      </w:r>
    </w:p>
    <w:p w14:paraId="05250700" w14:textId="77777777" w:rsidR="001D4759" w:rsidRDefault="001D4759" w:rsidP="001D4759">
      <w:pPr>
        <w:pStyle w:val="Default"/>
        <w:ind w:left="720"/>
        <w:rPr>
          <w:b/>
        </w:rPr>
      </w:pPr>
    </w:p>
    <w:p w14:paraId="788A36FB" w14:textId="77777777" w:rsidR="001D4759" w:rsidRDefault="001D4759" w:rsidP="001D4759">
      <w:pPr>
        <w:pStyle w:val="Default"/>
        <w:numPr>
          <w:ilvl w:val="2"/>
          <w:numId w:val="6"/>
        </w:numPr>
      </w:pPr>
      <w:r>
        <w:t>the implementation of new estimation methods or policies that change prior estimates; and</w:t>
      </w:r>
    </w:p>
    <w:p w14:paraId="696C2CEC" w14:textId="77777777" w:rsidR="001D4759" w:rsidRDefault="001D4759" w:rsidP="001D4759">
      <w:pPr>
        <w:pStyle w:val="Default"/>
        <w:ind w:left="2160"/>
        <w:rPr>
          <w:b/>
        </w:rPr>
      </w:pPr>
      <w:r w:rsidRPr="00AF2ADE">
        <w:rPr>
          <w:b/>
        </w:rPr>
        <w:t xml:space="preserve">Response: </w:t>
      </w:r>
      <w:r>
        <w:rPr>
          <w:b/>
        </w:rPr>
        <w:t>LGE/KU did not identify any changes.</w:t>
      </w:r>
    </w:p>
    <w:p w14:paraId="76044FBE" w14:textId="77777777" w:rsidR="001D4759" w:rsidRDefault="001D4759" w:rsidP="001D4759">
      <w:pPr>
        <w:pStyle w:val="Default"/>
        <w:ind w:left="2160"/>
        <w:jc w:val="both"/>
      </w:pPr>
    </w:p>
    <w:p w14:paraId="1E742F73" w14:textId="77777777" w:rsidR="001D4759" w:rsidRDefault="001D4759" w:rsidP="001D4759">
      <w:pPr>
        <w:pStyle w:val="Default"/>
        <w:numPr>
          <w:ilvl w:val="2"/>
          <w:numId w:val="6"/>
        </w:numPr>
      </w:pPr>
      <w:r>
        <w:t>changes to income tax elections;</w:t>
      </w:r>
    </w:p>
    <w:p w14:paraId="6A4D1954" w14:textId="77777777" w:rsidR="001D4759" w:rsidRDefault="001D4759" w:rsidP="001D4759">
      <w:pPr>
        <w:pStyle w:val="Default"/>
        <w:ind w:left="2160"/>
        <w:rPr>
          <w:b/>
        </w:rPr>
      </w:pPr>
      <w:r w:rsidRPr="00992661">
        <w:rPr>
          <w:b/>
        </w:rPr>
        <w:t>Response:</w:t>
      </w:r>
      <w:r>
        <w:rPr>
          <w:b/>
        </w:rPr>
        <w:t xml:space="preserve"> LGE/KU did not identify any changes.</w:t>
      </w:r>
    </w:p>
    <w:p w14:paraId="2AD1A174" w14:textId="77777777" w:rsidR="001D4759" w:rsidRDefault="001D4759" w:rsidP="001D4759">
      <w:pPr>
        <w:pStyle w:val="Default"/>
        <w:ind w:left="2160"/>
      </w:pPr>
    </w:p>
    <w:p w14:paraId="472BB53C" w14:textId="77777777" w:rsidR="001D4759" w:rsidRDefault="001D4759" w:rsidP="001D4759">
      <w:pPr>
        <w:pStyle w:val="Default"/>
        <w:numPr>
          <w:ilvl w:val="1"/>
          <w:numId w:val="6"/>
        </w:numPr>
      </w:pPr>
      <w:r>
        <w:t>Identify items included in the formula rate at an amount other than on a historic cost basis (e.g., fair value adjustments);</w:t>
      </w:r>
    </w:p>
    <w:p w14:paraId="72D48D52" w14:textId="77777777" w:rsidR="001D4759" w:rsidRDefault="001D4759" w:rsidP="001D4759">
      <w:pPr>
        <w:pStyle w:val="Default"/>
        <w:ind w:left="1440"/>
        <w:rPr>
          <w:b/>
        </w:rPr>
      </w:pPr>
      <w:r w:rsidRPr="007636AF">
        <w:rPr>
          <w:b/>
        </w:rPr>
        <w:t xml:space="preserve">Response: </w:t>
      </w:r>
      <w:r w:rsidRPr="00906365">
        <w:rPr>
          <w:b/>
          <w:bCs/>
          <w:sz w:val="23"/>
          <w:szCs w:val="23"/>
        </w:rPr>
        <w:t>LGE/KU did not have any formula rate items at an amount other than on a historic cost basis (e.g., fair value adjustments).</w:t>
      </w:r>
    </w:p>
    <w:p w14:paraId="5F3E6A6A" w14:textId="77777777" w:rsidR="001D4759" w:rsidRPr="00401241" w:rsidRDefault="001D4759" w:rsidP="001D4759">
      <w:pPr>
        <w:pStyle w:val="Default"/>
        <w:ind w:left="1440"/>
      </w:pPr>
    </w:p>
    <w:p w14:paraId="78854670" w14:textId="77777777" w:rsidR="001D4759" w:rsidRDefault="001D4759" w:rsidP="001D4759">
      <w:pPr>
        <w:pStyle w:val="Default"/>
        <w:numPr>
          <w:ilvl w:val="1"/>
          <w:numId w:val="6"/>
        </w:numPr>
      </w:pPr>
      <w:r>
        <w:t xml:space="preserve">Identify any reorganization or merger transaction during the previous year and explain the effect of the accounting for such transaction(s) on inputs to the formula rate; </w:t>
      </w:r>
    </w:p>
    <w:p w14:paraId="2BEC200A" w14:textId="77777777" w:rsidR="001D4759" w:rsidRPr="007672C1" w:rsidRDefault="001D4759" w:rsidP="001D4759">
      <w:pPr>
        <w:pStyle w:val="Default"/>
        <w:ind w:left="1440"/>
      </w:pPr>
      <w:r>
        <w:rPr>
          <w:b/>
        </w:rPr>
        <w:t xml:space="preserve">Response: </w:t>
      </w:r>
      <w:r>
        <w:rPr>
          <w:b/>
          <w:bCs/>
          <w:sz w:val="23"/>
          <w:szCs w:val="23"/>
        </w:rPr>
        <w:t>LGE/KU did not have any reorganization or merger transactions during the previous year.</w:t>
      </w:r>
    </w:p>
    <w:p w14:paraId="5638CE55" w14:textId="77777777" w:rsidR="00955618" w:rsidRPr="00955618" w:rsidRDefault="00955618" w:rsidP="000C2D80">
      <w:pPr>
        <w:rPr>
          <w:rFonts w:ascii="Times New Roman" w:hAnsi="Times New Roman" w:cs="Times New Roman"/>
          <w:sz w:val="24"/>
          <w:szCs w:val="24"/>
        </w:rPr>
      </w:pPr>
    </w:p>
    <w:sectPr w:rsidR="00955618" w:rsidRPr="00955618" w:rsidSect="00772F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1E69" w14:textId="77777777" w:rsidR="00D10127" w:rsidRDefault="00D10127" w:rsidP="00CF1C14">
      <w:pPr>
        <w:spacing w:after="0" w:line="240" w:lineRule="auto"/>
      </w:pPr>
      <w:r>
        <w:separator/>
      </w:r>
    </w:p>
  </w:endnote>
  <w:endnote w:type="continuationSeparator" w:id="0">
    <w:p w14:paraId="7DA502EC" w14:textId="77777777" w:rsidR="00D10127" w:rsidRDefault="00D10127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19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EB59A" w14:textId="77777777" w:rsidR="00CF1C14" w:rsidRDefault="00CF1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09B5AD" w14:textId="77777777" w:rsidR="00CF1C14" w:rsidRDefault="00CF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9999" w14:textId="77777777" w:rsidR="00D10127" w:rsidRDefault="00D10127" w:rsidP="00CF1C14">
      <w:pPr>
        <w:spacing w:after="0" w:line="240" w:lineRule="auto"/>
      </w:pPr>
      <w:r>
        <w:separator/>
      </w:r>
    </w:p>
  </w:footnote>
  <w:footnote w:type="continuationSeparator" w:id="0">
    <w:p w14:paraId="668AB57F" w14:textId="77777777" w:rsidR="00D10127" w:rsidRDefault="00D10127" w:rsidP="00C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A9A0" w14:textId="77777777" w:rsidR="00CF1C14" w:rsidRPr="00CF1C14" w:rsidRDefault="00CF1C14" w:rsidP="00CF1C14">
    <w:pPr>
      <w:jc w:val="right"/>
      <w:rPr>
        <w:rFonts w:ascii="Times New Roman" w:hAnsi="Times New Roman" w:cs="Times New Roman"/>
        <w:sz w:val="20"/>
        <w:szCs w:val="20"/>
      </w:rPr>
    </w:pPr>
    <w:r w:rsidRPr="00CF1C14">
      <w:rPr>
        <w:rFonts w:ascii="Times New Roman" w:hAnsi="Times New Roman" w:cs="Times New Roman"/>
        <w:sz w:val="20"/>
        <w:szCs w:val="20"/>
      </w:rPr>
      <w:t>Louisville Gas &amp; Electric Company and Kentucky Utilities Company (“LGE/KU”)</w:t>
    </w:r>
  </w:p>
  <w:p w14:paraId="39EA34FE" w14:textId="77777777" w:rsidR="00CF1C14" w:rsidRDefault="00CF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674"/>
    <w:multiLevelType w:val="hybridMultilevel"/>
    <w:tmpl w:val="DB9C8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544735"/>
    <w:multiLevelType w:val="hybridMultilevel"/>
    <w:tmpl w:val="EC00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8DE"/>
    <w:multiLevelType w:val="hybridMultilevel"/>
    <w:tmpl w:val="0534E0BC"/>
    <w:lvl w:ilvl="0" w:tplc="390A9F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31B7"/>
    <w:multiLevelType w:val="hybridMultilevel"/>
    <w:tmpl w:val="E72C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FAC63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77F44"/>
    <w:multiLevelType w:val="hybridMultilevel"/>
    <w:tmpl w:val="A1E673E6"/>
    <w:lvl w:ilvl="0" w:tplc="C0C870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E2157B"/>
    <w:multiLevelType w:val="hybridMultilevel"/>
    <w:tmpl w:val="6EAA084A"/>
    <w:lvl w:ilvl="0" w:tplc="755CC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281ED8"/>
    <w:multiLevelType w:val="hybridMultilevel"/>
    <w:tmpl w:val="0AA6E2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C"/>
    <w:rsid w:val="00002A40"/>
    <w:rsid w:val="00027EE2"/>
    <w:rsid w:val="00031D89"/>
    <w:rsid w:val="000410C0"/>
    <w:rsid w:val="000762DD"/>
    <w:rsid w:val="000C2D80"/>
    <w:rsid w:val="000C42CF"/>
    <w:rsid w:val="00102A57"/>
    <w:rsid w:val="00140FEA"/>
    <w:rsid w:val="00152EA6"/>
    <w:rsid w:val="001B541C"/>
    <w:rsid w:val="001D4759"/>
    <w:rsid w:val="00225D28"/>
    <w:rsid w:val="002541BD"/>
    <w:rsid w:val="0026309C"/>
    <w:rsid w:val="0026723F"/>
    <w:rsid w:val="00335988"/>
    <w:rsid w:val="003A0545"/>
    <w:rsid w:val="003B3D82"/>
    <w:rsid w:val="003B7164"/>
    <w:rsid w:val="003D1197"/>
    <w:rsid w:val="004C3BBB"/>
    <w:rsid w:val="004F3EA3"/>
    <w:rsid w:val="004F574F"/>
    <w:rsid w:val="00530073"/>
    <w:rsid w:val="0054039B"/>
    <w:rsid w:val="0059356C"/>
    <w:rsid w:val="005D1578"/>
    <w:rsid w:val="005E77A8"/>
    <w:rsid w:val="00643CE4"/>
    <w:rsid w:val="0069496C"/>
    <w:rsid w:val="006E43CF"/>
    <w:rsid w:val="00724159"/>
    <w:rsid w:val="00772FA5"/>
    <w:rsid w:val="00793E93"/>
    <w:rsid w:val="007E71CA"/>
    <w:rsid w:val="00811598"/>
    <w:rsid w:val="00833AA5"/>
    <w:rsid w:val="0084217C"/>
    <w:rsid w:val="00873FDA"/>
    <w:rsid w:val="00895A7A"/>
    <w:rsid w:val="00955618"/>
    <w:rsid w:val="00973494"/>
    <w:rsid w:val="009A6E46"/>
    <w:rsid w:val="00A5039A"/>
    <w:rsid w:val="00A5796D"/>
    <w:rsid w:val="00A843C4"/>
    <w:rsid w:val="00AE1DA7"/>
    <w:rsid w:val="00AE6CD1"/>
    <w:rsid w:val="00B565CA"/>
    <w:rsid w:val="00B57301"/>
    <w:rsid w:val="00B93641"/>
    <w:rsid w:val="00BA5666"/>
    <w:rsid w:val="00BE2D97"/>
    <w:rsid w:val="00C13658"/>
    <w:rsid w:val="00C72196"/>
    <w:rsid w:val="00CA3BA1"/>
    <w:rsid w:val="00CA54B7"/>
    <w:rsid w:val="00CA7AF3"/>
    <w:rsid w:val="00CC323B"/>
    <w:rsid w:val="00CF1C14"/>
    <w:rsid w:val="00D05CF8"/>
    <w:rsid w:val="00D10127"/>
    <w:rsid w:val="00D17244"/>
    <w:rsid w:val="00D34503"/>
    <w:rsid w:val="00D67A41"/>
    <w:rsid w:val="00D75D34"/>
    <w:rsid w:val="00D81673"/>
    <w:rsid w:val="00DA22B4"/>
    <w:rsid w:val="00DA6D90"/>
    <w:rsid w:val="00E072CB"/>
    <w:rsid w:val="00E62626"/>
    <w:rsid w:val="00EA2DC6"/>
    <w:rsid w:val="00ED3887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7816"/>
  <w15:chartTrackingRefBased/>
  <w15:docId w15:val="{A252F35D-6E76-4C1B-BF99-D78E620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4"/>
  </w:style>
  <w:style w:type="paragraph" w:styleId="Footer">
    <w:name w:val="footer"/>
    <w:basedOn w:val="Normal"/>
    <w:link w:val="FooterChar"/>
    <w:uiPriority w:val="99"/>
    <w:unhideWhenUsed/>
    <w:rsid w:val="00CF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14"/>
  </w:style>
  <w:style w:type="paragraph" w:styleId="BalloonText">
    <w:name w:val="Balloon Text"/>
    <w:basedOn w:val="Normal"/>
    <w:link w:val="BalloonTextChar"/>
    <w:uiPriority w:val="99"/>
    <w:semiHidden/>
    <w:unhideWhenUsed/>
    <w:rsid w:val="004F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641"/>
    <w:rPr>
      <w:b/>
      <w:bCs/>
      <w:sz w:val="20"/>
      <w:szCs w:val="20"/>
    </w:rPr>
  </w:style>
  <w:style w:type="paragraph" w:customStyle="1" w:styleId="Default">
    <w:name w:val="Default"/>
    <w:rsid w:val="00B57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ulaType xmlns="96f0a793-be57-4d59-8415-1a5293d9af0f">
      <Value>Transmission</Value>
    </FormulaType>
    <DocumentType xmlns="96f0a793-be57-4d59-8415-1a5293d9af0f">2 - Support</DocumentType>
    <Year xmlns="96f0a793-be57-4d59-8415-1a5293d9af0f">2016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EF15BEE8F6D44B70B94443E8C015B" ma:contentTypeVersion="4" ma:contentTypeDescription="Create a new document." ma:contentTypeScope="" ma:versionID="b0afd28e5c96c5356a7a6725ea2caf57">
  <xsd:schema xmlns:xsd="http://www.w3.org/2001/XMLSchema" xmlns:xs="http://www.w3.org/2001/XMLSchema" xmlns:p="http://schemas.microsoft.com/office/2006/metadata/properties" xmlns:ns2="96f0a793-be57-4d59-8415-1a5293d9af0f" targetNamespace="http://schemas.microsoft.com/office/2006/metadata/properties" ma:root="true" ma:fieldsID="52d0e70c568379e6ee5369adb4b0e397" ns2:_="">
    <xsd:import namespace="96f0a793-be57-4d59-8415-1a5293d9af0f"/>
    <xsd:element name="properties">
      <xsd:complexType>
        <xsd:sequence>
          <xsd:element name="documentManagement">
            <xsd:complexType>
              <xsd:all>
                <xsd:element ref="ns2:Year"/>
                <xsd:element ref="ns2:FormulaType" minOccurs="0"/>
                <xsd:element ref="ns2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a793-be57-4d59-8415-1a5293d9af0f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6" ma:format="Dropdown" ma:internalName="Year">
      <xsd:simpleType>
        <xsd:restriction base="dms:Choice">
          <xsd:enumeration value="2016"/>
          <xsd:enumeration value="2015"/>
        </xsd:restriction>
      </xsd:simpleType>
    </xsd:element>
    <xsd:element name="FormulaType" ma:index="9" nillable="true" ma:displayName="Formula Type" ma:internalName="Formula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tion"/>
                    <xsd:enumeration value="Transmission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ma:displayName="Document Type" ma:format="Dropdown" ma:internalName="DocumentType">
      <xsd:simpleType>
        <xsd:restriction base="dms:Choice">
          <xsd:enumeration value="1 - Data Request Assignments"/>
          <xsd:enumeration value="2 - Support"/>
          <xsd:enumeration value="3 - Review Checklists"/>
          <xsd:enumeration value="4 - Filed/Posted Documents"/>
          <xsd:enumeration value="5 - Present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51A96-EA39-4F26-ABB4-296FB5AE0A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96f0a793-be57-4d59-8415-1a5293d9af0f"/>
  </ds:schemaRefs>
</ds:datastoreItem>
</file>

<file path=customXml/itemProps2.xml><?xml version="1.0" encoding="utf-8"?>
<ds:datastoreItem xmlns:ds="http://schemas.openxmlformats.org/officeDocument/2006/customXml" ds:itemID="{4B5E8B1F-E035-4E5D-9F29-839F932D9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2D574-BD8C-4AB6-8B0E-B2D3EDE0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a793-be57-4d59-8415-1a5293d9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6-1-2017 Annual Update (Section II.D of the Protocols) Responses</vt:lpstr>
    </vt:vector>
  </TitlesOfParts>
  <Company>Information Technology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6-1-2017 Annual Update (Section II.D of the Protocols) Responses</dc:title>
  <dc:subject/>
  <dc:creator>Rahn, Derek</dc:creator>
  <cp:keywords/>
  <dc:description/>
  <cp:lastModifiedBy>Rubio, Fernando</cp:lastModifiedBy>
  <cp:revision>6</cp:revision>
  <cp:lastPrinted>2015-05-29T18:18:00Z</cp:lastPrinted>
  <dcterms:created xsi:type="dcterms:W3CDTF">2018-05-30T11:20:00Z</dcterms:created>
  <dcterms:modified xsi:type="dcterms:W3CDTF">2018-06-01T15:47:00Z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0x01010089FEF15BEE8F6D44B70B94443E8C015B</vt:lpwstr>
  </property>
</Properties>
</file>