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D6" w:rsidRPr="008266D6" w:rsidRDefault="008266D6" w:rsidP="008266D6">
      <w:pPr>
        <w:jc w:val="center"/>
      </w:pPr>
      <w:r w:rsidRPr="008266D6">
        <w:t>KENTUCKY UTILITIES COMPANY/LOUISVILLE GAS AND ELECTRIC COMPANY</w:t>
      </w:r>
    </w:p>
    <w:p w:rsidR="008266D6" w:rsidRPr="008266D6" w:rsidRDefault="008266D6" w:rsidP="008266D6">
      <w:pPr>
        <w:jc w:val="center"/>
      </w:pPr>
      <w:r w:rsidRPr="008266D6">
        <w:t>(“KU/LG&amp;E”)</w:t>
      </w:r>
    </w:p>
    <w:p w:rsidR="008266D6" w:rsidRPr="008266D6" w:rsidRDefault="008266D6" w:rsidP="008266D6">
      <w:pPr>
        <w:jc w:val="center"/>
      </w:pPr>
      <w:r w:rsidRPr="008266D6">
        <w:t>LONG-TERM LOAD FORECAST METHODOLOGY</w:t>
      </w:r>
    </w:p>
    <w:p w:rsidR="008266D6" w:rsidRPr="008266D6" w:rsidRDefault="008266D6" w:rsidP="008266D6">
      <w:pPr>
        <w:jc w:val="center"/>
      </w:pPr>
    </w:p>
    <w:p w:rsidR="008266D6" w:rsidRPr="008266D6" w:rsidRDefault="008266D6" w:rsidP="008266D6">
      <w:pPr>
        <w:jc w:val="center"/>
      </w:pPr>
      <w:r w:rsidRPr="008266D6">
        <w:t xml:space="preserve">Last Updated September </w:t>
      </w:r>
      <w:r w:rsidR="004423BC">
        <w:t>9</w:t>
      </w:r>
      <w:r w:rsidRPr="008266D6">
        <w:t>, 2010</w:t>
      </w:r>
    </w:p>
    <w:p w:rsidR="008266D6" w:rsidRDefault="008266D6" w:rsidP="008B76AF"/>
    <w:p w:rsidR="008266D6" w:rsidRDefault="008266D6" w:rsidP="008B76AF"/>
    <w:p w:rsidR="0051617F" w:rsidRDefault="008266D6" w:rsidP="00B30399">
      <w:pPr>
        <w:ind w:firstLine="576"/>
      </w:pPr>
      <w:r>
        <w:t>T</w:t>
      </w:r>
      <w:r w:rsidR="0040272A">
        <w:t xml:space="preserve">he </w:t>
      </w:r>
      <w:r>
        <w:t xml:space="preserve">KU/LG&amp;E </w:t>
      </w:r>
      <w:r w:rsidR="0040272A">
        <w:t xml:space="preserve">Sales Analysis &amp; Forecasting </w:t>
      </w:r>
      <w:r>
        <w:t>G</w:t>
      </w:r>
      <w:r w:rsidR="0040272A">
        <w:t xml:space="preserve">roup develops the </w:t>
      </w:r>
      <w:r w:rsidR="008D094A">
        <w:t xml:space="preserve">Long Term Load Forecast (meaning the forecast for the peak </w:t>
      </w:r>
      <w:r w:rsidR="003E3751">
        <w:t xml:space="preserve">and energy </w:t>
      </w:r>
      <w:r w:rsidR="008D094A">
        <w:t>for each of the next 360 months) for KU/LG&amp;E, which includes the load forecast for KU (including KU’s retail customers, KU’s wholesale municipal cus</w:t>
      </w:r>
      <w:r w:rsidR="006E7BFC">
        <w:t xml:space="preserve">tomers and Old Dominion Power) and </w:t>
      </w:r>
      <w:r w:rsidR="008D094A">
        <w:t>LG&amp;E</w:t>
      </w:r>
      <w:r w:rsidR="006E7BFC">
        <w:t xml:space="preserve">.  </w:t>
      </w:r>
      <w:r w:rsidR="008D094A">
        <w:t>The KU/LG&amp;E OASIS only publishes the peak load forecast for each month for the next 18-36 months.</w:t>
      </w:r>
      <w:r w:rsidR="0051617F">
        <w:t xml:space="preserve">  </w:t>
      </w:r>
    </w:p>
    <w:p w:rsidR="00B30399" w:rsidRDefault="00B30399" w:rsidP="008B76AF"/>
    <w:p w:rsidR="00B30399" w:rsidRDefault="00B30399" w:rsidP="008B76AF">
      <w:r>
        <w:tab/>
        <w:t xml:space="preserve">The KU/LG&amp;E Long Term Load Forecast methodology is based on econometric </w:t>
      </w:r>
      <w:r w:rsidR="00152166">
        <w:t>modeling of energy sales by customer class, but also incorporates specific intelligence on the prospective energy requirements of the utility’s largest customers.  Econometric modeling captures the (observed) statistical relationship between energy consumption – the dependent variable – and one or more independent explanatory variables such as the number of households or the level of economic activity in the service territory.  Forecasts of electricity sales are then derived from a projection of the independent variable(s).</w:t>
      </w:r>
    </w:p>
    <w:p w:rsidR="00152166" w:rsidRDefault="00152166" w:rsidP="008B76AF"/>
    <w:p w:rsidR="00152166" w:rsidRDefault="00152166" w:rsidP="008B76AF">
      <w:r>
        <w:tab/>
      </w:r>
      <w:r w:rsidR="006D3A37">
        <w:t>This widely-accepted approach can readily accommodate the influences of national, regional, and local (service territory) drivers of utility sales.  This approach may be applied to forecast customer numbers, energy sales, or use-per-customer.  The statistical relationships will vary depending upon the jurisdiction being modeled and the class of service.  For LG&amp;E, only one jurisdiction is modeled, Kentucky-retail.  The KU energy forecast identifies three separate jurisdictional groups:  Kentucky-retail, Virginia-retail, and wholesale sales (to 12 municipally-owned utilities in Kentucky).  Within the LG&amp;E and KU jurisdictions, the forecast typically distinguishes several classes of customers including residential, commercial, and industrial.</w:t>
      </w:r>
    </w:p>
    <w:p w:rsidR="008626B7" w:rsidRDefault="008626B7" w:rsidP="008B76AF"/>
    <w:p w:rsidR="006D3A37" w:rsidRDefault="006D3A37" w:rsidP="008B76AF">
      <w:r>
        <w:tab/>
      </w:r>
      <w:r w:rsidR="00246108">
        <w:t xml:space="preserve">The </w:t>
      </w:r>
      <w:r w:rsidR="008626B7">
        <w:t>econometric models used to produce the forecast passed two critical tests.  First, the explanatory variables of the models were theoretically appropriate and have been widely used in electric utility forecasting.  Second, inclusion of those explanatory variables produced statistically-significant results that led to an intuitively reasonable forecast.  In other words, the models were proven theoretically and empirically robust to explain the behavior of the KU/LG&amp;E customer and sales data.</w:t>
      </w:r>
    </w:p>
    <w:p w:rsidR="008626B7" w:rsidRDefault="008626B7" w:rsidP="008B76AF"/>
    <w:p w:rsidR="008626B7" w:rsidRDefault="008626B7" w:rsidP="008B76AF">
      <w:r>
        <w:tab/>
        <w:t>Sales to several of KU/LG&amp;E’s large customers are forecast based on information obtained through direct discussions with these customers.  These regular communications allow KU/LG&amp;E to directly adjust sales expectations given the first-hand knowledge of the production outlook for these companies.</w:t>
      </w:r>
    </w:p>
    <w:p w:rsidR="008626B7" w:rsidRDefault="008626B7" w:rsidP="008B76AF"/>
    <w:p w:rsidR="008626B7" w:rsidRDefault="008626B7" w:rsidP="008B76AF">
      <w:r>
        <w:tab/>
        <w:t xml:space="preserve">The modeling of residential </w:t>
      </w:r>
      <w:r w:rsidR="003E3751">
        <w:t xml:space="preserve">and commercial </w:t>
      </w:r>
      <w:r>
        <w:t xml:space="preserve">sales also incorporates elements of end-use forecasting - covering base load, heating, and cooling components of sales </w:t>
      </w:r>
      <w:r w:rsidR="003466B5">
        <w:t>–</w:t>
      </w:r>
      <w:r>
        <w:t xml:space="preserve"> </w:t>
      </w:r>
      <w:r w:rsidR="003466B5">
        <w:t>which recognize expectations with regard to appliance saturation trends, efficiencies, and price or income effects.</w:t>
      </w:r>
    </w:p>
    <w:p w:rsidR="003466B5" w:rsidRDefault="003466B5" w:rsidP="008B76AF"/>
    <w:p w:rsidR="003466B5" w:rsidRDefault="005A2F3A" w:rsidP="003E3751">
      <w:pPr>
        <w:ind w:firstLine="576"/>
      </w:pPr>
      <w:r>
        <w:t xml:space="preserve">The </w:t>
      </w:r>
      <w:r w:rsidR="003466B5">
        <w:t>energy forecasts for the KU and LG&amp;E service territories are</w:t>
      </w:r>
      <w:r>
        <w:t xml:space="preserve"> then </w:t>
      </w:r>
      <w:r w:rsidR="003466B5">
        <w:t xml:space="preserve">converted from a billed </w:t>
      </w:r>
      <w:r w:rsidR="00AA55E5">
        <w:t xml:space="preserve">basis </w:t>
      </w:r>
      <w:r w:rsidR="003466B5">
        <w:t xml:space="preserve">to </w:t>
      </w:r>
      <w:r w:rsidR="00AA55E5">
        <w:t xml:space="preserve">a </w:t>
      </w:r>
      <w:r w:rsidR="003466B5">
        <w:t xml:space="preserve">calendar basis.  The resulting estimate of monthly energy </w:t>
      </w:r>
      <w:r w:rsidR="003E3751">
        <w:t xml:space="preserve">sales </w:t>
      </w:r>
      <w:r w:rsidR="003466B5">
        <w:t xml:space="preserve">is then associated with </w:t>
      </w:r>
      <w:r w:rsidR="003E3751">
        <w:t xml:space="preserve">class specific </w:t>
      </w:r>
      <w:r w:rsidR="003466B5">
        <w:t>load profile</w:t>
      </w:r>
      <w:r w:rsidR="003E3751">
        <w:t>s</w:t>
      </w:r>
      <w:r w:rsidR="003466B5">
        <w:t xml:space="preserve"> and load factor</w:t>
      </w:r>
      <w:r w:rsidR="003E3751">
        <w:t>s</w:t>
      </w:r>
      <w:r w:rsidR="003466B5">
        <w:t xml:space="preserve"> to generate </w:t>
      </w:r>
      <w:r w:rsidR="003E3751">
        <w:t xml:space="preserve">hourly sales.  Then the hourly sales are adjusted for company uses and losses to produce </w:t>
      </w:r>
      <w:r w:rsidR="003466B5">
        <w:t>annual, seasonal, and monthly peak demand forecasts.</w:t>
      </w:r>
    </w:p>
    <w:p w:rsidR="00B22E55" w:rsidRDefault="00B22E55" w:rsidP="008B76AF"/>
    <w:p w:rsidR="00B22E55" w:rsidRDefault="00B22E55" w:rsidP="008B76AF">
      <w:r>
        <w:tab/>
        <w:t>Data inputs to the forecasting process for KU and LG&amp;E service territories come from a variety of external and internal sources</w:t>
      </w:r>
      <w:r w:rsidR="00DA4C6F">
        <w:t>.  The national outlook for U.S. Gross Domestic Product, industrial production and consumer prices are key macro-level variables that establish the broad market environment within which KU/LG&amp;E operate.  Local influences include trends in population, household formation, employment, personal income, and cost</w:t>
      </w:r>
      <w:r w:rsidR="00AA55E5">
        <w:t xml:space="preserve"> of service</w:t>
      </w:r>
      <w:r w:rsidR="00DA4C6F">
        <w:t xml:space="preserve"> provision (the ‘price’ of electricity).  National, regional, and state level macroeconomic and demographic forecast data are provided by reputable economic forecasting consultants (Global Insight).</w:t>
      </w:r>
    </w:p>
    <w:p w:rsidR="00DA4C6F" w:rsidRDefault="00DA4C6F" w:rsidP="008B76AF"/>
    <w:p w:rsidR="00DA4C6F" w:rsidRDefault="00DA4C6F" w:rsidP="008B76AF">
      <w:r>
        <w:tab/>
        <w:t>Weather data for each service territory is provided by the National Climatic Data Center (NCDC), a branch of the National Oceanic and Atmospheric Admini</w:t>
      </w:r>
      <w:r w:rsidR="00FD44BD">
        <w:t>s</w:t>
      </w:r>
      <w:r>
        <w:t xml:space="preserve">tration of the U.S. Department of Commerce.  </w:t>
      </w:r>
      <w:proofErr w:type="spellStart"/>
      <w:r w:rsidR="00FD44BD">
        <w:t>Itron</w:t>
      </w:r>
      <w:proofErr w:type="spellEnd"/>
      <w:r w:rsidR="00FD44BD">
        <w:t xml:space="preserve"> provides regional databases with information from the Energy Information Administration (EIA) that </w:t>
      </w:r>
      <w:proofErr w:type="gramStart"/>
      <w:r w:rsidR="00FD44BD">
        <w:t>support</w:t>
      </w:r>
      <w:proofErr w:type="gramEnd"/>
      <w:r w:rsidR="00FD44BD">
        <w:t xml:space="preserve"> the modeling of appliance saturation and efficiency trends and customer choice.  The retail electric price forecast and </w:t>
      </w:r>
      <w:r w:rsidR="003E3751">
        <w:t xml:space="preserve">class specific </w:t>
      </w:r>
      <w:r w:rsidR="00FD44BD">
        <w:t>load profile/load factor data for both utilities are determined internally.</w:t>
      </w:r>
    </w:p>
    <w:p w:rsidR="00FD44BD" w:rsidRDefault="00FD44BD" w:rsidP="008B76AF"/>
    <w:p w:rsidR="00FD44BD" w:rsidRDefault="00FD44BD" w:rsidP="008B76AF">
      <w:r>
        <w:tab/>
        <w:t>As mentioned previously, sales to several large customers for KU/LG&amp;E are forecast based on information provided by these customers to KU/LG&amp;E.  Historical sales data for these customers and for the respecti</w:t>
      </w:r>
      <w:r w:rsidR="00984E9A">
        <w:t>v</w:t>
      </w:r>
      <w:r>
        <w:t>e class forecasts are obtained via extracts from KU/LG&amp;E’s Customer Care S</w:t>
      </w:r>
      <w:r w:rsidR="000F17FA">
        <w:t>olution</w:t>
      </w:r>
      <w:r>
        <w:t xml:space="preserve"> (CCS).  Figure 1 illustrates the external and internal data sources used to drive the</w:t>
      </w:r>
      <w:r w:rsidR="00984E9A">
        <w:t xml:space="preserve"> </w:t>
      </w:r>
      <w:r>
        <w:t>KU/LG&amp;E forecasts.</w:t>
      </w:r>
    </w:p>
    <w:p w:rsidR="006E7BFC" w:rsidRDefault="006E7BFC" w:rsidP="008B76AF"/>
    <w:p w:rsidR="00626660" w:rsidRDefault="00626660" w:rsidP="008B76AF">
      <w:r>
        <w:t>Figure 1 – Data Inputs to KU and LG&amp;E Customer, Sales, and Demand Forecasts</w:t>
      </w:r>
    </w:p>
    <w:p w:rsidR="00514247" w:rsidRDefault="00514247" w:rsidP="00514247">
      <w:pPr>
        <w:ind w:left="576" w:firstLine="576"/>
      </w:pPr>
    </w:p>
    <w:p w:rsidR="00626660" w:rsidRDefault="00514247" w:rsidP="00514247">
      <w:pPr>
        <w:ind w:left="576" w:firstLine="576"/>
      </w:pPr>
      <w:r>
        <w:t>External</w:t>
      </w:r>
      <w:r>
        <w:tab/>
      </w:r>
      <w:r>
        <w:tab/>
      </w:r>
      <w:r>
        <w:tab/>
      </w:r>
      <w:r>
        <w:tab/>
      </w:r>
      <w:r>
        <w:tab/>
      </w:r>
      <w:r>
        <w:tab/>
      </w:r>
      <w:r>
        <w:tab/>
      </w:r>
      <w:r>
        <w:tab/>
      </w:r>
      <w:r>
        <w:tab/>
      </w:r>
      <w:r>
        <w:tab/>
        <w:t>Internal</w:t>
      </w:r>
    </w:p>
    <w:p w:rsidR="00514247" w:rsidRDefault="00514247" w:rsidP="00514247">
      <w:pPr>
        <w:ind w:left="576" w:firstLine="576"/>
      </w:pPr>
    </w:p>
    <w:tbl>
      <w:tblPr>
        <w:tblStyle w:val="TableGrid"/>
        <w:tblW w:w="0" w:type="auto"/>
        <w:tblLook w:val="04A0"/>
      </w:tblPr>
      <w:tblGrid>
        <w:gridCol w:w="3233"/>
        <w:gridCol w:w="3149"/>
        <w:gridCol w:w="3194"/>
      </w:tblGrid>
      <w:tr w:rsidR="00514247" w:rsidTr="00514247">
        <w:trPr>
          <w:trHeight w:val="1052"/>
        </w:trPr>
        <w:tc>
          <w:tcPr>
            <w:tcW w:w="3233" w:type="dxa"/>
            <w:tcBorders>
              <w:right w:val="single" w:sz="4" w:space="0" w:color="auto"/>
            </w:tcBorders>
          </w:tcPr>
          <w:p w:rsidR="00514247" w:rsidRDefault="00514247" w:rsidP="00626660">
            <w:r>
              <w:t>Global Insight National Economic/Demographic Factors</w:t>
            </w:r>
          </w:p>
        </w:tc>
        <w:tc>
          <w:tcPr>
            <w:tcW w:w="3149" w:type="dxa"/>
            <w:tcBorders>
              <w:top w:val="nil"/>
              <w:left w:val="single" w:sz="4" w:space="0" w:color="auto"/>
              <w:bottom w:val="nil"/>
              <w:right w:val="single" w:sz="4" w:space="0" w:color="auto"/>
            </w:tcBorders>
          </w:tcPr>
          <w:p w:rsidR="00514247" w:rsidRDefault="00514247" w:rsidP="00626660"/>
        </w:tc>
        <w:tc>
          <w:tcPr>
            <w:tcW w:w="3194" w:type="dxa"/>
            <w:tcBorders>
              <w:left w:val="single" w:sz="4" w:space="0" w:color="auto"/>
            </w:tcBorders>
          </w:tcPr>
          <w:p w:rsidR="00514247" w:rsidRDefault="00514247" w:rsidP="00626660">
            <w:r>
              <w:t>Retail Electric Price Forecast</w:t>
            </w:r>
          </w:p>
        </w:tc>
      </w:tr>
      <w:tr w:rsidR="00514247" w:rsidTr="00514247">
        <w:trPr>
          <w:trHeight w:val="890"/>
        </w:trPr>
        <w:tc>
          <w:tcPr>
            <w:tcW w:w="3233" w:type="dxa"/>
            <w:tcBorders>
              <w:right w:val="single" w:sz="4" w:space="0" w:color="auto"/>
            </w:tcBorders>
          </w:tcPr>
          <w:p w:rsidR="00514247" w:rsidRDefault="00514247" w:rsidP="008B76AF">
            <w:r>
              <w:t>Global Insight County and State Economic/Demographic Factors</w:t>
            </w:r>
          </w:p>
          <w:p w:rsidR="00514247" w:rsidRDefault="00514247" w:rsidP="008B76AF"/>
        </w:tc>
        <w:tc>
          <w:tcPr>
            <w:tcW w:w="3149" w:type="dxa"/>
            <w:tcBorders>
              <w:top w:val="nil"/>
              <w:left w:val="single" w:sz="4" w:space="0" w:color="auto"/>
              <w:bottom w:val="nil"/>
              <w:right w:val="single" w:sz="4" w:space="0" w:color="auto"/>
            </w:tcBorders>
          </w:tcPr>
          <w:p w:rsidR="00514247" w:rsidRDefault="00514247" w:rsidP="008B76AF"/>
        </w:tc>
        <w:tc>
          <w:tcPr>
            <w:tcW w:w="3194" w:type="dxa"/>
            <w:tcBorders>
              <w:left w:val="single" w:sz="4" w:space="0" w:color="auto"/>
            </w:tcBorders>
          </w:tcPr>
          <w:p w:rsidR="00514247" w:rsidRDefault="00514247" w:rsidP="008B76AF">
            <w:r>
              <w:t>KU/LG&amp;E Customer and Sales History by Rate Class from CCS</w:t>
            </w:r>
          </w:p>
        </w:tc>
      </w:tr>
      <w:tr w:rsidR="00514247" w:rsidTr="00B74965">
        <w:trPr>
          <w:trHeight w:val="809"/>
        </w:trPr>
        <w:tc>
          <w:tcPr>
            <w:tcW w:w="3233" w:type="dxa"/>
            <w:tcBorders>
              <w:bottom w:val="single" w:sz="4" w:space="0" w:color="auto"/>
              <w:right w:val="single" w:sz="4" w:space="0" w:color="auto"/>
            </w:tcBorders>
          </w:tcPr>
          <w:p w:rsidR="00514247" w:rsidRDefault="00514247" w:rsidP="00514247">
            <w:r>
              <w:t>NCDC Temperature Data for Lexington, Louisville, and</w:t>
            </w:r>
            <w:r w:rsidR="00AA55E5">
              <w:t xml:space="preserve"> Bristol, TN</w:t>
            </w:r>
          </w:p>
          <w:p w:rsidR="00AA55E5" w:rsidRDefault="00AA55E5" w:rsidP="00514247"/>
        </w:tc>
        <w:tc>
          <w:tcPr>
            <w:tcW w:w="3149" w:type="dxa"/>
            <w:tcBorders>
              <w:top w:val="nil"/>
              <w:left w:val="single" w:sz="4" w:space="0" w:color="auto"/>
              <w:bottom w:val="nil"/>
              <w:right w:val="single" w:sz="4" w:space="0" w:color="auto"/>
            </w:tcBorders>
          </w:tcPr>
          <w:p w:rsidR="00514247" w:rsidRDefault="00514247" w:rsidP="00514247"/>
        </w:tc>
        <w:tc>
          <w:tcPr>
            <w:tcW w:w="3194" w:type="dxa"/>
            <w:tcBorders>
              <w:left w:val="single" w:sz="4" w:space="0" w:color="auto"/>
            </w:tcBorders>
          </w:tcPr>
          <w:p w:rsidR="00514247" w:rsidRDefault="00514247" w:rsidP="00514247">
            <w:r>
              <w:t>Individual Large Customer Information</w:t>
            </w:r>
          </w:p>
        </w:tc>
      </w:tr>
      <w:tr w:rsidR="00514247" w:rsidTr="00B74965">
        <w:tc>
          <w:tcPr>
            <w:tcW w:w="3233" w:type="dxa"/>
            <w:tcBorders>
              <w:bottom w:val="single" w:sz="4" w:space="0" w:color="auto"/>
              <w:right w:val="single" w:sz="4" w:space="0" w:color="auto"/>
            </w:tcBorders>
          </w:tcPr>
          <w:p w:rsidR="00AA55E5" w:rsidRDefault="00AA55E5" w:rsidP="00AA55E5">
            <w:proofErr w:type="spellStart"/>
            <w:r>
              <w:t>Itron</w:t>
            </w:r>
            <w:proofErr w:type="spellEnd"/>
            <w:r>
              <w:t>/EIA Appliance Efficiency and Saturation Study</w:t>
            </w:r>
          </w:p>
          <w:p w:rsidR="00514247" w:rsidRDefault="00514247" w:rsidP="00AA55E5"/>
        </w:tc>
        <w:tc>
          <w:tcPr>
            <w:tcW w:w="3149" w:type="dxa"/>
            <w:tcBorders>
              <w:top w:val="nil"/>
              <w:left w:val="single" w:sz="4" w:space="0" w:color="auto"/>
              <w:bottom w:val="nil"/>
              <w:right w:val="single" w:sz="4" w:space="0" w:color="auto"/>
            </w:tcBorders>
          </w:tcPr>
          <w:p w:rsidR="00514247" w:rsidRDefault="00514247" w:rsidP="008B76AF"/>
        </w:tc>
        <w:tc>
          <w:tcPr>
            <w:tcW w:w="3194" w:type="dxa"/>
            <w:tcBorders>
              <w:left w:val="single" w:sz="4" w:space="0" w:color="auto"/>
            </w:tcBorders>
          </w:tcPr>
          <w:p w:rsidR="00514247" w:rsidRDefault="00514247" w:rsidP="008B76AF">
            <w:r>
              <w:t>Service Territory Appliance Saturation Surveys</w:t>
            </w:r>
          </w:p>
        </w:tc>
      </w:tr>
      <w:tr w:rsidR="00514247" w:rsidTr="00B74965">
        <w:tc>
          <w:tcPr>
            <w:tcW w:w="3233" w:type="dxa"/>
            <w:tcBorders>
              <w:top w:val="single" w:sz="4" w:space="0" w:color="auto"/>
              <w:left w:val="nil"/>
              <w:bottom w:val="nil"/>
              <w:right w:val="nil"/>
            </w:tcBorders>
          </w:tcPr>
          <w:p w:rsidR="00514247" w:rsidRDefault="00514247" w:rsidP="00AA55E5"/>
        </w:tc>
        <w:tc>
          <w:tcPr>
            <w:tcW w:w="3149" w:type="dxa"/>
            <w:tcBorders>
              <w:top w:val="nil"/>
              <w:left w:val="nil"/>
              <w:bottom w:val="nil"/>
              <w:right w:val="single" w:sz="4" w:space="0" w:color="auto"/>
            </w:tcBorders>
          </w:tcPr>
          <w:p w:rsidR="00514247" w:rsidRDefault="00514247" w:rsidP="00514247"/>
        </w:tc>
        <w:tc>
          <w:tcPr>
            <w:tcW w:w="3194" w:type="dxa"/>
            <w:tcBorders>
              <w:left w:val="single" w:sz="4" w:space="0" w:color="auto"/>
            </w:tcBorders>
          </w:tcPr>
          <w:p w:rsidR="00514247" w:rsidRDefault="003E3751" w:rsidP="00514247">
            <w:r>
              <w:t xml:space="preserve">Class Specific </w:t>
            </w:r>
            <w:r w:rsidR="00514247">
              <w:t>Load Profile and Load Factor Assumptions</w:t>
            </w:r>
          </w:p>
        </w:tc>
      </w:tr>
    </w:tbl>
    <w:p w:rsidR="00626660" w:rsidRDefault="00626660" w:rsidP="008B76AF"/>
    <w:sectPr w:rsidR="00626660" w:rsidSect="004423BC">
      <w:headerReference w:type="default" r:id="rId8"/>
      <w:footerReference w:type="default" r:id="rId9"/>
      <w:footerReference w:type="first" r:id="rId10"/>
      <w:pgSz w:w="12240" w:h="15840"/>
      <w:pgMar w:top="1224" w:right="1440" w:bottom="1296"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600" w:rsidRDefault="00606600">
      <w:r>
        <w:separator/>
      </w:r>
    </w:p>
  </w:endnote>
  <w:endnote w:type="continuationSeparator" w:id="0">
    <w:p w:rsidR="00606600" w:rsidRDefault="00606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51" w:rsidRPr="004423BC" w:rsidRDefault="003E3751" w:rsidP="002F4CF7">
    <w:pPr>
      <w:pStyle w:val="Footer"/>
      <w:framePr w:wrap="around" w:vAnchor="text" w:hAnchor="margin" w:xAlign="center" w:y="-6"/>
      <w:rPr>
        <w:rStyle w:val="PageNumber"/>
      </w:rPr>
    </w:pPr>
  </w:p>
  <w:p w:rsidR="003E3751" w:rsidRPr="00FB5062" w:rsidRDefault="003E3751" w:rsidP="00590844">
    <w:pPr>
      <w:pStyle w:val="Footer"/>
      <w:jc w:val="center"/>
    </w:pPr>
    <w:r>
      <w:t xml:space="preserve">Page </w:t>
    </w:r>
    <w:fldSimple w:instr=" PAGE ">
      <w:r w:rsidR="00BE0176">
        <w:rPr>
          <w:noProof/>
        </w:rPr>
        <w:t>1</w:t>
      </w:r>
    </w:fldSimple>
    <w:r>
      <w:t xml:space="preserve"> of </w:t>
    </w:r>
    <w:fldSimple w:instr=" NUMPAGES ">
      <w:r w:rsidR="00BE0176">
        <w:rPr>
          <w:noProof/>
        </w:rPr>
        <w:t>2</w:t>
      </w:r>
    </w:fldSimple>
  </w:p>
  <w:p w:rsidR="003E3751" w:rsidRDefault="003E37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51" w:rsidRPr="00FB5062" w:rsidRDefault="003E3751" w:rsidP="00590844">
    <w:pPr>
      <w:pStyle w:val="Footer"/>
      <w:jc w:val="center"/>
    </w:pPr>
    <w:r>
      <w:t xml:space="preserve">Page </w:t>
    </w:r>
    <w:fldSimple w:instr=" PAGE ">
      <w:r>
        <w:rPr>
          <w:noProof/>
        </w:rPr>
        <w:t>0</w:t>
      </w:r>
    </w:fldSimple>
    <w:r>
      <w:t xml:space="preserve"> of </w:t>
    </w:r>
    <w:fldSimple w:instr=" NUMPAGES ">
      <w:r>
        <w:rPr>
          <w:noProof/>
        </w:rPr>
        <w:t>2</w:t>
      </w:r>
    </w:fldSimple>
  </w:p>
  <w:p w:rsidR="003E3751" w:rsidRDefault="003E3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600" w:rsidRDefault="00606600">
      <w:r>
        <w:separator/>
      </w:r>
    </w:p>
  </w:footnote>
  <w:footnote w:type="continuationSeparator" w:id="0">
    <w:p w:rsidR="00606600" w:rsidRDefault="00606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51" w:rsidRDefault="003E3751" w:rsidP="00B8751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61310"/>
    <w:multiLevelType w:val="hybridMultilevel"/>
    <w:tmpl w:val="655CD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1E58FC"/>
    <w:multiLevelType w:val="hybridMultilevel"/>
    <w:tmpl w:val="9ED8497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05D5310"/>
    <w:multiLevelType w:val="hybridMultilevel"/>
    <w:tmpl w:val="A4C0C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936044"/>
    <w:multiLevelType w:val="multilevel"/>
    <w:tmpl w:val="5F825F58"/>
    <w:lvl w:ilvl="0">
      <w:numFmt w:val="decimal"/>
      <w:pStyle w:val="Heading1"/>
      <w:lvlText w:val="%1."/>
      <w:lvlJc w:val="left"/>
      <w:pPr>
        <w:tabs>
          <w:tab w:val="num" w:pos="432"/>
        </w:tabs>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pStyle w:val="Heading3"/>
      <w:lvlText w:val="%1.%2.%3"/>
      <w:lvlJc w:val="left"/>
      <w:pPr>
        <w:tabs>
          <w:tab w:val="num" w:pos="720"/>
        </w:tabs>
        <w:ind w:left="0" w:firstLine="0"/>
      </w:pPr>
      <w:rPr>
        <w:rFonts w:hint="default"/>
        <w:b/>
        <w:i w:val="0"/>
      </w:rPr>
    </w:lvl>
    <w:lvl w:ilvl="3">
      <w:start w:val="1"/>
      <w:numFmt w:val="decimal"/>
      <w:pStyle w:val="Heading4"/>
      <w:lvlText w:val="%1.%2.%3.%4"/>
      <w:lvlJc w:val="left"/>
      <w:pPr>
        <w:tabs>
          <w:tab w:val="num" w:pos="720"/>
        </w:tabs>
        <w:ind w:left="720" w:firstLine="0"/>
      </w:pPr>
      <w:rPr>
        <w:rFonts w:hint="default"/>
      </w:rPr>
    </w:lvl>
    <w:lvl w:ilvl="4">
      <w:start w:val="1"/>
      <w:numFmt w:val="decimal"/>
      <w:pStyle w:val="Heading5"/>
      <w:lvlText w:val="%1.%2.%3.%4.%5"/>
      <w:lvlJc w:val="left"/>
      <w:pPr>
        <w:tabs>
          <w:tab w:val="num" w:pos="720"/>
        </w:tabs>
        <w:ind w:left="72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212B2E60"/>
    <w:multiLevelType w:val="hybridMultilevel"/>
    <w:tmpl w:val="A8C2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22E5F"/>
    <w:multiLevelType w:val="hybridMultilevel"/>
    <w:tmpl w:val="39A60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3056D3"/>
    <w:multiLevelType w:val="hybridMultilevel"/>
    <w:tmpl w:val="23748106"/>
    <w:lvl w:ilvl="0" w:tplc="10A4A0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F36F49"/>
    <w:multiLevelType w:val="hybridMultilevel"/>
    <w:tmpl w:val="8FA0647C"/>
    <w:lvl w:ilvl="0" w:tplc="82C65C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802B46"/>
    <w:multiLevelType w:val="hybridMultilevel"/>
    <w:tmpl w:val="126ACB56"/>
    <w:lvl w:ilvl="0" w:tplc="82C65C8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69290E"/>
    <w:multiLevelType w:val="hybridMultilevel"/>
    <w:tmpl w:val="A0E6037E"/>
    <w:lvl w:ilvl="0" w:tplc="10A4A0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B53743"/>
    <w:multiLevelType w:val="multilevel"/>
    <w:tmpl w:val="0409001F"/>
    <w:styleLink w:val="Appendix"/>
    <w:lvl w:ilvl="0">
      <w:start w:val="3"/>
      <w:numFmt w:val="upperLetter"/>
      <w:lvlText w:val="%1."/>
      <w:lvlJc w:val="left"/>
      <w:pPr>
        <w:tabs>
          <w:tab w:val="num" w:pos="360"/>
        </w:tabs>
        <w:ind w:left="360" w:hanging="360"/>
      </w:pPr>
    </w:lvl>
    <w:lvl w:ilvl="1">
      <w:start w:val="1"/>
      <w:numFmt w:val="decimal"/>
      <w:lvlText w:val="%1.%2."/>
      <w:lvlJc w:val="left"/>
      <w:pPr>
        <w:tabs>
          <w:tab w:val="num" w:pos="792"/>
        </w:tabs>
        <w:ind w:left="792" w:hanging="432"/>
      </w:pPr>
      <w:rPr>
        <w:rFonts w:ascii="Arial" w:hAnsi="Arial"/>
        <w:sz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F443694"/>
    <w:multiLevelType w:val="hybridMultilevel"/>
    <w:tmpl w:val="234E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E0AE1"/>
    <w:multiLevelType w:val="hybridMultilevel"/>
    <w:tmpl w:val="21ECC0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F12179"/>
    <w:multiLevelType w:val="hybridMultilevel"/>
    <w:tmpl w:val="030640F8"/>
    <w:lvl w:ilvl="0" w:tplc="10A4A0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DF1F2E"/>
    <w:multiLevelType w:val="hybridMultilevel"/>
    <w:tmpl w:val="33F2322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B22335"/>
    <w:multiLevelType w:val="hybridMultilevel"/>
    <w:tmpl w:val="D05E6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C354CF"/>
    <w:multiLevelType w:val="hybridMultilevel"/>
    <w:tmpl w:val="9DCAD8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BE24F4"/>
    <w:multiLevelType w:val="hybridMultilevel"/>
    <w:tmpl w:val="C082CCD2"/>
    <w:lvl w:ilvl="0" w:tplc="82C65C8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B1164D"/>
    <w:multiLevelType w:val="hybridMultilevel"/>
    <w:tmpl w:val="84529E38"/>
    <w:lvl w:ilvl="0" w:tplc="B792CB76">
      <w:start w:val="1"/>
      <w:numFmt w:val="bullet"/>
      <w:pStyle w:val="TableBullet"/>
      <w:lvlText w:val=""/>
      <w:lvlJc w:val="left"/>
      <w:pPr>
        <w:tabs>
          <w:tab w:val="num" w:pos="720"/>
        </w:tabs>
        <w:ind w:left="720" w:hanging="360"/>
      </w:pPr>
      <w:rPr>
        <w:rFonts w:ascii="Wingdings" w:hAnsi="Wingdings" w:hint="default"/>
      </w:rPr>
    </w:lvl>
    <w:lvl w:ilvl="1" w:tplc="1A4404D8" w:tentative="1">
      <w:start w:val="1"/>
      <w:numFmt w:val="bullet"/>
      <w:lvlText w:val="o"/>
      <w:lvlJc w:val="left"/>
      <w:pPr>
        <w:tabs>
          <w:tab w:val="num" w:pos="1440"/>
        </w:tabs>
        <w:ind w:left="1440" w:hanging="360"/>
      </w:pPr>
      <w:rPr>
        <w:rFonts w:ascii="Courier New" w:hAnsi="Courier New" w:hint="default"/>
      </w:rPr>
    </w:lvl>
    <w:lvl w:ilvl="2" w:tplc="2D18431A" w:tentative="1">
      <w:start w:val="1"/>
      <w:numFmt w:val="bullet"/>
      <w:lvlText w:val=""/>
      <w:lvlJc w:val="left"/>
      <w:pPr>
        <w:tabs>
          <w:tab w:val="num" w:pos="2160"/>
        </w:tabs>
        <w:ind w:left="2160" w:hanging="360"/>
      </w:pPr>
      <w:rPr>
        <w:rFonts w:ascii="Wingdings" w:hAnsi="Wingdings" w:hint="default"/>
      </w:rPr>
    </w:lvl>
    <w:lvl w:ilvl="3" w:tplc="A044E696" w:tentative="1">
      <w:start w:val="1"/>
      <w:numFmt w:val="bullet"/>
      <w:lvlText w:val=""/>
      <w:lvlJc w:val="left"/>
      <w:pPr>
        <w:tabs>
          <w:tab w:val="num" w:pos="2880"/>
        </w:tabs>
        <w:ind w:left="2880" w:hanging="360"/>
      </w:pPr>
      <w:rPr>
        <w:rFonts w:ascii="Symbol" w:hAnsi="Symbol" w:hint="default"/>
      </w:rPr>
    </w:lvl>
    <w:lvl w:ilvl="4" w:tplc="8636429E" w:tentative="1">
      <w:start w:val="1"/>
      <w:numFmt w:val="bullet"/>
      <w:lvlText w:val="o"/>
      <w:lvlJc w:val="left"/>
      <w:pPr>
        <w:tabs>
          <w:tab w:val="num" w:pos="3600"/>
        </w:tabs>
        <w:ind w:left="3600" w:hanging="360"/>
      </w:pPr>
      <w:rPr>
        <w:rFonts w:ascii="Courier New" w:hAnsi="Courier New" w:hint="default"/>
      </w:rPr>
    </w:lvl>
    <w:lvl w:ilvl="5" w:tplc="092AEAA6" w:tentative="1">
      <w:start w:val="1"/>
      <w:numFmt w:val="bullet"/>
      <w:lvlText w:val=""/>
      <w:lvlJc w:val="left"/>
      <w:pPr>
        <w:tabs>
          <w:tab w:val="num" w:pos="4320"/>
        </w:tabs>
        <w:ind w:left="4320" w:hanging="360"/>
      </w:pPr>
      <w:rPr>
        <w:rFonts w:ascii="Wingdings" w:hAnsi="Wingdings" w:hint="default"/>
      </w:rPr>
    </w:lvl>
    <w:lvl w:ilvl="6" w:tplc="6B8AE92A" w:tentative="1">
      <w:start w:val="1"/>
      <w:numFmt w:val="bullet"/>
      <w:lvlText w:val=""/>
      <w:lvlJc w:val="left"/>
      <w:pPr>
        <w:tabs>
          <w:tab w:val="num" w:pos="5040"/>
        </w:tabs>
        <w:ind w:left="5040" w:hanging="360"/>
      </w:pPr>
      <w:rPr>
        <w:rFonts w:ascii="Symbol" w:hAnsi="Symbol" w:hint="default"/>
      </w:rPr>
    </w:lvl>
    <w:lvl w:ilvl="7" w:tplc="785E0F44" w:tentative="1">
      <w:start w:val="1"/>
      <w:numFmt w:val="bullet"/>
      <w:lvlText w:val="o"/>
      <w:lvlJc w:val="left"/>
      <w:pPr>
        <w:tabs>
          <w:tab w:val="num" w:pos="5760"/>
        </w:tabs>
        <w:ind w:left="5760" w:hanging="360"/>
      </w:pPr>
      <w:rPr>
        <w:rFonts w:ascii="Courier New" w:hAnsi="Courier New" w:hint="default"/>
      </w:rPr>
    </w:lvl>
    <w:lvl w:ilvl="8" w:tplc="265CF884" w:tentative="1">
      <w:start w:val="1"/>
      <w:numFmt w:val="bullet"/>
      <w:lvlText w:val=""/>
      <w:lvlJc w:val="left"/>
      <w:pPr>
        <w:tabs>
          <w:tab w:val="num" w:pos="6480"/>
        </w:tabs>
        <w:ind w:left="6480" w:hanging="360"/>
      </w:pPr>
      <w:rPr>
        <w:rFonts w:ascii="Wingdings" w:hAnsi="Wingdings" w:hint="default"/>
      </w:rPr>
    </w:lvl>
  </w:abstractNum>
  <w:abstractNum w:abstractNumId="19">
    <w:nsid w:val="6ED05DDE"/>
    <w:multiLevelType w:val="hybridMultilevel"/>
    <w:tmpl w:val="D346E41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8"/>
  </w:num>
  <w:num w:numId="3">
    <w:abstractNumId w:val="10"/>
  </w:num>
  <w:num w:numId="4">
    <w:abstractNumId w:val="17"/>
  </w:num>
  <w:num w:numId="5">
    <w:abstractNumId w:val="19"/>
  </w:num>
  <w:num w:numId="6">
    <w:abstractNumId w:val="1"/>
  </w:num>
  <w:num w:numId="7">
    <w:abstractNumId w:val="3"/>
  </w:num>
  <w:num w:numId="8">
    <w:abstractNumId w:val="15"/>
  </w:num>
  <w:num w:numId="9">
    <w:abstractNumId w:val="16"/>
  </w:num>
  <w:num w:numId="10">
    <w:abstractNumId w:val="6"/>
  </w:num>
  <w:num w:numId="11">
    <w:abstractNumId w:val="0"/>
  </w:num>
  <w:num w:numId="12">
    <w:abstractNumId w:val="9"/>
  </w:num>
  <w:num w:numId="13">
    <w:abstractNumId w:val="13"/>
  </w:num>
  <w:num w:numId="14">
    <w:abstractNumId w:val="2"/>
  </w:num>
  <w:num w:numId="15">
    <w:abstractNumId w:val="14"/>
  </w:num>
  <w:num w:numId="16">
    <w:abstractNumId w:val="5"/>
  </w:num>
  <w:num w:numId="17">
    <w:abstractNumId w:val="12"/>
  </w:num>
  <w:num w:numId="18">
    <w:abstractNumId w:val="18"/>
  </w:num>
  <w:num w:numId="19">
    <w:abstractNumId w:val="4"/>
  </w:num>
  <w:num w:numId="20">
    <w:abstractNumId w:val="11"/>
  </w:num>
  <w:num w:numId="21">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6"/>
  <w:drawingGridHorizontalSpacing w:val="120"/>
  <w:drawingGridVerticalSpacing w:val="7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51617F"/>
    <w:rsid w:val="00003474"/>
    <w:rsid w:val="00003823"/>
    <w:rsid w:val="000044EC"/>
    <w:rsid w:val="00012D3B"/>
    <w:rsid w:val="00013031"/>
    <w:rsid w:val="000228D8"/>
    <w:rsid w:val="00023289"/>
    <w:rsid w:val="00026A3B"/>
    <w:rsid w:val="00026DDF"/>
    <w:rsid w:val="00033E8E"/>
    <w:rsid w:val="00037CC5"/>
    <w:rsid w:val="00041445"/>
    <w:rsid w:val="000452E1"/>
    <w:rsid w:val="000518C8"/>
    <w:rsid w:val="00051CBA"/>
    <w:rsid w:val="00054837"/>
    <w:rsid w:val="0006036A"/>
    <w:rsid w:val="00060E1C"/>
    <w:rsid w:val="00062035"/>
    <w:rsid w:val="0006395A"/>
    <w:rsid w:val="000718FF"/>
    <w:rsid w:val="0007305B"/>
    <w:rsid w:val="000735E5"/>
    <w:rsid w:val="0007670A"/>
    <w:rsid w:val="000773CA"/>
    <w:rsid w:val="00082819"/>
    <w:rsid w:val="000837F8"/>
    <w:rsid w:val="00084440"/>
    <w:rsid w:val="00095926"/>
    <w:rsid w:val="00096BB2"/>
    <w:rsid w:val="00096DD1"/>
    <w:rsid w:val="000970DD"/>
    <w:rsid w:val="000A29B9"/>
    <w:rsid w:val="000A532C"/>
    <w:rsid w:val="000A5B68"/>
    <w:rsid w:val="000A64FE"/>
    <w:rsid w:val="000A7A21"/>
    <w:rsid w:val="000A7C19"/>
    <w:rsid w:val="000B0182"/>
    <w:rsid w:val="000B1735"/>
    <w:rsid w:val="000B4669"/>
    <w:rsid w:val="000C40D6"/>
    <w:rsid w:val="000C484E"/>
    <w:rsid w:val="000C5E5D"/>
    <w:rsid w:val="000C68BF"/>
    <w:rsid w:val="000D12ED"/>
    <w:rsid w:val="000D153C"/>
    <w:rsid w:val="000D29D9"/>
    <w:rsid w:val="000D48E6"/>
    <w:rsid w:val="000D52CD"/>
    <w:rsid w:val="000D567C"/>
    <w:rsid w:val="000D7106"/>
    <w:rsid w:val="000D7504"/>
    <w:rsid w:val="000E4317"/>
    <w:rsid w:val="000E6AD2"/>
    <w:rsid w:val="000F11AE"/>
    <w:rsid w:val="000F17FA"/>
    <w:rsid w:val="000F1F51"/>
    <w:rsid w:val="000F2F17"/>
    <w:rsid w:val="000F3415"/>
    <w:rsid w:val="000F5D74"/>
    <w:rsid w:val="000F68F6"/>
    <w:rsid w:val="000F7D2A"/>
    <w:rsid w:val="00100EC5"/>
    <w:rsid w:val="001040A3"/>
    <w:rsid w:val="0010648D"/>
    <w:rsid w:val="00106634"/>
    <w:rsid w:val="00110805"/>
    <w:rsid w:val="001117C9"/>
    <w:rsid w:val="001118F4"/>
    <w:rsid w:val="00111B30"/>
    <w:rsid w:val="00111E50"/>
    <w:rsid w:val="00112814"/>
    <w:rsid w:val="00115CB9"/>
    <w:rsid w:val="00121083"/>
    <w:rsid w:val="00125475"/>
    <w:rsid w:val="0012560B"/>
    <w:rsid w:val="00125C7D"/>
    <w:rsid w:val="00130ECF"/>
    <w:rsid w:val="00131B27"/>
    <w:rsid w:val="0013453B"/>
    <w:rsid w:val="0013653D"/>
    <w:rsid w:val="00137630"/>
    <w:rsid w:val="00137F72"/>
    <w:rsid w:val="0014145C"/>
    <w:rsid w:val="0014284E"/>
    <w:rsid w:val="00144441"/>
    <w:rsid w:val="00145DCD"/>
    <w:rsid w:val="0015051A"/>
    <w:rsid w:val="0015059B"/>
    <w:rsid w:val="00152166"/>
    <w:rsid w:val="00152950"/>
    <w:rsid w:val="00152E39"/>
    <w:rsid w:val="00153C1F"/>
    <w:rsid w:val="001543B4"/>
    <w:rsid w:val="00154471"/>
    <w:rsid w:val="0015559A"/>
    <w:rsid w:val="001564AC"/>
    <w:rsid w:val="00157381"/>
    <w:rsid w:val="00157E36"/>
    <w:rsid w:val="001616EA"/>
    <w:rsid w:val="00163257"/>
    <w:rsid w:val="00163693"/>
    <w:rsid w:val="00165DF3"/>
    <w:rsid w:val="00167EF2"/>
    <w:rsid w:val="00172FD1"/>
    <w:rsid w:val="00174523"/>
    <w:rsid w:val="00175BB9"/>
    <w:rsid w:val="001768C1"/>
    <w:rsid w:val="00176AB2"/>
    <w:rsid w:val="0018239A"/>
    <w:rsid w:val="001852F0"/>
    <w:rsid w:val="00187EA9"/>
    <w:rsid w:val="00187EEA"/>
    <w:rsid w:val="0019529A"/>
    <w:rsid w:val="00195925"/>
    <w:rsid w:val="001A025F"/>
    <w:rsid w:val="001A6F41"/>
    <w:rsid w:val="001B0D3C"/>
    <w:rsid w:val="001B4DC7"/>
    <w:rsid w:val="001B5E1A"/>
    <w:rsid w:val="001B7078"/>
    <w:rsid w:val="001C21F0"/>
    <w:rsid w:val="001D292A"/>
    <w:rsid w:val="001D2F93"/>
    <w:rsid w:val="001D591D"/>
    <w:rsid w:val="001D64CD"/>
    <w:rsid w:val="001D743E"/>
    <w:rsid w:val="001D7483"/>
    <w:rsid w:val="001D795C"/>
    <w:rsid w:val="001E0C6B"/>
    <w:rsid w:val="001E11E6"/>
    <w:rsid w:val="001E4352"/>
    <w:rsid w:val="001E4C34"/>
    <w:rsid w:val="001E517F"/>
    <w:rsid w:val="001E6930"/>
    <w:rsid w:val="001E7219"/>
    <w:rsid w:val="001E7D1B"/>
    <w:rsid w:val="002034B0"/>
    <w:rsid w:val="00212B8F"/>
    <w:rsid w:val="00213377"/>
    <w:rsid w:val="00213E98"/>
    <w:rsid w:val="0021748C"/>
    <w:rsid w:val="00220285"/>
    <w:rsid w:val="0022196F"/>
    <w:rsid w:val="002230B6"/>
    <w:rsid w:val="00233919"/>
    <w:rsid w:val="00235455"/>
    <w:rsid w:val="0023692F"/>
    <w:rsid w:val="002373BD"/>
    <w:rsid w:val="00237C21"/>
    <w:rsid w:val="00240E27"/>
    <w:rsid w:val="0024294C"/>
    <w:rsid w:val="0024413B"/>
    <w:rsid w:val="00245334"/>
    <w:rsid w:val="00245EB9"/>
    <w:rsid w:val="00246108"/>
    <w:rsid w:val="002471A0"/>
    <w:rsid w:val="002474D9"/>
    <w:rsid w:val="00247883"/>
    <w:rsid w:val="00250883"/>
    <w:rsid w:val="002541F3"/>
    <w:rsid w:val="0025460E"/>
    <w:rsid w:val="00254EB6"/>
    <w:rsid w:val="00260AFC"/>
    <w:rsid w:val="00264474"/>
    <w:rsid w:val="002650BB"/>
    <w:rsid w:val="0026533C"/>
    <w:rsid w:val="00265EDA"/>
    <w:rsid w:val="002701E0"/>
    <w:rsid w:val="002738D9"/>
    <w:rsid w:val="0027417F"/>
    <w:rsid w:val="002838C2"/>
    <w:rsid w:val="0028626E"/>
    <w:rsid w:val="002924BA"/>
    <w:rsid w:val="00294E85"/>
    <w:rsid w:val="00297F61"/>
    <w:rsid w:val="002A1579"/>
    <w:rsid w:val="002A29E3"/>
    <w:rsid w:val="002A37C6"/>
    <w:rsid w:val="002B4C9A"/>
    <w:rsid w:val="002B5B67"/>
    <w:rsid w:val="002B6B5F"/>
    <w:rsid w:val="002B75D1"/>
    <w:rsid w:val="002B7C64"/>
    <w:rsid w:val="002C133D"/>
    <w:rsid w:val="002C1FE9"/>
    <w:rsid w:val="002C42AE"/>
    <w:rsid w:val="002C4E8E"/>
    <w:rsid w:val="002D43C0"/>
    <w:rsid w:val="002D4C16"/>
    <w:rsid w:val="002D6EC3"/>
    <w:rsid w:val="002D7E45"/>
    <w:rsid w:val="002E170D"/>
    <w:rsid w:val="002E2009"/>
    <w:rsid w:val="002E36A1"/>
    <w:rsid w:val="002E53D8"/>
    <w:rsid w:val="002E5493"/>
    <w:rsid w:val="002E641D"/>
    <w:rsid w:val="002F0BF5"/>
    <w:rsid w:val="002F23B2"/>
    <w:rsid w:val="002F34FD"/>
    <w:rsid w:val="002F4CF7"/>
    <w:rsid w:val="002F509B"/>
    <w:rsid w:val="002F5F1D"/>
    <w:rsid w:val="002F61C1"/>
    <w:rsid w:val="003015C6"/>
    <w:rsid w:val="0030166B"/>
    <w:rsid w:val="00304A00"/>
    <w:rsid w:val="00305A65"/>
    <w:rsid w:val="00307D7E"/>
    <w:rsid w:val="00310D72"/>
    <w:rsid w:val="00312AC8"/>
    <w:rsid w:val="003244E8"/>
    <w:rsid w:val="00330773"/>
    <w:rsid w:val="00330E50"/>
    <w:rsid w:val="00332FB2"/>
    <w:rsid w:val="00333A01"/>
    <w:rsid w:val="00335563"/>
    <w:rsid w:val="0033747A"/>
    <w:rsid w:val="00337B8F"/>
    <w:rsid w:val="00340E7E"/>
    <w:rsid w:val="00341931"/>
    <w:rsid w:val="0034466B"/>
    <w:rsid w:val="00345157"/>
    <w:rsid w:val="00345618"/>
    <w:rsid w:val="003466B5"/>
    <w:rsid w:val="00350CB3"/>
    <w:rsid w:val="003530D6"/>
    <w:rsid w:val="00355907"/>
    <w:rsid w:val="00355989"/>
    <w:rsid w:val="003575C9"/>
    <w:rsid w:val="00357B0E"/>
    <w:rsid w:val="00362F28"/>
    <w:rsid w:val="003638D4"/>
    <w:rsid w:val="00364576"/>
    <w:rsid w:val="003707B4"/>
    <w:rsid w:val="00372E5C"/>
    <w:rsid w:val="00373383"/>
    <w:rsid w:val="00373526"/>
    <w:rsid w:val="0038045F"/>
    <w:rsid w:val="00383668"/>
    <w:rsid w:val="003848F3"/>
    <w:rsid w:val="003850F0"/>
    <w:rsid w:val="003866D1"/>
    <w:rsid w:val="003910DB"/>
    <w:rsid w:val="00392E85"/>
    <w:rsid w:val="00396924"/>
    <w:rsid w:val="003A1752"/>
    <w:rsid w:val="003A2B13"/>
    <w:rsid w:val="003A676E"/>
    <w:rsid w:val="003A7D31"/>
    <w:rsid w:val="003B01B3"/>
    <w:rsid w:val="003B1E60"/>
    <w:rsid w:val="003B4074"/>
    <w:rsid w:val="003B4A09"/>
    <w:rsid w:val="003B539D"/>
    <w:rsid w:val="003B5C2C"/>
    <w:rsid w:val="003B6110"/>
    <w:rsid w:val="003C28C8"/>
    <w:rsid w:val="003C7880"/>
    <w:rsid w:val="003D0958"/>
    <w:rsid w:val="003D0B32"/>
    <w:rsid w:val="003D1137"/>
    <w:rsid w:val="003D499E"/>
    <w:rsid w:val="003D4D5B"/>
    <w:rsid w:val="003D6CC2"/>
    <w:rsid w:val="003E1C4F"/>
    <w:rsid w:val="003E246E"/>
    <w:rsid w:val="003E3751"/>
    <w:rsid w:val="003E4733"/>
    <w:rsid w:val="003E6180"/>
    <w:rsid w:val="003E6BC6"/>
    <w:rsid w:val="003E6C91"/>
    <w:rsid w:val="003E7E86"/>
    <w:rsid w:val="003F16E0"/>
    <w:rsid w:val="003F20C2"/>
    <w:rsid w:val="003F2B02"/>
    <w:rsid w:val="003F716D"/>
    <w:rsid w:val="003F7E7E"/>
    <w:rsid w:val="00400514"/>
    <w:rsid w:val="00400560"/>
    <w:rsid w:val="004013D9"/>
    <w:rsid w:val="0040272A"/>
    <w:rsid w:val="00403467"/>
    <w:rsid w:val="00407611"/>
    <w:rsid w:val="0041083C"/>
    <w:rsid w:val="00410DF5"/>
    <w:rsid w:val="00411418"/>
    <w:rsid w:val="0041376E"/>
    <w:rsid w:val="00413D3C"/>
    <w:rsid w:val="00424BFD"/>
    <w:rsid w:val="00425FB2"/>
    <w:rsid w:val="004272FF"/>
    <w:rsid w:val="00427328"/>
    <w:rsid w:val="00431233"/>
    <w:rsid w:val="004326AE"/>
    <w:rsid w:val="004354AB"/>
    <w:rsid w:val="004369A9"/>
    <w:rsid w:val="00436E65"/>
    <w:rsid w:val="004423BC"/>
    <w:rsid w:val="00442B28"/>
    <w:rsid w:val="00444128"/>
    <w:rsid w:val="00444353"/>
    <w:rsid w:val="00445E74"/>
    <w:rsid w:val="00450AD9"/>
    <w:rsid w:val="0045181A"/>
    <w:rsid w:val="00451D79"/>
    <w:rsid w:val="00452202"/>
    <w:rsid w:val="004528DF"/>
    <w:rsid w:val="00453A0B"/>
    <w:rsid w:val="0045479A"/>
    <w:rsid w:val="00465F78"/>
    <w:rsid w:val="004665CF"/>
    <w:rsid w:val="00467D95"/>
    <w:rsid w:val="004701D9"/>
    <w:rsid w:val="00475B0C"/>
    <w:rsid w:val="00481424"/>
    <w:rsid w:val="00481E97"/>
    <w:rsid w:val="004853A7"/>
    <w:rsid w:val="004873E3"/>
    <w:rsid w:val="00491FBD"/>
    <w:rsid w:val="00493995"/>
    <w:rsid w:val="004972B2"/>
    <w:rsid w:val="004A4041"/>
    <w:rsid w:val="004A6320"/>
    <w:rsid w:val="004A6754"/>
    <w:rsid w:val="004B02C8"/>
    <w:rsid w:val="004B5B6E"/>
    <w:rsid w:val="004B6805"/>
    <w:rsid w:val="004B6EB0"/>
    <w:rsid w:val="004C1079"/>
    <w:rsid w:val="004C1C3E"/>
    <w:rsid w:val="004C1F5A"/>
    <w:rsid w:val="004C3DED"/>
    <w:rsid w:val="004C6434"/>
    <w:rsid w:val="004D003E"/>
    <w:rsid w:val="004D1BBA"/>
    <w:rsid w:val="004D383C"/>
    <w:rsid w:val="004D4A73"/>
    <w:rsid w:val="004D4BF3"/>
    <w:rsid w:val="004D671D"/>
    <w:rsid w:val="004E0F7E"/>
    <w:rsid w:val="004E27D6"/>
    <w:rsid w:val="004E37A8"/>
    <w:rsid w:val="004E56F4"/>
    <w:rsid w:val="004E7EFA"/>
    <w:rsid w:val="004F1FFB"/>
    <w:rsid w:val="004F36B0"/>
    <w:rsid w:val="004F74F6"/>
    <w:rsid w:val="00504169"/>
    <w:rsid w:val="00504949"/>
    <w:rsid w:val="005110DA"/>
    <w:rsid w:val="00511819"/>
    <w:rsid w:val="00511EC4"/>
    <w:rsid w:val="00513B0B"/>
    <w:rsid w:val="00514247"/>
    <w:rsid w:val="00516177"/>
    <w:rsid w:val="0051617F"/>
    <w:rsid w:val="005171A9"/>
    <w:rsid w:val="005203B5"/>
    <w:rsid w:val="0052379E"/>
    <w:rsid w:val="00524190"/>
    <w:rsid w:val="0053376B"/>
    <w:rsid w:val="00533893"/>
    <w:rsid w:val="005345C9"/>
    <w:rsid w:val="00541CB2"/>
    <w:rsid w:val="0054464E"/>
    <w:rsid w:val="00550F8F"/>
    <w:rsid w:val="005516C0"/>
    <w:rsid w:val="0055464D"/>
    <w:rsid w:val="00556037"/>
    <w:rsid w:val="005563E1"/>
    <w:rsid w:val="00556538"/>
    <w:rsid w:val="00561E45"/>
    <w:rsid w:val="00567B22"/>
    <w:rsid w:val="00570668"/>
    <w:rsid w:val="005744F4"/>
    <w:rsid w:val="005746DC"/>
    <w:rsid w:val="0057505D"/>
    <w:rsid w:val="0057661E"/>
    <w:rsid w:val="0057704A"/>
    <w:rsid w:val="00577650"/>
    <w:rsid w:val="00582FE1"/>
    <w:rsid w:val="00583EF5"/>
    <w:rsid w:val="0058708D"/>
    <w:rsid w:val="005874B3"/>
    <w:rsid w:val="00587750"/>
    <w:rsid w:val="00590844"/>
    <w:rsid w:val="00594B48"/>
    <w:rsid w:val="005955C6"/>
    <w:rsid w:val="00595E39"/>
    <w:rsid w:val="00596698"/>
    <w:rsid w:val="0059739C"/>
    <w:rsid w:val="005A0A20"/>
    <w:rsid w:val="005A12F0"/>
    <w:rsid w:val="005A2F3A"/>
    <w:rsid w:val="005A439E"/>
    <w:rsid w:val="005C03D5"/>
    <w:rsid w:val="005C3812"/>
    <w:rsid w:val="005C5500"/>
    <w:rsid w:val="005C6C28"/>
    <w:rsid w:val="005C77A6"/>
    <w:rsid w:val="005C7D1E"/>
    <w:rsid w:val="005D10DF"/>
    <w:rsid w:val="005D268D"/>
    <w:rsid w:val="005E2B6C"/>
    <w:rsid w:val="005E4680"/>
    <w:rsid w:val="005E4FE4"/>
    <w:rsid w:val="005E7D1E"/>
    <w:rsid w:val="005F5A3F"/>
    <w:rsid w:val="0060044F"/>
    <w:rsid w:val="00605FCF"/>
    <w:rsid w:val="00606600"/>
    <w:rsid w:val="006068FF"/>
    <w:rsid w:val="00610673"/>
    <w:rsid w:val="00611605"/>
    <w:rsid w:val="006121EF"/>
    <w:rsid w:val="00612729"/>
    <w:rsid w:val="006166CB"/>
    <w:rsid w:val="00616BE9"/>
    <w:rsid w:val="006221F0"/>
    <w:rsid w:val="00622C72"/>
    <w:rsid w:val="006248F6"/>
    <w:rsid w:val="0062541D"/>
    <w:rsid w:val="00626660"/>
    <w:rsid w:val="0062796F"/>
    <w:rsid w:val="00632E18"/>
    <w:rsid w:val="00633158"/>
    <w:rsid w:val="006409A7"/>
    <w:rsid w:val="0064265C"/>
    <w:rsid w:val="0064463B"/>
    <w:rsid w:val="00645143"/>
    <w:rsid w:val="00645941"/>
    <w:rsid w:val="00650409"/>
    <w:rsid w:val="0065395B"/>
    <w:rsid w:val="00656712"/>
    <w:rsid w:val="00664F7E"/>
    <w:rsid w:val="00671F3C"/>
    <w:rsid w:val="006736BC"/>
    <w:rsid w:val="00674FCC"/>
    <w:rsid w:val="006772FE"/>
    <w:rsid w:val="00677534"/>
    <w:rsid w:val="00682426"/>
    <w:rsid w:val="00683516"/>
    <w:rsid w:val="006875E8"/>
    <w:rsid w:val="00691382"/>
    <w:rsid w:val="00693416"/>
    <w:rsid w:val="00694325"/>
    <w:rsid w:val="00695F91"/>
    <w:rsid w:val="006968D9"/>
    <w:rsid w:val="00697626"/>
    <w:rsid w:val="006979C0"/>
    <w:rsid w:val="006A1726"/>
    <w:rsid w:val="006A4BF5"/>
    <w:rsid w:val="006B06E7"/>
    <w:rsid w:val="006B2273"/>
    <w:rsid w:val="006B2F3D"/>
    <w:rsid w:val="006B4BD3"/>
    <w:rsid w:val="006C1D95"/>
    <w:rsid w:val="006C426E"/>
    <w:rsid w:val="006C50A3"/>
    <w:rsid w:val="006C7A06"/>
    <w:rsid w:val="006D05DD"/>
    <w:rsid w:val="006D0702"/>
    <w:rsid w:val="006D0901"/>
    <w:rsid w:val="006D2EA0"/>
    <w:rsid w:val="006D3533"/>
    <w:rsid w:val="006D3A37"/>
    <w:rsid w:val="006D6B35"/>
    <w:rsid w:val="006E3FF5"/>
    <w:rsid w:val="006E7BFC"/>
    <w:rsid w:val="006F0D4C"/>
    <w:rsid w:val="006F1781"/>
    <w:rsid w:val="006F285F"/>
    <w:rsid w:val="006F41B7"/>
    <w:rsid w:val="006F43BF"/>
    <w:rsid w:val="006F5354"/>
    <w:rsid w:val="006F717C"/>
    <w:rsid w:val="00700777"/>
    <w:rsid w:val="007015DD"/>
    <w:rsid w:val="00706408"/>
    <w:rsid w:val="0070713A"/>
    <w:rsid w:val="007074E8"/>
    <w:rsid w:val="00717016"/>
    <w:rsid w:val="00722310"/>
    <w:rsid w:val="00726BDE"/>
    <w:rsid w:val="00732069"/>
    <w:rsid w:val="007336C5"/>
    <w:rsid w:val="007337B9"/>
    <w:rsid w:val="00734412"/>
    <w:rsid w:val="0073721A"/>
    <w:rsid w:val="0074288A"/>
    <w:rsid w:val="00742A7B"/>
    <w:rsid w:val="007505B5"/>
    <w:rsid w:val="007537F0"/>
    <w:rsid w:val="00754374"/>
    <w:rsid w:val="00754CA6"/>
    <w:rsid w:val="007560EA"/>
    <w:rsid w:val="007601E5"/>
    <w:rsid w:val="0076162C"/>
    <w:rsid w:val="0076536E"/>
    <w:rsid w:val="007660DC"/>
    <w:rsid w:val="00766339"/>
    <w:rsid w:val="00775773"/>
    <w:rsid w:val="00775987"/>
    <w:rsid w:val="0077721D"/>
    <w:rsid w:val="00782856"/>
    <w:rsid w:val="00782BF2"/>
    <w:rsid w:val="007850A2"/>
    <w:rsid w:val="00790EFE"/>
    <w:rsid w:val="00796268"/>
    <w:rsid w:val="007963C2"/>
    <w:rsid w:val="00797373"/>
    <w:rsid w:val="00797B58"/>
    <w:rsid w:val="007A13B2"/>
    <w:rsid w:val="007A18AE"/>
    <w:rsid w:val="007B0E12"/>
    <w:rsid w:val="007B1048"/>
    <w:rsid w:val="007B2E8A"/>
    <w:rsid w:val="007B3019"/>
    <w:rsid w:val="007B72EC"/>
    <w:rsid w:val="007B7B29"/>
    <w:rsid w:val="007C030E"/>
    <w:rsid w:val="007C3B7F"/>
    <w:rsid w:val="007C406A"/>
    <w:rsid w:val="007C4265"/>
    <w:rsid w:val="007D02AA"/>
    <w:rsid w:val="007D1B18"/>
    <w:rsid w:val="007D2DD0"/>
    <w:rsid w:val="007D3FE7"/>
    <w:rsid w:val="007D4308"/>
    <w:rsid w:val="007D4765"/>
    <w:rsid w:val="007D5EBD"/>
    <w:rsid w:val="007E0EDF"/>
    <w:rsid w:val="007E1137"/>
    <w:rsid w:val="007E1308"/>
    <w:rsid w:val="007E14BC"/>
    <w:rsid w:val="007E2291"/>
    <w:rsid w:val="007E2F19"/>
    <w:rsid w:val="007E3097"/>
    <w:rsid w:val="007E5362"/>
    <w:rsid w:val="007F0008"/>
    <w:rsid w:val="007F33D1"/>
    <w:rsid w:val="007F3F27"/>
    <w:rsid w:val="007F5747"/>
    <w:rsid w:val="007F6D22"/>
    <w:rsid w:val="007F7E99"/>
    <w:rsid w:val="008024A2"/>
    <w:rsid w:val="0080411C"/>
    <w:rsid w:val="008078BB"/>
    <w:rsid w:val="0080799B"/>
    <w:rsid w:val="00812036"/>
    <w:rsid w:val="00814B35"/>
    <w:rsid w:val="00815A76"/>
    <w:rsid w:val="008166DD"/>
    <w:rsid w:val="00816C0E"/>
    <w:rsid w:val="0082075B"/>
    <w:rsid w:val="00824442"/>
    <w:rsid w:val="008266D6"/>
    <w:rsid w:val="0083394A"/>
    <w:rsid w:val="00837898"/>
    <w:rsid w:val="00837F3B"/>
    <w:rsid w:val="008415DA"/>
    <w:rsid w:val="00841962"/>
    <w:rsid w:val="00841CCD"/>
    <w:rsid w:val="00844175"/>
    <w:rsid w:val="00844897"/>
    <w:rsid w:val="00844A7B"/>
    <w:rsid w:val="008529F7"/>
    <w:rsid w:val="00856B45"/>
    <w:rsid w:val="008626B7"/>
    <w:rsid w:val="00870D30"/>
    <w:rsid w:val="00870EF6"/>
    <w:rsid w:val="008737F2"/>
    <w:rsid w:val="00873ABA"/>
    <w:rsid w:val="0087419B"/>
    <w:rsid w:val="00874C0B"/>
    <w:rsid w:val="008758CD"/>
    <w:rsid w:val="0087764A"/>
    <w:rsid w:val="008779F5"/>
    <w:rsid w:val="00884A78"/>
    <w:rsid w:val="008851E2"/>
    <w:rsid w:val="008877ED"/>
    <w:rsid w:val="00887AA8"/>
    <w:rsid w:val="00887B78"/>
    <w:rsid w:val="00887BF6"/>
    <w:rsid w:val="00892756"/>
    <w:rsid w:val="00893A7B"/>
    <w:rsid w:val="00897E45"/>
    <w:rsid w:val="008A0AAC"/>
    <w:rsid w:val="008A3FEC"/>
    <w:rsid w:val="008A61B2"/>
    <w:rsid w:val="008A6AA1"/>
    <w:rsid w:val="008B18F4"/>
    <w:rsid w:val="008B26C1"/>
    <w:rsid w:val="008B3986"/>
    <w:rsid w:val="008B6147"/>
    <w:rsid w:val="008B6D9F"/>
    <w:rsid w:val="008B76AF"/>
    <w:rsid w:val="008D094A"/>
    <w:rsid w:val="008D27EF"/>
    <w:rsid w:val="008D2F9A"/>
    <w:rsid w:val="008D330D"/>
    <w:rsid w:val="008D501F"/>
    <w:rsid w:val="008D699F"/>
    <w:rsid w:val="008E1186"/>
    <w:rsid w:val="008E43BE"/>
    <w:rsid w:val="008E7CCA"/>
    <w:rsid w:val="008F3BB6"/>
    <w:rsid w:val="008F4D54"/>
    <w:rsid w:val="008F57E7"/>
    <w:rsid w:val="008F6E4F"/>
    <w:rsid w:val="00900644"/>
    <w:rsid w:val="009012E0"/>
    <w:rsid w:val="00911773"/>
    <w:rsid w:val="00913A4A"/>
    <w:rsid w:val="00915B5D"/>
    <w:rsid w:val="009200DD"/>
    <w:rsid w:val="00920E96"/>
    <w:rsid w:val="00921657"/>
    <w:rsid w:val="00924578"/>
    <w:rsid w:val="00930107"/>
    <w:rsid w:val="009312D8"/>
    <w:rsid w:val="00932A93"/>
    <w:rsid w:val="00933CA3"/>
    <w:rsid w:val="00935682"/>
    <w:rsid w:val="0094745B"/>
    <w:rsid w:val="009521BE"/>
    <w:rsid w:val="00954DED"/>
    <w:rsid w:val="00957165"/>
    <w:rsid w:val="00957544"/>
    <w:rsid w:val="009608EB"/>
    <w:rsid w:val="0096166B"/>
    <w:rsid w:val="00961A0B"/>
    <w:rsid w:val="009624C4"/>
    <w:rsid w:val="00967834"/>
    <w:rsid w:val="009701C3"/>
    <w:rsid w:val="00971758"/>
    <w:rsid w:val="009717F8"/>
    <w:rsid w:val="00974011"/>
    <w:rsid w:val="009744A1"/>
    <w:rsid w:val="0097748C"/>
    <w:rsid w:val="00977699"/>
    <w:rsid w:val="00983A70"/>
    <w:rsid w:val="00984E9A"/>
    <w:rsid w:val="009863BC"/>
    <w:rsid w:val="00987B9E"/>
    <w:rsid w:val="00987DFD"/>
    <w:rsid w:val="00994D7B"/>
    <w:rsid w:val="0099657C"/>
    <w:rsid w:val="0099705E"/>
    <w:rsid w:val="009A2C59"/>
    <w:rsid w:val="009A616B"/>
    <w:rsid w:val="009B366F"/>
    <w:rsid w:val="009B460D"/>
    <w:rsid w:val="009B501B"/>
    <w:rsid w:val="009B77D3"/>
    <w:rsid w:val="009C1647"/>
    <w:rsid w:val="009C312A"/>
    <w:rsid w:val="009C48CB"/>
    <w:rsid w:val="009C5399"/>
    <w:rsid w:val="009D09BB"/>
    <w:rsid w:val="009D14B0"/>
    <w:rsid w:val="009D3304"/>
    <w:rsid w:val="009D407A"/>
    <w:rsid w:val="009E1500"/>
    <w:rsid w:val="009E1E99"/>
    <w:rsid w:val="009E3CF5"/>
    <w:rsid w:val="009E3E59"/>
    <w:rsid w:val="009E7193"/>
    <w:rsid w:val="009F2FB7"/>
    <w:rsid w:val="009F4146"/>
    <w:rsid w:val="009F418E"/>
    <w:rsid w:val="00A005CE"/>
    <w:rsid w:val="00A059DC"/>
    <w:rsid w:val="00A0605A"/>
    <w:rsid w:val="00A1164E"/>
    <w:rsid w:val="00A12218"/>
    <w:rsid w:val="00A129E3"/>
    <w:rsid w:val="00A14699"/>
    <w:rsid w:val="00A172F2"/>
    <w:rsid w:val="00A23977"/>
    <w:rsid w:val="00A257EA"/>
    <w:rsid w:val="00A26B07"/>
    <w:rsid w:val="00A27EC3"/>
    <w:rsid w:val="00A30853"/>
    <w:rsid w:val="00A30F4E"/>
    <w:rsid w:val="00A322FC"/>
    <w:rsid w:val="00A32938"/>
    <w:rsid w:val="00A349C2"/>
    <w:rsid w:val="00A371E9"/>
    <w:rsid w:val="00A40885"/>
    <w:rsid w:val="00A46F6F"/>
    <w:rsid w:val="00A46F94"/>
    <w:rsid w:val="00A5186E"/>
    <w:rsid w:val="00A53A11"/>
    <w:rsid w:val="00A54D57"/>
    <w:rsid w:val="00A562EF"/>
    <w:rsid w:val="00A573C3"/>
    <w:rsid w:val="00A6150B"/>
    <w:rsid w:val="00A66BA7"/>
    <w:rsid w:val="00A673C8"/>
    <w:rsid w:val="00A70AD3"/>
    <w:rsid w:val="00A7156D"/>
    <w:rsid w:val="00A7456F"/>
    <w:rsid w:val="00A868BE"/>
    <w:rsid w:val="00A869D5"/>
    <w:rsid w:val="00A93A79"/>
    <w:rsid w:val="00A93FE8"/>
    <w:rsid w:val="00A95443"/>
    <w:rsid w:val="00AA2B63"/>
    <w:rsid w:val="00AA3F66"/>
    <w:rsid w:val="00AA55E5"/>
    <w:rsid w:val="00AA66C1"/>
    <w:rsid w:val="00AA6CC7"/>
    <w:rsid w:val="00AB36E2"/>
    <w:rsid w:val="00AB6055"/>
    <w:rsid w:val="00AB75FC"/>
    <w:rsid w:val="00AC1AA5"/>
    <w:rsid w:val="00AC2F55"/>
    <w:rsid w:val="00AC3581"/>
    <w:rsid w:val="00AC484A"/>
    <w:rsid w:val="00AD1059"/>
    <w:rsid w:val="00AD5135"/>
    <w:rsid w:val="00AE3162"/>
    <w:rsid w:val="00AE4AD9"/>
    <w:rsid w:val="00AE4FC8"/>
    <w:rsid w:val="00AE5451"/>
    <w:rsid w:val="00AE5E77"/>
    <w:rsid w:val="00AF3D6D"/>
    <w:rsid w:val="00AF5E88"/>
    <w:rsid w:val="00B00A65"/>
    <w:rsid w:val="00B00C71"/>
    <w:rsid w:val="00B01869"/>
    <w:rsid w:val="00B048F9"/>
    <w:rsid w:val="00B057BE"/>
    <w:rsid w:val="00B05B07"/>
    <w:rsid w:val="00B07FF5"/>
    <w:rsid w:val="00B132C5"/>
    <w:rsid w:val="00B210AB"/>
    <w:rsid w:val="00B22E55"/>
    <w:rsid w:val="00B2349C"/>
    <w:rsid w:val="00B24C93"/>
    <w:rsid w:val="00B26BE9"/>
    <w:rsid w:val="00B27083"/>
    <w:rsid w:val="00B30399"/>
    <w:rsid w:val="00B30485"/>
    <w:rsid w:val="00B307BE"/>
    <w:rsid w:val="00B31143"/>
    <w:rsid w:val="00B3125C"/>
    <w:rsid w:val="00B32293"/>
    <w:rsid w:val="00B3305F"/>
    <w:rsid w:val="00B336A0"/>
    <w:rsid w:val="00B33D67"/>
    <w:rsid w:val="00B354BC"/>
    <w:rsid w:val="00B35511"/>
    <w:rsid w:val="00B37CF1"/>
    <w:rsid w:val="00B442C6"/>
    <w:rsid w:val="00B45790"/>
    <w:rsid w:val="00B45ECB"/>
    <w:rsid w:val="00B45F73"/>
    <w:rsid w:val="00B5080B"/>
    <w:rsid w:val="00B52D6F"/>
    <w:rsid w:val="00B548A4"/>
    <w:rsid w:val="00B5593C"/>
    <w:rsid w:val="00B57E38"/>
    <w:rsid w:val="00B6037F"/>
    <w:rsid w:val="00B61914"/>
    <w:rsid w:val="00B628F4"/>
    <w:rsid w:val="00B706CB"/>
    <w:rsid w:val="00B71B3D"/>
    <w:rsid w:val="00B71F37"/>
    <w:rsid w:val="00B738AA"/>
    <w:rsid w:val="00B7404A"/>
    <w:rsid w:val="00B74965"/>
    <w:rsid w:val="00B80094"/>
    <w:rsid w:val="00B82865"/>
    <w:rsid w:val="00B843A8"/>
    <w:rsid w:val="00B8751C"/>
    <w:rsid w:val="00B9060B"/>
    <w:rsid w:val="00B9130F"/>
    <w:rsid w:val="00B91C9B"/>
    <w:rsid w:val="00B92EDD"/>
    <w:rsid w:val="00BA0594"/>
    <w:rsid w:val="00BA200D"/>
    <w:rsid w:val="00BA5D84"/>
    <w:rsid w:val="00BB26F4"/>
    <w:rsid w:val="00BB2955"/>
    <w:rsid w:val="00BB44B5"/>
    <w:rsid w:val="00BB5996"/>
    <w:rsid w:val="00BB739E"/>
    <w:rsid w:val="00BC217E"/>
    <w:rsid w:val="00BC21B3"/>
    <w:rsid w:val="00BC4830"/>
    <w:rsid w:val="00BC511D"/>
    <w:rsid w:val="00BC53A4"/>
    <w:rsid w:val="00BC546F"/>
    <w:rsid w:val="00BC698B"/>
    <w:rsid w:val="00BC7CDD"/>
    <w:rsid w:val="00BD061E"/>
    <w:rsid w:val="00BD0A50"/>
    <w:rsid w:val="00BD1C2C"/>
    <w:rsid w:val="00BD2C7B"/>
    <w:rsid w:val="00BD32FB"/>
    <w:rsid w:val="00BD3926"/>
    <w:rsid w:val="00BD4998"/>
    <w:rsid w:val="00BD5F1E"/>
    <w:rsid w:val="00BE0176"/>
    <w:rsid w:val="00BE2FB2"/>
    <w:rsid w:val="00BF271C"/>
    <w:rsid w:val="00BF2D20"/>
    <w:rsid w:val="00BF5374"/>
    <w:rsid w:val="00C00246"/>
    <w:rsid w:val="00C033CA"/>
    <w:rsid w:val="00C03A0B"/>
    <w:rsid w:val="00C03B90"/>
    <w:rsid w:val="00C05074"/>
    <w:rsid w:val="00C05E97"/>
    <w:rsid w:val="00C06B55"/>
    <w:rsid w:val="00C07FDD"/>
    <w:rsid w:val="00C10C11"/>
    <w:rsid w:val="00C11964"/>
    <w:rsid w:val="00C13FBF"/>
    <w:rsid w:val="00C151A1"/>
    <w:rsid w:val="00C159A3"/>
    <w:rsid w:val="00C20A31"/>
    <w:rsid w:val="00C21190"/>
    <w:rsid w:val="00C22071"/>
    <w:rsid w:val="00C22F39"/>
    <w:rsid w:val="00C23266"/>
    <w:rsid w:val="00C2500F"/>
    <w:rsid w:val="00C2584F"/>
    <w:rsid w:val="00C25F4E"/>
    <w:rsid w:val="00C2676E"/>
    <w:rsid w:val="00C32F3C"/>
    <w:rsid w:val="00C3333B"/>
    <w:rsid w:val="00C41A82"/>
    <w:rsid w:val="00C41DBA"/>
    <w:rsid w:val="00C42C51"/>
    <w:rsid w:val="00C4314D"/>
    <w:rsid w:val="00C47E7B"/>
    <w:rsid w:val="00C51399"/>
    <w:rsid w:val="00C51585"/>
    <w:rsid w:val="00C51A80"/>
    <w:rsid w:val="00C5318C"/>
    <w:rsid w:val="00C532DD"/>
    <w:rsid w:val="00C53C56"/>
    <w:rsid w:val="00C54F93"/>
    <w:rsid w:val="00C55B5D"/>
    <w:rsid w:val="00C60638"/>
    <w:rsid w:val="00C62680"/>
    <w:rsid w:val="00C65930"/>
    <w:rsid w:val="00C66119"/>
    <w:rsid w:val="00C71445"/>
    <w:rsid w:val="00C720FB"/>
    <w:rsid w:val="00C75DBA"/>
    <w:rsid w:val="00C8172F"/>
    <w:rsid w:val="00C82212"/>
    <w:rsid w:val="00C8447D"/>
    <w:rsid w:val="00C942D2"/>
    <w:rsid w:val="00C94B3E"/>
    <w:rsid w:val="00CA2F93"/>
    <w:rsid w:val="00CA3533"/>
    <w:rsid w:val="00CB35A2"/>
    <w:rsid w:val="00CB713D"/>
    <w:rsid w:val="00CC1C00"/>
    <w:rsid w:val="00CC27B9"/>
    <w:rsid w:val="00CC2F6C"/>
    <w:rsid w:val="00CC4E12"/>
    <w:rsid w:val="00CC568D"/>
    <w:rsid w:val="00CC6FA2"/>
    <w:rsid w:val="00CC75B1"/>
    <w:rsid w:val="00CD44C0"/>
    <w:rsid w:val="00CD471B"/>
    <w:rsid w:val="00CD79CD"/>
    <w:rsid w:val="00CD7F8E"/>
    <w:rsid w:val="00CE0C87"/>
    <w:rsid w:val="00CE1C67"/>
    <w:rsid w:val="00CE29B5"/>
    <w:rsid w:val="00CE362C"/>
    <w:rsid w:val="00CE7681"/>
    <w:rsid w:val="00CF0E66"/>
    <w:rsid w:val="00CF16AA"/>
    <w:rsid w:val="00CF197D"/>
    <w:rsid w:val="00D06027"/>
    <w:rsid w:val="00D1182E"/>
    <w:rsid w:val="00D11C6E"/>
    <w:rsid w:val="00D13DFB"/>
    <w:rsid w:val="00D23CB8"/>
    <w:rsid w:val="00D35F0D"/>
    <w:rsid w:val="00D37813"/>
    <w:rsid w:val="00D40C09"/>
    <w:rsid w:val="00D40FBF"/>
    <w:rsid w:val="00D4185A"/>
    <w:rsid w:val="00D42283"/>
    <w:rsid w:val="00D423C0"/>
    <w:rsid w:val="00D44BD2"/>
    <w:rsid w:val="00D52A6C"/>
    <w:rsid w:val="00D52BCD"/>
    <w:rsid w:val="00D57A8A"/>
    <w:rsid w:val="00D60D33"/>
    <w:rsid w:val="00D614D4"/>
    <w:rsid w:val="00D62679"/>
    <w:rsid w:val="00D62974"/>
    <w:rsid w:val="00D64818"/>
    <w:rsid w:val="00D64D20"/>
    <w:rsid w:val="00D64D7F"/>
    <w:rsid w:val="00D6768E"/>
    <w:rsid w:val="00D67C70"/>
    <w:rsid w:val="00D71399"/>
    <w:rsid w:val="00D75F12"/>
    <w:rsid w:val="00D767A3"/>
    <w:rsid w:val="00D80122"/>
    <w:rsid w:val="00D86E78"/>
    <w:rsid w:val="00D87E08"/>
    <w:rsid w:val="00D927AE"/>
    <w:rsid w:val="00D9307A"/>
    <w:rsid w:val="00D93599"/>
    <w:rsid w:val="00D96BAB"/>
    <w:rsid w:val="00D97A01"/>
    <w:rsid w:val="00DA0566"/>
    <w:rsid w:val="00DA2F30"/>
    <w:rsid w:val="00DA3977"/>
    <w:rsid w:val="00DA40C4"/>
    <w:rsid w:val="00DA443B"/>
    <w:rsid w:val="00DA4C6F"/>
    <w:rsid w:val="00DA50B2"/>
    <w:rsid w:val="00DB0E09"/>
    <w:rsid w:val="00DB2B12"/>
    <w:rsid w:val="00DB5EDA"/>
    <w:rsid w:val="00DB7E1D"/>
    <w:rsid w:val="00DC160A"/>
    <w:rsid w:val="00DC1675"/>
    <w:rsid w:val="00DC1AD2"/>
    <w:rsid w:val="00DC4434"/>
    <w:rsid w:val="00DC5951"/>
    <w:rsid w:val="00DC656F"/>
    <w:rsid w:val="00DC6B31"/>
    <w:rsid w:val="00DC732A"/>
    <w:rsid w:val="00DD103F"/>
    <w:rsid w:val="00DD112B"/>
    <w:rsid w:val="00DD1526"/>
    <w:rsid w:val="00DD1582"/>
    <w:rsid w:val="00DD1741"/>
    <w:rsid w:val="00DD42B4"/>
    <w:rsid w:val="00DD5720"/>
    <w:rsid w:val="00DD6D68"/>
    <w:rsid w:val="00DD769E"/>
    <w:rsid w:val="00DE0C26"/>
    <w:rsid w:val="00DE0E18"/>
    <w:rsid w:val="00DE18C1"/>
    <w:rsid w:val="00DE2045"/>
    <w:rsid w:val="00DF103B"/>
    <w:rsid w:val="00DF2699"/>
    <w:rsid w:val="00DF3B53"/>
    <w:rsid w:val="00DF50AD"/>
    <w:rsid w:val="00DF67D1"/>
    <w:rsid w:val="00E01D81"/>
    <w:rsid w:val="00E02F6F"/>
    <w:rsid w:val="00E04517"/>
    <w:rsid w:val="00E05A76"/>
    <w:rsid w:val="00E06198"/>
    <w:rsid w:val="00E0667D"/>
    <w:rsid w:val="00E072CF"/>
    <w:rsid w:val="00E077C0"/>
    <w:rsid w:val="00E07F17"/>
    <w:rsid w:val="00E1091F"/>
    <w:rsid w:val="00E12323"/>
    <w:rsid w:val="00E1263D"/>
    <w:rsid w:val="00E1488C"/>
    <w:rsid w:val="00E149D9"/>
    <w:rsid w:val="00E151BF"/>
    <w:rsid w:val="00E15705"/>
    <w:rsid w:val="00E20052"/>
    <w:rsid w:val="00E216A7"/>
    <w:rsid w:val="00E21A4C"/>
    <w:rsid w:val="00E22A15"/>
    <w:rsid w:val="00E2538E"/>
    <w:rsid w:val="00E31E2A"/>
    <w:rsid w:val="00E33D2C"/>
    <w:rsid w:val="00E423EC"/>
    <w:rsid w:val="00E45B24"/>
    <w:rsid w:val="00E46CCA"/>
    <w:rsid w:val="00E50E8F"/>
    <w:rsid w:val="00E5598C"/>
    <w:rsid w:val="00E611B2"/>
    <w:rsid w:val="00E6125F"/>
    <w:rsid w:val="00E63546"/>
    <w:rsid w:val="00E63F9C"/>
    <w:rsid w:val="00E656C1"/>
    <w:rsid w:val="00E670E6"/>
    <w:rsid w:val="00E70191"/>
    <w:rsid w:val="00E77DCA"/>
    <w:rsid w:val="00E81E63"/>
    <w:rsid w:val="00E82F16"/>
    <w:rsid w:val="00E848B7"/>
    <w:rsid w:val="00E8502A"/>
    <w:rsid w:val="00E9433B"/>
    <w:rsid w:val="00E9558E"/>
    <w:rsid w:val="00EA04FA"/>
    <w:rsid w:val="00EA14AF"/>
    <w:rsid w:val="00EA5406"/>
    <w:rsid w:val="00EA66AC"/>
    <w:rsid w:val="00EA7E1B"/>
    <w:rsid w:val="00EB113C"/>
    <w:rsid w:val="00EB2E16"/>
    <w:rsid w:val="00EB5BF3"/>
    <w:rsid w:val="00EC3188"/>
    <w:rsid w:val="00EC50E0"/>
    <w:rsid w:val="00EC514C"/>
    <w:rsid w:val="00EC54EA"/>
    <w:rsid w:val="00ED56C3"/>
    <w:rsid w:val="00EE12A6"/>
    <w:rsid w:val="00EE5AB2"/>
    <w:rsid w:val="00EE5F21"/>
    <w:rsid w:val="00EE77C6"/>
    <w:rsid w:val="00EE7F1A"/>
    <w:rsid w:val="00EF13A7"/>
    <w:rsid w:val="00EF793C"/>
    <w:rsid w:val="00F00A84"/>
    <w:rsid w:val="00F03DB3"/>
    <w:rsid w:val="00F0731A"/>
    <w:rsid w:val="00F07ED2"/>
    <w:rsid w:val="00F1355A"/>
    <w:rsid w:val="00F148E8"/>
    <w:rsid w:val="00F14A80"/>
    <w:rsid w:val="00F1597E"/>
    <w:rsid w:val="00F15BA6"/>
    <w:rsid w:val="00F168C5"/>
    <w:rsid w:val="00F17A79"/>
    <w:rsid w:val="00F17BDF"/>
    <w:rsid w:val="00F24686"/>
    <w:rsid w:val="00F247D7"/>
    <w:rsid w:val="00F26BC1"/>
    <w:rsid w:val="00F32AE8"/>
    <w:rsid w:val="00F339D6"/>
    <w:rsid w:val="00F35223"/>
    <w:rsid w:val="00F36D40"/>
    <w:rsid w:val="00F36E10"/>
    <w:rsid w:val="00F371A1"/>
    <w:rsid w:val="00F3777D"/>
    <w:rsid w:val="00F44035"/>
    <w:rsid w:val="00F53214"/>
    <w:rsid w:val="00F54105"/>
    <w:rsid w:val="00F574D3"/>
    <w:rsid w:val="00F57D4A"/>
    <w:rsid w:val="00F60247"/>
    <w:rsid w:val="00F609D8"/>
    <w:rsid w:val="00F60A06"/>
    <w:rsid w:val="00F62D5C"/>
    <w:rsid w:val="00F64369"/>
    <w:rsid w:val="00F65271"/>
    <w:rsid w:val="00F6663D"/>
    <w:rsid w:val="00F66F69"/>
    <w:rsid w:val="00F74883"/>
    <w:rsid w:val="00F75C86"/>
    <w:rsid w:val="00F800C4"/>
    <w:rsid w:val="00F825EE"/>
    <w:rsid w:val="00F84CAE"/>
    <w:rsid w:val="00F85205"/>
    <w:rsid w:val="00F86060"/>
    <w:rsid w:val="00F905BA"/>
    <w:rsid w:val="00F906FB"/>
    <w:rsid w:val="00F91246"/>
    <w:rsid w:val="00F91697"/>
    <w:rsid w:val="00F91C08"/>
    <w:rsid w:val="00F91D00"/>
    <w:rsid w:val="00F93B9F"/>
    <w:rsid w:val="00F957FA"/>
    <w:rsid w:val="00F95A93"/>
    <w:rsid w:val="00F96EF3"/>
    <w:rsid w:val="00FA0751"/>
    <w:rsid w:val="00FA5900"/>
    <w:rsid w:val="00FA5A16"/>
    <w:rsid w:val="00FA5E92"/>
    <w:rsid w:val="00FB14E1"/>
    <w:rsid w:val="00FB5748"/>
    <w:rsid w:val="00FB7C1A"/>
    <w:rsid w:val="00FB7F5C"/>
    <w:rsid w:val="00FC0747"/>
    <w:rsid w:val="00FC1B1D"/>
    <w:rsid w:val="00FC3F00"/>
    <w:rsid w:val="00FC44E0"/>
    <w:rsid w:val="00FC46E9"/>
    <w:rsid w:val="00FC5B19"/>
    <w:rsid w:val="00FC6EF3"/>
    <w:rsid w:val="00FC746A"/>
    <w:rsid w:val="00FD035D"/>
    <w:rsid w:val="00FD2C16"/>
    <w:rsid w:val="00FD44BD"/>
    <w:rsid w:val="00FE0AA4"/>
    <w:rsid w:val="00FE1433"/>
    <w:rsid w:val="00FE27E4"/>
    <w:rsid w:val="00FE334F"/>
    <w:rsid w:val="00FE7D58"/>
    <w:rsid w:val="00FF6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E5C"/>
    <w:rPr>
      <w:sz w:val="24"/>
      <w:szCs w:val="24"/>
    </w:rPr>
  </w:style>
  <w:style w:type="paragraph" w:styleId="Heading1">
    <w:name w:val="heading 1"/>
    <w:basedOn w:val="Normal"/>
    <w:next w:val="Normal"/>
    <w:qFormat/>
    <w:rsid w:val="0051617F"/>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A7E1B"/>
    <w:pPr>
      <w:keepNext/>
      <w:numPr>
        <w:ilvl w:val="1"/>
        <w:numId w:val="7"/>
      </w:numPr>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6B4BD3"/>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3866D1"/>
    <w:pPr>
      <w:keepNext/>
      <w:numPr>
        <w:ilvl w:val="3"/>
        <w:numId w:val="7"/>
      </w:numPr>
      <w:spacing w:before="240" w:after="60"/>
      <w:outlineLvl w:val="3"/>
    </w:pPr>
    <w:rPr>
      <w:rFonts w:ascii="Arial" w:hAnsi="Arial"/>
      <w:b/>
      <w:bCs/>
      <w:szCs w:val="28"/>
    </w:rPr>
  </w:style>
  <w:style w:type="paragraph" w:styleId="Heading5">
    <w:name w:val="heading 5"/>
    <w:basedOn w:val="Normal"/>
    <w:next w:val="Normal"/>
    <w:qFormat/>
    <w:rsid w:val="00D64D7F"/>
    <w:pPr>
      <w:numPr>
        <w:ilvl w:val="4"/>
        <w:numId w:val="7"/>
      </w:numPr>
      <w:spacing w:before="240" w:after="60"/>
      <w:outlineLvl w:val="4"/>
    </w:pPr>
    <w:rPr>
      <w:b/>
      <w:bCs/>
      <w:i/>
      <w:iCs/>
      <w:sz w:val="26"/>
      <w:szCs w:val="26"/>
    </w:rPr>
  </w:style>
  <w:style w:type="paragraph" w:styleId="Heading6">
    <w:name w:val="heading 6"/>
    <w:basedOn w:val="Normal"/>
    <w:next w:val="Normal"/>
    <w:qFormat/>
    <w:rsid w:val="00D64D7F"/>
    <w:pPr>
      <w:numPr>
        <w:ilvl w:val="5"/>
        <w:numId w:val="7"/>
      </w:numPr>
      <w:spacing w:before="240" w:after="60"/>
      <w:outlineLvl w:val="5"/>
    </w:pPr>
    <w:rPr>
      <w:b/>
      <w:bCs/>
      <w:sz w:val="22"/>
      <w:szCs w:val="22"/>
    </w:rPr>
  </w:style>
  <w:style w:type="paragraph" w:styleId="Heading7">
    <w:name w:val="heading 7"/>
    <w:basedOn w:val="Normal"/>
    <w:next w:val="Normal"/>
    <w:qFormat/>
    <w:rsid w:val="00D64D7F"/>
    <w:pPr>
      <w:numPr>
        <w:ilvl w:val="6"/>
        <w:numId w:val="7"/>
      </w:numPr>
      <w:spacing w:before="240" w:after="60"/>
      <w:outlineLvl w:val="6"/>
    </w:pPr>
  </w:style>
  <w:style w:type="paragraph" w:styleId="Heading8">
    <w:name w:val="heading 8"/>
    <w:basedOn w:val="Normal"/>
    <w:next w:val="Normal"/>
    <w:qFormat/>
    <w:rsid w:val="00D64D7F"/>
    <w:pPr>
      <w:numPr>
        <w:ilvl w:val="7"/>
        <w:numId w:val="7"/>
      </w:numPr>
      <w:spacing w:before="240" w:after="60"/>
      <w:outlineLvl w:val="7"/>
    </w:pPr>
    <w:rPr>
      <w:i/>
      <w:iCs/>
    </w:rPr>
  </w:style>
  <w:style w:type="paragraph" w:styleId="Heading9">
    <w:name w:val="heading 9"/>
    <w:basedOn w:val="Normal"/>
    <w:next w:val="Normal"/>
    <w:qFormat/>
    <w:rsid w:val="00D64D7F"/>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26AE"/>
    <w:rPr>
      <w:rFonts w:ascii="Tahoma" w:hAnsi="Tahoma" w:cs="Tahoma"/>
      <w:sz w:val="16"/>
      <w:szCs w:val="16"/>
    </w:rPr>
  </w:style>
  <w:style w:type="table" w:styleId="TableGrid">
    <w:name w:val="Table Grid"/>
    <w:basedOn w:val="TableNormal"/>
    <w:rsid w:val="00FB7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C133D"/>
    <w:rPr>
      <w:sz w:val="20"/>
      <w:szCs w:val="20"/>
    </w:rPr>
  </w:style>
  <w:style w:type="character" w:styleId="FootnoteReference">
    <w:name w:val="footnote reference"/>
    <w:basedOn w:val="DefaultParagraphFont"/>
    <w:semiHidden/>
    <w:rsid w:val="002C133D"/>
    <w:rPr>
      <w:vertAlign w:val="superscript"/>
    </w:rPr>
  </w:style>
  <w:style w:type="paragraph" w:customStyle="1" w:styleId="StyleJustifiedBefore3ptAfter3pt">
    <w:name w:val="Style Justified Before:  3 pt After:  3 pt"/>
    <w:basedOn w:val="Normal"/>
    <w:rsid w:val="006B4BD3"/>
    <w:pPr>
      <w:spacing w:before="180" w:after="180"/>
      <w:jc w:val="both"/>
    </w:pPr>
    <w:rPr>
      <w:szCs w:val="20"/>
    </w:rPr>
  </w:style>
  <w:style w:type="paragraph" w:styleId="TOC1">
    <w:name w:val="toc 1"/>
    <w:basedOn w:val="Normal"/>
    <w:next w:val="Normal"/>
    <w:autoRedefine/>
    <w:uiPriority w:val="39"/>
    <w:rsid w:val="008851E2"/>
    <w:pPr>
      <w:tabs>
        <w:tab w:val="right" w:leader="dot" w:pos="9350"/>
      </w:tabs>
    </w:pPr>
  </w:style>
  <w:style w:type="paragraph" w:styleId="TOC2">
    <w:name w:val="toc 2"/>
    <w:basedOn w:val="Normal"/>
    <w:next w:val="Normal"/>
    <w:autoRedefine/>
    <w:uiPriority w:val="39"/>
    <w:rsid w:val="000452E1"/>
    <w:pPr>
      <w:ind w:left="240"/>
    </w:pPr>
  </w:style>
  <w:style w:type="paragraph" w:styleId="TOC3">
    <w:name w:val="toc 3"/>
    <w:basedOn w:val="Normal"/>
    <w:next w:val="Normal"/>
    <w:autoRedefine/>
    <w:uiPriority w:val="39"/>
    <w:rsid w:val="002F0BF5"/>
    <w:pPr>
      <w:tabs>
        <w:tab w:val="right" w:leader="dot" w:pos="9350"/>
      </w:tabs>
      <w:ind w:left="480"/>
    </w:pPr>
  </w:style>
  <w:style w:type="character" w:customStyle="1" w:styleId="Heading3Char">
    <w:name w:val="Heading 3 Char"/>
    <w:basedOn w:val="DefaultParagraphFont"/>
    <w:link w:val="Heading3"/>
    <w:rsid w:val="002471A0"/>
    <w:rPr>
      <w:rFonts w:ascii="Arial" w:hAnsi="Arial" w:cs="Arial"/>
      <w:b/>
      <w:bCs/>
      <w:sz w:val="26"/>
      <w:szCs w:val="26"/>
      <w:lang w:val="en-US" w:eastAsia="en-US" w:bidi="ar-SA"/>
    </w:rPr>
  </w:style>
  <w:style w:type="paragraph" w:styleId="Footer">
    <w:name w:val="footer"/>
    <w:basedOn w:val="Normal"/>
    <w:link w:val="FooterChar"/>
    <w:uiPriority w:val="99"/>
    <w:rsid w:val="00481424"/>
    <w:pPr>
      <w:tabs>
        <w:tab w:val="center" w:pos="4320"/>
        <w:tab w:val="right" w:pos="8640"/>
      </w:tabs>
    </w:pPr>
  </w:style>
  <w:style w:type="numbering" w:customStyle="1" w:styleId="Appendix">
    <w:name w:val="Appendix"/>
    <w:basedOn w:val="NoList"/>
    <w:rsid w:val="00CB713D"/>
    <w:pPr>
      <w:numPr>
        <w:numId w:val="3"/>
      </w:numPr>
    </w:pPr>
  </w:style>
  <w:style w:type="character" w:styleId="PageNumber">
    <w:name w:val="page number"/>
    <w:basedOn w:val="DefaultParagraphFont"/>
    <w:rsid w:val="004423BC"/>
  </w:style>
  <w:style w:type="paragraph" w:styleId="Header">
    <w:name w:val="header"/>
    <w:basedOn w:val="Normal"/>
    <w:link w:val="HeaderChar"/>
    <w:uiPriority w:val="99"/>
    <w:rsid w:val="00481424"/>
    <w:pPr>
      <w:tabs>
        <w:tab w:val="center" w:pos="4320"/>
        <w:tab w:val="right" w:pos="8640"/>
      </w:tabs>
    </w:pPr>
  </w:style>
  <w:style w:type="paragraph" w:styleId="BodyText2">
    <w:name w:val="Body Text 2"/>
    <w:basedOn w:val="Normal"/>
    <w:semiHidden/>
    <w:rsid w:val="0087764A"/>
    <w:pPr>
      <w:widowControl w:val="0"/>
      <w:tabs>
        <w:tab w:val="left" w:pos="-1440"/>
        <w:tab w:val="left" w:pos="-720"/>
        <w:tab w:val="left" w:pos="0"/>
        <w:tab w:val="left" w:pos="294"/>
      </w:tabs>
      <w:spacing w:line="360" w:lineRule="auto"/>
      <w:jc w:val="both"/>
    </w:pPr>
    <w:rPr>
      <w:snapToGrid w:val="0"/>
      <w:szCs w:val="20"/>
    </w:rPr>
  </w:style>
  <w:style w:type="character" w:styleId="Hyperlink">
    <w:name w:val="Hyperlink"/>
    <w:basedOn w:val="DefaultParagraphFont"/>
    <w:uiPriority w:val="99"/>
    <w:rsid w:val="0087764A"/>
    <w:rPr>
      <w:color w:val="0000FF"/>
      <w:u w:val="single"/>
    </w:rPr>
  </w:style>
  <w:style w:type="paragraph" w:customStyle="1" w:styleId="NormalJustified">
    <w:name w:val="Normal + Justified"/>
    <w:aliases w:val="Left:  1.25&quot;"/>
    <w:basedOn w:val="Normal"/>
    <w:link w:val="NormalJustifiedChar"/>
    <w:rsid w:val="00D62974"/>
    <w:pPr>
      <w:ind w:left="1800"/>
      <w:jc w:val="both"/>
    </w:pPr>
  </w:style>
  <w:style w:type="character" w:customStyle="1" w:styleId="NormalJustifiedChar">
    <w:name w:val="Normal + Justified Char"/>
    <w:aliases w:val="Left:  1.25&quot; Char"/>
    <w:basedOn w:val="DefaultParagraphFont"/>
    <w:link w:val="NormalJustified"/>
    <w:rsid w:val="00D62974"/>
    <w:rPr>
      <w:sz w:val="24"/>
      <w:szCs w:val="24"/>
      <w:lang w:val="en-US" w:eastAsia="en-US" w:bidi="ar-SA"/>
    </w:rPr>
  </w:style>
  <w:style w:type="paragraph" w:styleId="TOC4">
    <w:name w:val="toc 4"/>
    <w:basedOn w:val="Normal"/>
    <w:next w:val="Normal"/>
    <w:autoRedefine/>
    <w:semiHidden/>
    <w:rsid w:val="002B7C64"/>
    <w:pPr>
      <w:ind w:left="720"/>
    </w:pPr>
  </w:style>
  <w:style w:type="character" w:styleId="CommentReference">
    <w:name w:val="annotation reference"/>
    <w:basedOn w:val="DefaultParagraphFont"/>
    <w:semiHidden/>
    <w:rsid w:val="009C48CB"/>
    <w:rPr>
      <w:sz w:val="16"/>
      <w:szCs w:val="16"/>
    </w:rPr>
  </w:style>
  <w:style w:type="paragraph" w:styleId="CommentText">
    <w:name w:val="annotation text"/>
    <w:basedOn w:val="Normal"/>
    <w:semiHidden/>
    <w:rsid w:val="009C48CB"/>
    <w:rPr>
      <w:sz w:val="20"/>
      <w:szCs w:val="20"/>
    </w:rPr>
  </w:style>
  <w:style w:type="paragraph" w:styleId="CommentSubject">
    <w:name w:val="annotation subject"/>
    <w:basedOn w:val="CommentText"/>
    <w:next w:val="CommentText"/>
    <w:semiHidden/>
    <w:rsid w:val="009C48CB"/>
    <w:rPr>
      <w:b/>
      <w:bCs/>
    </w:rPr>
  </w:style>
  <w:style w:type="table" w:styleId="TableGrid8">
    <w:name w:val="Table Grid 8"/>
    <w:basedOn w:val="TableNormal"/>
    <w:rsid w:val="003638D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3638D4"/>
    <w:rPr>
      <w:b/>
      <w:bCs/>
    </w:rPr>
  </w:style>
  <w:style w:type="paragraph" w:styleId="BodyText">
    <w:name w:val="Body Text"/>
    <w:basedOn w:val="Normal"/>
    <w:rsid w:val="0022196F"/>
    <w:pPr>
      <w:spacing w:after="120"/>
    </w:pPr>
  </w:style>
  <w:style w:type="character" w:customStyle="1" w:styleId="HeaderChar">
    <w:name w:val="Header Char"/>
    <w:basedOn w:val="DefaultParagraphFont"/>
    <w:link w:val="Header"/>
    <w:uiPriority w:val="99"/>
    <w:rsid w:val="00E82F16"/>
    <w:rPr>
      <w:sz w:val="24"/>
      <w:szCs w:val="24"/>
    </w:rPr>
  </w:style>
  <w:style w:type="character" w:customStyle="1" w:styleId="FooterChar">
    <w:name w:val="Footer Char"/>
    <w:basedOn w:val="DefaultParagraphFont"/>
    <w:link w:val="Footer"/>
    <w:uiPriority w:val="99"/>
    <w:rsid w:val="00E82F16"/>
    <w:rPr>
      <w:sz w:val="24"/>
      <w:szCs w:val="24"/>
    </w:rPr>
  </w:style>
  <w:style w:type="paragraph" w:customStyle="1" w:styleId="TableBullet">
    <w:name w:val="Table Bullet"/>
    <w:basedOn w:val="Normal"/>
    <w:rsid w:val="00B26BE9"/>
    <w:pPr>
      <w:numPr>
        <w:numId w:val="18"/>
      </w:numPr>
    </w:pPr>
  </w:style>
  <w:style w:type="paragraph" w:styleId="Caption">
    <w:name w:val="caption"/>
    <w:basedOn w:val="Normal"/>
    <w:next w:val="Normal"/>
    <w:qFormat/>
    <w:rsid w:val="00B26BE9"/>
    <w:rPr>
      <w:b/>
      <w:bCs/>
      <w:sz w:val="20"/>
      <w:szCs w:val="20"/>
    </w:rPr>
  </w:style>
  <w:style w:type="paragraph" w:styleId="ListParagraph">
    <w:name w:val="List Paragraph"/>
    <w:basedOn w:val="Normal"/>
    <w:uiPriority w:val="34"/>
    <w:qFormat/>
    <w:rsid w:val="00CC27B9"/>
    <w:pPr>
      <w:ind w:left="720"/>
      <w:contextualSpacing/>
    </w:pPr>
  </w:style>
  <w:style w:type="paragraph" w:styleId="DocumentMap">
    <w:name w:val="Document Map"/>
    <w:basedOn w:val="Normal"/>
    <w:link w:val="DocumentMapChar"/>
    <w:rsid w:val="004C1079"/>
    <w:rPr>
      <w:rFonts w:ascii="Tahoma" w:hAnsi="Tahoma" w:cs="Tahoma"/>
      <w:sz w:val="16"/>
      <w:szCs w:val="16"/>
    </w:rPr>
  </w:style>
  <w:style w:type="character" w:customStyle="1" w:styleId="DocumentMapChar">
    <w:name w:val="Document Map Char"/>
    <w:basedOn w:val="DefaultParagraphFont"/>
    <w:link w:val="DocumentMap"/>
    <w:rsid w:val="004C10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0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7283A-95B2-4AB5-B5F8-E5D443F9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Introduction</vt:lpstr>
    </vt:vector>
  </TitlesOfParts>
  <Company>LG&amp;E Energy Corp</Company>
  <LinksUpToDate>false</LinksUpToDate>
  <CharactersWithSpaces>5539</CharactersWithSpaces>
  <SharedDoc>false</SharedDoc>
  <HLinks>
    <vt:vector size="264" baseType="variant">
      <vt:variant>
        <vt:i4>1572923</vt:i4>
      </vt:variant>
      <vt:variant>
        <vt:i4>260</vt:i4>
      </vt:variant>
      <vt:variant>
        <vt:i4>0</vt:i4>
      </vt:variant>
      <vt:variant>
        <vt:i4>5</vt:i4>
      </vt:variant>
      <vt:variant>
        <vt:lpwstr/>
      </vt:variant>
      <vt:variant>
        <vt:lpwstr>_Toc237772991</vt:lpwstr>
      </vt:variant>
      <vt:variant>
        <vt:i4>1572923</vt:i4>
      </vt:variant>
      <vt:variant>
        <vt:i4>254</vt:i4>
      </vt:variant>
      <vt:variant>
        <vt:i4>0</vt:i4>
      </vt:variant>
      <vt:variant>
        <vt:i4>5</vt:i4>
      </vt:variant>
      <vt:variant>
        <vt:lpwstr/>
      </vt:variant>
      <vt:variant>
        <vt:lpwstr>_Toc237772990</vt:lpwstr>
      </vt:variant>
      <vt:variant>
        <vt:i4>1638459</vt:i4>
      </vt:variant>
      <vt:variant>
        <vt:i4>248</vt:i4>
      </vt:variant>
      <vt:variant>
        <vt:i4>0</vt:i4>
      </vt:variant>
      <vt:variant>
        <vt:i4>5</vt:i4>
      </vt:variant>
      <vt:variant>
        <vt:lpwstr/>
      </vt:variant>
      <vt:variant>
        <vt:lpwstr>_Toc237772989</vt:lpwstr>
      </vt:variant>
      <vt:variant>
        <vt:i4>1638459</vt:i4>
      </vt:variant>
      <vt:variant>
        <vt:i4>242</vt:i4>
      </vt:variant>
      <vt:variant>
        <vt:i4>0</vt:i4>
      </vt:variant>
      <vt:variant>
        <vt:i4>5</vt:i4>
      </vt:variant>
      <vt:variant>
        <vt:lpwstr/>
      </vt:variant>
      <vt:variant>
        <vt:lpwstr>_Toc237772988</vt:lpwstr>
      </vt:variant>
      <vt:variant>
        <vt:i4>1638459</vt:i4>
      </vt:variant>
      <vt:variant>
        <vt:i4>236</vt:i4>
      </vt:variant>
      <vt:variant>
        <vt:i4>0</vt:i4>
      </vt:variant>
      <vt:variant>
        <vt:i4>5</vt:i4>
      </vt:variant>
      <vt:variant>
        <vt:lpwstr/>
      </vt:variant>
      <vt:variant>
        <vt:lpwstr>_Toc237772987</vt:lpwstr>
      </vt:variant>
      <vt:variant>
        <vt:i4>1638459</vt:i4>
      </vt:variant>
      <vt:variant>
        <vt:i4>230</vt:i4>
      </vt:variant>
      <vt:variant>
        <vt:i4>0</vt:i4>
      </vt:variant>
      <vt:variant>
        <vt:i4>5</vt:i4>
      </vt:variant>
      <vt:variant>
        <vt:lpwstr/>
      </vt:variant>
      <vt:variant>
        <vt:lpwstr>_Toc237772986</vt:lpwstr>
      </vt:variant>
      <vt:variant>
        <vt:i4>1638459</vt:i4>
      </vt:variant>
      <vt:variant>
        <vt:i4>224</vt:i4>
      </vt:variant>
      <vt:variant>
        <vt:i4>0</vt:i4>
      </vt:variant>
      <vt:variant>
        <vt:i4>5</vt:i4>
      </vt:variant>
      <vt:variant>
        <vt:lpwstr/>
      </vt:variant>
      <vt:variant>
        <vt:lpwstr>_Toc237772985</vt:lpwstr>
      </vt:variant>
      <vt:variant>
        <vt:i4>1638459</vt:i4>
      </vt:variant>
      <vt:variant>
        <vt:i4>218</vt:i4>
      </vt:variant>
      <vt:variant>
        <vt:i4>0</vt:i4>
      </vt:variant>
      <vt:variant>
        <vt:i4>5</vt:i4>
      </vt:variant>
      <vt:variant>
        <vt:lpwstr/>
      </vt:variant>
      <vt:variant>
        <vt:lpwstr>_Toc237772984</vt:lpwstr>
      </vt:variant>
      <vt:variant>
        <vt:i4>1638459</vt:i4>
      </vt:variant>
      <vt:variant>
        <vt:i4>212</vt:i4>
      </vt:variant>
      <vt:variant>
        <vt:i4>0</vt:i4>
      </vt:variant>
      <vt:variant>
        <vt:i4>5</vt:i4>
      </vt:variant>
      <vt:variant>
        <vt:lpwstr/>
      </vt:variant>
      <vt:variant>
        <vt:lpwstr>_Toc237772983</vt:lpwstr>
      </vt:variant>
      <vt:variant>
        <vt:i4>1638459</vt:i4>
      </vt:variant>
      <vt:variant>
        <vt:i4>206</vt:i4>
      </vt:variant>
      <vt:variant>
        <vt:i4>0</vt:i4>
      </vt:variant>
      <vt:variant>
        <vt:i4>5</vt:i4>
      </vt:variant>
      <vt:variant>
        <vt:lpwstr/>
      </vt:variant>
      <vt:variant>
        <vt:lpwstr>_Toc237772982</vt:lpwstr>
      </vt:variant>
      <vt:variant>
        <vt:i4>1638459</vt:i4>
      </vt:variant>
      <vt:variant>
        <vt:i4>200</vt:i4>
      </vt:variant>
      <vt:variant>
        <vt:i4>0</vt:i4>
      </vt:variant>
      <vt:variant>
        <vt:i4>5</vt:i4>
      </vt:variant>
      <vt:variant>
        <vt:lpwstr/>
      </vt:variant>
      <vt:variant>
        <vt:lpwstr>_Toc237772981</vt:lpwstr>
      </vt:variant>
      <vt:variant>
        <vt:i4>1638459</vt:i4>
      </vt:variant>
      <vt:variant>
        <vt:i4>194</vt:i4>
      </vt:variant>
      <vt:variant>
        <vt:i4>0</vt:i4>
      </vt:variant>
      <vt:variant>
        <vt:i4>5</vt:i4>
      </vt:variant>
      <vt:variant>
        <vt:lpwstr/>
      </vt:variant>
      <vt:variant>
        <vt:lpwstr>_Toc237772980</vt:lpwstr>
      </vt:variant>
      <vt:variant>
        <vt:i4>1441851</vt:i4>
      </vt:variant>
      <vt:variant>
        <vt:i4>188</vt:i4>
      </vt:variant>
      <vt:variant>
        <vt:i4>0</vt:i4>
      </vt:variant>
      <vt:variant>
        <vt:i4>5</vt:i4>
      </vt:variant>
      <vt:variant>
        <vt:lpwstr/>
      </vt:variant>
      <vt:variant>
        <vt:lpwstr>_Toc237772979</vt:lpwstr>
      </vt:variant>
      <vt:variant>
        <vt:i4>1441851</vt:i4>
      </vt:variant>
      <vt:variant>
        <vt:i4>182</vt:i4>
      </vt:variant>
      <vt:variant>
        <vt:i4>0</vt:i4>
      </vt:variant>
      <vt:variant>
        <vt:i4>5</vt:i4>
      </vt:variant>
      <vt:variant>
        <vt:lpwstr/>
      </vt:variant>
      <vt:variant>
        <vt:lpwstr>_Toc237772978</vt:lpwstr>
      </vt:variant>
      <vt:variant>
        <vt:i4>1441851</vt:i4>
      </vt:variant>
      <vt:variant>
        <vt:i4>176</vt:i4>
      </vt:variant>
      <vt:variant>
        <vt:i4>0</vt:i4>
      </vt:variant>
      <vt:variant>
        <vt:i4>5</vt:i4>
      </vt:variant>
      <vt:variant>
        <vt:lpwstr/>
      </vt:variant>
      <vt:variant>
        <vt:lpwstr>_Toc237772977</vt:lpwstr>
      </vt:variant>
      <vt:variant>
        <vt:i4>1441851</vt:i4>
      </vt:variant>
      <vt:variant>
        <vt:i4>170</vt:i4>
      </vt:variant>
      <vt:variant>
        <vt:i4>0</vt:i4>
      </vt:variant>
      <vt:variant>
        <vt:i4>5</vt:i4>
      </vt:variant>
      <vt:variant>
        <vt:lpwstr/>
      </vt:variant>
      <vt:variant>
        <vt:lpwstr>_Toc237772976</vt:lpwstr>
      </vt:variant>
      <vt:variant>
        <vt:i4>1441851</vt:i4>
      </vt:variant>
      <vt:variant>
        <vt:i4>164</vt:i4>
      </vt:variant>
      <vt:variant>
        <vt:i4>0</vt:i4>
      </vt:variant>
      <vt:variant>
        <vt:i4>5</vt:i4>
      </vt:variant>
      <vt:variant>
        <vt:lpwstr/>
      </vt:variant>
      <vt:variant>
        <vt:lpwstr>_Toc237772975</vt:lpwstr>
      </vt:variant>
      <vt:variant>
        <vt:i4>1441851</vt:i4>
      </vt:variant>
      <vt:variant>
        <vt:i4>158</vt:i4>
      </vt:variant>
      <vt:variant>
        <vt:i4>0</vt:i4>
      </vt:variant>
      <vt:variant>
        <vt:i4>5</vt:i4>
      </vt:variant>
      <vt:variant>
        <vt:lpwstr/>
      </vt:variant>
      <vt:variant>
        <vt:lpwstr>_Toc237772974</vt:lpwstr>
      </vt:variant>
      <vt:variant>
        <vt:i4>1441851</vt:i4>
      </vt:variant>
      <vt:variant>
        <vt:i4>152</vt:i4>
      </vt:variant>
      <vt:variant>
        <vt:i4>0</vt:i4>
      </vt:variant>
      <vt:variant>
        <vt:i4>5</vt:i4>
      </vt:variant>
      <vt:variant>
        <vt:lpwstr/>
      </vt:variant>
      <vt:variant>
        <vt:lpwstr>_Toc237772973</vt:lpwstr>
      </vt:variant>
      <vt:variant>
        <vt:i4>1441851</vt:i4>
      </vt:variant>
      <vt:variant>
        <vt:i4>146</vt:i4>
      </vt:variant>
      <vt:variant>
        <vt:i4>0</vt:i4>
      </vt:variant>
      <vt:variant>
        <vt:i4>5</vt:i4>
      </vt:variant>
      <vt:variant>
        <vt:lpwstr/>
      </vt:variant>
      <vt:variant>
        <vt:lpwstr>_Toc237772972</vt:lpwstr>
      </vt:variant>
      <vt:variant>
        <vt:i4>1441851</vt:i4>
      </vt:variant>
      <vt:variant>
        <vt:i4>140</vt:i4>
      </vt:variant>
      <vt:variant>
        <vt:i4>0</vt:i4>
      </vt:variant>
      <vt:variant>
        <vt:i4>5</vt:i4>
      </vt:variant>
      <vt:variant>
        <vt:lpwstr/>
      </vt:variant>
      <vt:variant>
        <vt:lpwstr>_Toc237772971</vt:lpwstr>
      </vt:variant>
      <vt:variant>
        <vt:i4>1441851</vt:i4>
      </vt:variant>
      <vt:variant>
        <vt:i4>134</vt:i4>
      </vt:variant>
      <vt:variant>
        <vt:i4>0</vt:i4>
      </vt:variant>
      <vt:variant>
        <vt:i4>5</vt:i4>
      </vt:variant>
      <vt:variant>
        <vt:lpwstr/>
      </vt:variant>
      <vt:variant>
        <vt:lpwstr>_Toc237772970</vt:lpwstr>
      </vt:variant>
      <vt:variant>
        <vt:i4>1507387</vt:i4>
      </vt:variant>
      <vt:variant>
        <vt:i4>128</vt:i4>
      </vt:variant>
      <vt:variant>
        <vt:i4>0</vt:i4>
      </vt:variant>
      <vt:variant>
        <vt:i4>5</vt:i4>
      </vt:variant>
      <vt:variant>
        <vt:lpwstr/>
      </vt:variant>
      <vt:variant>
        <vt:lpwstr>_Toc237772969</vt:lpwstr>
      </vt:variant>
      <vt:variant>
        <vt:i4>1507387</vt:i4>
      </vt:variant>
      <vt:variant>
        <vt:i4>122</vt:i4>
      </vt:variant>
      <vt:variant>
        <vt:i4>0</vt:i4>
      </vt:variant>
      <vt:variant>
        <vt:i4>5</vt:i4>
      </vt:variant>
      <vt:variant>
        <vt:lpwstr/>
      </vt:variant>
      <vt:variant>
        <vt:lpwstr>_Toc237772968</vt:lpwstr>
      </vt:variant>
      <vt:variant>
        <vt:i4>1507387</vt:i4>
      </vt:variant>
      <vt:variant>
        <vt:i4>116</vt:i4>
      </vt:variant>
      <vt:variant>
        <vt:i4>0</vt:i4>
      </vt:variant>
      <vt:variant>
        <vt:i4>5</vt:i4>
      </vt:variant>
      <vt:variant>
        <vt:lpwstr/>
      </vt:variant>
      <vt:variant>
        <vt:lpwstr>_Toc237772967</vt:lpwstr>
      </vt:variant>
      <vt:variant>
        <vt:i4>1507387</vt:i4>
      </vt:variant>
      <vt:variant>
        <vt:i4>110</vt:i4>
      </vt:variant>
      <vt:variant>
        <vt:i4>0</vt:i4>
      </vt:variant>
      <vt:variant>
        <vt:i4>5</vt:i4>
      </vt:variant>
      <vt:variant>
        <vt:lpwstr/>
      </vt:variant>
      <vt:variant>
        <vt:lpwstr>_Toc237772966</vt:lpwstr>
      </vt:variant>
      <vt:variant>
        <vt:i4>1507387</vt:i4>
      </vt:variant>
      <vt:variant>
        <vt:i4>104</vt:i4>
      </vt:variant>
      <vt:variant>
        <vt:i4>0</vt:i4>
      </vt:variant>
      <vt:variant>
        <vt:i4>5</vt:i4>
      </vt:variant>
      <vt:variant>
        <vt:lpwstr/>
      </vt:variant>
      <vt:variant>
        <vt:lpwstr>_Toc237772965</vt:lpwstr>
      </vt:variant>
      <vt:variant>
        <vt:i4>1507387</vt:i4>
      </vt:variant>
      <vt:variant>
        <vt:i4>98</vt:i4>
      </vt:variant>
      <vt:variant>
        <vt:i4>0</vt:i4>
      </vt:variant>
      <vt:variant>
        <vt:i4>5</vt:i4>
      </vt:variant>
      <vt:variant>
        <vt:lpwstr/>
      </vt:variant>
      <vt:variant>
        <vt:lpwstr>_Toc237772964</vt:lpwstr>
      </vt:variant>
      <vt:variant>
        <vt:i4>1507387</vt:i4>
      </vt:variant>
      <vt:variant>
        <vt:i4>92</vt:i4>
      </vt:variant>
      <vt:variant>
        <vt:i4>0</vt:i4>
      </vt:variant>
      <vt:variant>
        <vt:i4>5</vt:i4>
      </vt:variant>
      <vt:variant>
        <vt:lpwstr/>
      </vt:variant>
      <vt:variant>
        <vt:lpwstr>_Toc237772963</vt:lpwstr>
      </vt:variant>
      <vt:variant>
        <vt:i4>1507387</vt:i4>
      </vt:variant>
      <vt:variant>
        <vt:i4>86</vt:i4>
      </vt:variant>
      <vt:variant>
        <vt:i4>0</vt:i4>
      </vt:variant>
      <vt:variant>
        <vt:i4>5</vt:i4>
      </vt:variant>
      <vt:variant>
        <vt:lpwstr/>
      </vt:variant>
      <vt:variant>
        <vt:lpwstr>_Toc237772962</vt:lpwstr>
      </vt:variant>
      <vt:variant>
        <vt:i4>1507387</vt:i4>
      </vt:variant>
      <vt:variant>
        <vt:i4>80</vt:i4>
      </vt:variant>
      <vt:variant>
        <vt:i4>0</vt:i4>
      </vt:variant>
      <vt:variant>
        <vt:i4>5</vt:i4>
      </vt:variant>
      <vt:variant>
        <vt:lpwstr/>
      </vt:variant>
      <vt:variant>
        <vt:lpwstr>_Toc237772961</vt:lpwstr>
      </vt:variant>
      <vt:variant>
        <vt:i4>1507387</vt:i4>
      </vt:variant>
      <vt:variant>
        <vt:i4>74</vt:i4>
      </vt:variant>
      <vt:variant>
        <vt:i4>0</vt:i4>
      </vt:variant>
      <vt:variant>
        <vt:i4>5</vt:i4>
      </vt:variant>
      <vt:variant>
        <vt:lpwstr/>
      </vt:variant>
      <vt:variant>
        <vt:lpwstr>_Toc237772960</vt:lpwstr>
      </vt:variant>
      <vt:variant>
        <vt:i4>1310779</vt:i4>
      </vt:variant>
      <vt:variant>
        <vt:i4>68</vt:i4>
      </vt:variant>
      <vt:variant>
        <vt:i4>0</vt:i4>
      </vt:variant>
      <vt:variant>
        <vt:i4>5</vt:i4>
      </vt:variant>
      <vt:variant>
        <vt:lpwstr/>
      </vt:variant>
      <vt:variant>
        <vt:lpwstr>_Toc237772959</vt:lpwstr>
      </vt:variant>
      <vt:variant>
        <vt:i4>1310779</vt:i4>
      </vt:variant>
      <vt:variant>
        <vt:i4>62</vt:i4>
      </vt:variant>
      <vt:variant>
        <vt:i4>0</vt:i4>
      </vt:variant>
      <vt:variant>
        <vt:i4>5</vt:i4>
      </vt:variant>
      <vt:variant>
        <vt:lpwstr/>
      </vt:variant>
      <vt:variant>
        <vt:lpwstr>_Toc237772958</vt:lpwstr>
      </vt:variant>
      <vt:variant>
        <vt:i4>1310779</vt:i4>
      </vt:variant>
      <vt:variant>
        <vt:i4>56</vt:i4>
      </vt:variant>
      <vt:variant>
        <vt:i4>0</vt:i4>
      </vt:variant>
      <vt:variant>
        <vt:i4>5</vt:i4>
      </vt:variant>
      <vt:variant>
        <vt:lpwstr/>
      </vt:variant>
      <vt:variant>
        <vt:lpwstr>_Toc237772957</vt:lpwstr>
      </vt:variant>
      <vt:variant>
        <vt:i4>1310779</vt:i4>
      </vt:variant>
      <vt:variant>
        <vt:i4>50</vt:i4>
      </vt:variant>
      <vt:variant>
        <vt:i4>0</vt:i4>
      </vt:variant>
      <vt:variant>
        <vt:i4>5</vt:i4>
      </vt:variant>
      <vt:variant>
        <vt:lpwstr/>
      </vt:variant>
      <vt:variant>
        <vt:lpwstr>_Toc237772956</vt:lpwstr>
      </vt:variant>
      <vt:variant>
        <vt:i4>1310779</vt:i4>
      </vt:variant>
      <vt:variant>
        <vt:i4>44</vt:i4>
      </vt:variant>
      <vt:variant>
        <vt:i4>0</vt:i4>
      </vt:variant>
      <vt:variant>
        <vt:i4>5</vt:i4>
      </vt:variant>
      <vt:variant>
        <vt:lpwstr/>
      </vt:variant>
      <vt:variant>
        <vt:lpwstr>_Toc237772955</vt:lpwstr>
      </vt:variant>
      <vt:variant>
        <vt:i4>1310779</vt:i4>
      </vt:variant>
      <vt:variant>
        <vt:i4>38</vt:i4>
      </vt:variant>
      <vt:variant>
        <vt:i4>0</vt:i4>
      </vt:variant>
      <vt:variant>
        <vt:i4>5</vt:i4>
      </vt:variant>
      <vt:variant>
        <vt:lpwstr/>
      </vt:variant>
      <vt:variant>
        <vt:lpwstr>_Toc237772954</vt:lpwstr>
      </vt:variant>
      <vt:variant>
        <vt:i4>1310779</vt:i4>
      </vt:variant>
      <vt:variant>
        <vt:i4>32</vt:i4>
      </vt:variant>
      <vt:variant>
        <vt:i4>0</vt:i4>
      </vt:variant>
      <vt:variant>
        <vt:i4>5</vt:i4>
      </vt:variant>
      <vt:variant>
        <vt:lpwstr/>
      </vt:variant>
      <vt:variant>
        <vt:lpwstr>_Toc237772953</vt:lpwstr>
      </vt:variant>
      <vt:variant>
        <vt:i4>1310779</vt:i4>
      </vt:variant>
      <vt:variant>
        <vt:i4>26</vt:i4>
      </vt:variant>
      <vt:variant>
        <vt:i4>0</vt:i4>
      </vt:variant>
      <vt:variant>
        <vt:i4>5</vt:i4>
      </vt:variant>
      <vt:variant>
        <vt:lpwstr/>
      </vt:variant>
      <vt:variant>
        <vt:lpwstr>_Toc237772951</vt:lpwstr>
      </vt:variant>
      <vt:variant>
        <vt:i4>1310779</vt:i4>
      </vt:variant>
      <vt:variant>
        <vt:i4>20</vt:i4>
      </vt:variant>
      <vt:variant>
        <vt:i4>0</vt:i4>
      </vt:variant>
      <vt:variant>
        <vt:i4>5</vt:i4>
      </vt:variant>
      <vt:variant>
        <vt:lpwstr/>
      </vt:variant>
      <vt:variant>
        <vt:lpwstr>_Toc237772950</vt:lpwstr>
      </vt:variant>
      <vt:variant>
        <vt:i4>1376315</vt:i4>
      </vt:variant>
      <vt:variant>
        <vt:i4>14</vt:i4>
      </vt:variant>
      <vt:variant>
        <vt:i4>0</vt:i4>
      </vt:variant>
      <vt:variant>
        <vt:i4>5</vt:i4>
      </vt:variant>
      <vt:variant>
        <vt:lpwstr/>
      </vt:variant>
      <vt:variant>
        <vt:lpwstr>_Toc237772949</vt:lpwstr>
      </vt:variant>
      <vt:variant>
        <vt:i4>1376315</vt:i4>
      </vt:variant>
      <vt:variant>
        <vt:i4>8</vt:i4>
      </vt:variant>
      <vt:variant>
        <vt:i4>0</vt:i4>
      </vt:variant>
      <vt:variant>
        <vt:i4>5</vt:i4>
      </vt:variant>
      <vt:variant>
        <vt:lpwstr/>
      </vt:variant>
      <vt:variant>
        <vt:lpwstr>_Toc237772948</vt:lpwstr>
      </vt:variant>
      <vt:variant>
        <vt:i4>1376315</vt:i4>
      </vt:variant>
      <vt:variant>
        <vt:i4>2</vt:i4>
      </vt:variant>
      <vt:variant>
        <vt:i4>0</vt:i4>
      </vt:variant>
      <vt:variant>
        <vt:i4>5</vt:i4>
      </vt:variant>
      <vt:variant>
        <vt:lpwstr/>
      </vt:variant>
      <vt:variant>
        <vt:lpwstr>_Toc237772947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Stuart Alan Wilson</dc:creator>
  <cp:lastModifiedBy>EON US</cp:lastModifiedBy>
  <cp:revision>14</cp:revision>
  <cp:lastPrinted>2010-09-09T12:30:00Z</cp:lastPrinted>
  <dcterms:created xsi:type="dcterms:W3CDTF">2010-09-07T12:14:00Z</dcterms:created>
  <dcterms:modified xsi:type="dcterms:W3CDTF">2010-09-09T13:00:00Z</dcterms:modified>
</cp:coreProperties>
</file>