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964" w:rsidRDefault="00A42964" w:rsidP="00A42964">
      <w:pPr>
        <w:jc w:val="center"/>
      </w:pPr>
    </w:p>
    <w:tbl>
      <w:tblPr>
        <w:tblStyle w:val="TableGrid"/>
        <w:tblW w:w="14220" w:type="dxa"/>
        <w:tblInd w:w="-522" w:type="dxa"/>
        <w:tblLayout w:type="fixed"/>
        <w:tblLook w:val="04A0" w:firstRow="1" w:lastRow="0" w:firstColumn="1" w:lastColumn="0" w:noHBand="0" w:noVBand="1"/>
      </w:tblPr>
      <w:tblGrid>
        <w:gridCol w:w="1350"/>
        <w:gridCol w:w="900"/>
        <w:gridCol w:w="1440"/>
        <w:gridCol w:w="1170"/>
        <w:gridCol w:w="2700"/>
        <w:gridCol w:w="6660"/>
      </w:tblGrid>
      <w:tr w:rsidR="00DF52F8" w:rsidRPr="004A7475" w:rsidTr="00674E11">
        <w:trPr>
          <w:tblHeader/>
        </w:trPr>
        <w:tc>
          <w:tcPr>
            <w:tcW w:w="1350" w:type="dxa"/>
            <w:shd w:val="clear" w:color="auto" w:fill="DEEAF6" w:themeFill="accent1" w:themeFillTint="33"/>
          </w:tcPr>
          <w:p w:rsidR="00DF52F8" w:rsidRPr="004A7475" w:rsidRDefault="00DF52F8" w:rsidP="00A42964">
            <w:pPr>
              <w:jc w:val="center"/>
              <w:rPr>
                <w:b/>
                <w:sz w:val="20"/>
                <w:szCs w:val="20"/>
              </w:rPr>
            </w:pPr>
            <w:r w:rsidRPr="004A7475">
              <w:rPr>
                <w:b/>
                <w:sz w:val="20"/>
                <w:szCs w:val="20"/>
              </w:rPr>
              <w:t>Requesting Party</w:t>
            </w:r>
          </w:p>
        </w:tc>
        <w:tc>
          <w:tcPr>
            <w:tcW w:w="900" w:type="dxa"/>
            <w:shd w:val="clear" w:color="auto" w:fill="DEEAF6" w:themeFill="accent1" w:themeFillTint="33"/>
          </w:tcPr>
          <w:p w:rsidR="00DF52F8" w:rsidRPr="004A7475" w:rsidRDefault="00DF52F8" w:rsidP="00A42964">
            <w:pPr>
              <w:jc w:val="center"/>
              <w:rPr>
                <w:b/>
                <w:sz w:val="20"/>
                <w:szCs w:val="20"/>
              </w:rPr>
            </w:pPr>
            <w:r w:rsidRPr="004A7475">
              <w:rPr>
                <w:b/>
                <w:sz w:val="20"/>
                <w:szCs w:val="20"/>
              </w:rPr>
              <w:t>Data Request No. From Party</w:t>
            </w:r>
          </w:p>
        </w:tc>
        <w:tc>
          <w:tcPr>
            <w:tcW w:w="1440" w:type="dxa"/>
            <w:shd w:val="clear" w:color="auto" w:fill="DEEAF6" w:themeFill="accent1" w:themeFillTint="33"/>
          </w:tcPr>
          <w:p w:rsidR="00DF52F8" w:rsidRPr="004A7475" w:rsidRDefault="00DF52F8" w:rsidP="00A42964">
            <w:pPr>
              <w:jc w:val="center"/>
              <w:rPr>
                <w:b/>
                <w:sz w:val="20"/>
                <w:szCs w:val="20"/>
              </w:rPr>
            </w:pPr>
            <w:r w:rsidRPr="004A7475">
              <w:rPr>
                <w:b/>
                <w:sz w:val="20"/>
                <w:szCs w:val="20"/>
              </w:rPr>
              <w:t>Reference</w:t>
            </w:r>
          </w:p>
        </w:tc>
        <w:tc>
          <w:tcPr>
            <w:tcW w:w="1170" w:type="dxa"/>
            <w:shd w:val="clear" w:color="auto" w:fill="DEEAF6" w:themeFill="accent1" w:themeFillTint="33"/>
          </w:tcPr>
          <w:p w:rsidR="00DF52F8" w:rsidRDefault="00DF52F8" w:rsidP="00F0025B">
            <w:pPr>
              <w:jc w:val="center"/>
              <w:rPr>
                <w:b/>
                <w:sz w:val="20"/>
                <w:szCs w:val="20"/>
              </w:rPr>
            </w:pPr>
            <w:r w:rsidRPr="004A7475">
              <w:rPr>
                <w:b/>
                <w:sz w:val="20"/>
                <w:szCs w:val="20"/>
              </w:rPr>
              <w:t xml:space="preserve">Date </w:t>
            </w:r>
            <w:r w:rsidR="00F0025B">
              <w:rPr>
                <w:b/>
                <w:sz w:val="20"/>
                <w:szCs w:val="20"/>
              </w:rPr>
              <w:t>Received/ Response</w:t>
            </w:r>
          </w:p>
          <w:p w:rsidR="00F0025B" w:rsidRPr="004A7475" w:rsidRDefault="00F0025B" w:rsidP="00F0025B">
            <w:pPr>
              <w:jc w:val="center"/>
              <w:rPr>
                <w:b/>
                <w:sz w:val="20"/>
                <w:szCs w:val="20"/>
              </w:rPr>
            </w:pPr>
            <w:r>
              <w:rPr>
                <w:b/>
                <w:sz w:val="20"/>
                <w:szCs w:val="20"/>
              </w:rPr>
              <w:t>Posted</w:t>
            </w:r>
          </w:p>
        </w:tc>
        <w:tc>
          <w:tcPr>
            <w:tcW w:w="2700" w:type="dxa"/>
            <w:shd w:val="clear" w:color="auto" w:fill="DEEAF6" w:themeFill="accent1" w:themeFillTint="33"/>
          </w:tcPr>
          <w:p w:rsidR="00DF52F8" w:rsidRPr="004A7475" w:rsidRDefault="00DF52F8" w:rsidP="00A42964">
            <w:pPr>
              <w:jc w:val="center"/>
              <w:rPr>
                <w:b/>
                <w:sz w:val="20"/>
                <w:szCs w:val="20"/>
              </w:rPr>
            </w:pPr>
            <w:r w:rsidRPr="004A7475">
              <w:rPr>
                <w:b/>
                <w:sz w:val="20"/>
                <w:szCs w:val="20"/>
              </w:rPr>
              <w:t>Question</w:t>
            </w:r>
          </w:p>
        </w:tc>
        <w:tc>
          <w:tcPr>
            <w:tcW w:w="6660" w:type="dxa"/>
            <w:shd w:val="clear" w:color="auto" w:fill="DEEAF6" w:themeFill="accent1" w:themeFillTint="33"/>
          </w:tcPr>
          <w:p w:rsidR="00DF52F8" w:rsidRPr="004A7475" w:rsidRDefault="00DF52F8" w:rsidP="00A42964">
            <w:pPr>
              <w:jc w:val="center"/>
              <w:rPr>
                <w:b/>
                <w:sz w:val="20"/>
                <w:szCs w:val="20"/>
              </w:rPr>
            </w:pPr>
            <w:r w:rsidRPr="004A7475">
              <w:rPr>
                <w:b/>
                <w:sz w:val="20"/>
                <w:szCs w:val="20"/>
              </w:rPr>
              <w:t>Response</w:t>
            </w:r>
          </w:p>
        </w:tc>
      </w:tr>
      <w:tr w:rsidR="00DF52F8" w:rsidTr="00674E11">
        <w:tc>
          <w:tcPr>
            <w:tcW w:w="1350" w:type="dxa"/>
          </w:tcPr>
          <w:p w:rsidR="00DF52F8" w:rsidRDefault="00DF52F8" w:rsidP="00D23C21">
            <w:pPr>
              <w:jc w:val="center"/>
            </w:pPr>
            <w:r>
              <w:t>Burbank</w:t>
            </w:r>
            <w:r>
              <w:rPr>
                <w:spacing w:val="-3"/>
              </w:rPr>
              <w:t xml:space="preserve"> </w:t>
            </w:r>
            <w:r>
              <w:t>and</w:t>
            </w:r>
            <w:r>
              <w:rPr>
                <w:spacing w:val="-3"/>
              </w:rPr>
              <w:t xml:space="preserve"> </w:t>
            </w:r>
            <w:r>
              <w:t>Glendale</w:t>
            </w:r>
          </w:p>
        </w:tc>
        <w:tc>
          <w:tcPr>
            <w:tcW w:w="900" w:type="dxa"/>
          </w:tcPr>
          <w:p w:rsidR="00DF52F8" w:rsidRDefault="00DF52F8" w:rsidP="00D23C21">
            <w:pPr>
              <w:jc w:val="center"/>
            </w:pPr>
            <w:r>
              <w:t>1</w:t>
            </w:r>
          </w:p>
        </w:tc>
        <w:tc>
          <w:tcPr>
            <w:tcW w:w="1440" w:type="dxa"/>
          </w:tcPr>
          <w:p w:rsidR="00DF52F8" w:rsidRDefault="00DF52F8" w:rsidP="00D23C21">
            <w:pPr>
              <w:jc w:val="center"/>
            </w:pPr>
            <w:r>
              <w:t>Exhibit: DWP 104</w:t>
            </w:r>
          </w:p>
          <w:p w:rsidR="00DF52F8" w:rsidRDefault="00DF52F8" w:rsidP="00D23C21">
            <w:pPr>
              <w:jc w:val="center"/>
            </w:pPr>
            <w:r>
              <w:t xml:space="preserve"> </w:t>
            </w:r>
          </w:p>
          <w:p w:rsidR="00DF52F8" w:rsidRDefault="00DF52F8" w:rsidP="00D23C21">
            <w:pPr>
              <w:jc w:val="center"/>
            </w:pPr>
            <w:r>
              <w:t>Tab: Control Sheet</w:t>
            </w:r>
          </w:p>
        </w:tc>
        <w:tc>
          <w:tcPr>
            <w:tcW w:w="1170" w:type="dxa"/>
          </w:tcPr>
          <w:p w:rsidR="00DF52F8" w:rsidRDefault="00F0025B" w:rsidP="00D23C21">
            <w:r>
              <w:t>2.1.</w:t>
            </w:r>
            <w:r w:rsidR="00DF52F8">
              <w:t>2017</w:t>
            </w:r>
            <w:r>
              <w:t>/</w:t>
            </w:r>
          </w:p>
          <w:p w:rsidR="00F0025B" w:rsidRDefault="00F0025B" w:rsidP="00D23C21">
            <w:r>
              <w:t>2.2.2017</w:t>
            </w:r>
          </w:p>
          <w:p w:rsidR="00F0025B" w:rsidRDefault="00F0025B" w:rsidP="00D23C21"/>
        </w:tc>
        <w:tc>
          <w:tcPr>
            <w:tcW w:w="2700" w:type="dxa"/>
          </w:tcPr>
          <w:p w:rsidR="00DF52F8" w:rsidRPr="00406489" w:rsidRDefault="00DF52F8" w:rsidP="00D23C21">
            <w:pPr>
              <w:pStyle w:val="BodyText"/>
              <w:spacing w:before="2"/>
              <w:ind w:left="120" w:right="252" w:firstLine="0"/>
              <w:rPr>
                <w:rFonts w:asciiTheme="minorHAnsi" w:hAnsiTheme="minorHAnsi"/>
                <w:sz w:val="22"/>
                <w:szCs w:val="22"/>
              </w:rPr>
            </w:pPr>
            <w:r w:rsidRPr="00406489">
              <w:rPr>
                <w:rFonts w:asciiTheme="minorHAnsi" w:hAnsiTheme="minorHAnsi"/>
                <w:sz w:val="22"/>
                <w:szCs w:val="22"/>
              </w:rPr>
              <w:t>Cells:</w:t>
            </w:r>
            <w:r w:rsidRPr="00406489">
              <w:rPr>
                <w:rFonts w:asciiTheme="minorHAnsi" w:hAnsiTheme="minorHAnsi"/>
                <w:spacing w:val="51"/>
                <w:sz w:val="22"/>
                <w:szCs w:val="22"/>
              </w:rPr>
              <w:t xml:space="preserve"> </w:t>
            </w:r>
            <w:r w:rsidRPr="00406489">
              <w:rPr>
                <w:rFonts w:asciiTheme="minorHAnsi" w:hAnsiTheme="minorHAnsi"/>
                <w:sz w:val="22"/>
                <w:szCs w:val="22"/>
              </w:rPr>
              <w:t>H25-H27</w:t>
            </w:r>
            <w:r w:rsidRPr="00406489">
              <w:rPr>
                <w:rFonts w:asciiTheme="minorHAnsi" w:hAnsiTheme="minorHAnsi"/>
                <w:spacing w:val="-4"/>
                <w:sz w:val="22"/>
                <w:szCs w:val="22"/>
              </w:rPr>
              <w:t xml:space="preserve"> </w:t>
            </w:r>
            <w:r w:rsidRPr="00406489">
              <w:rPr>
                <w:rFonts w:asciiTheme="minorHAnsi" w:hAnsiTheme="minorHAnsi"/>
                <w:sz w:val="22"/>
                <w:szCs w:val="22"/>
              </w:rPr>
              <w:t>-</w:t>
            </w:r>
            <w:r w:rsidRPr="00406489">
              <w:rPr>
                <w:rFonts w:asciiTheme="minorHAnsi" w:hAnsiTheme="minorHAnsi"/>
                <w:spacing w:val="-5"/>
                <w:sz w:val="22"/>
                <w:szCs w:val="22"/>
              </w:rPr>
              <w:t xml:space="preserve"> </w:t>
            </w:r>
            <w:r w:rsidRPr="00406489">
              <w:rPr>
                <w:rFonts w:asciiTheme="minorHAnsi" w:hAnsiTheme="minorHAnsi"/>
                <w:sz w:val="22"/>
                <w:szCs w:val="22"/>
              </w:rPr>
              <w:t>Please</w:t>
            </w:r>
            <w:r w:rsidRPr="00406489">
              <w:rPr>
                <w:rFonts w:asciiTheme="minorHAnsi" w:hAnsiTheme="minorHAnsi"/>
                <w:spacing w:val="-4"/>
                <w:sz w:val="22"/>
                <w:szCs w:val="22"/>
              </w:rPr>
              <w:t xml:space="preserve"> </w:t>
            </w:r>
            <w:r w:rsidRPr="00406489">
              <w:rPr>
                <w:rFonts w:asciiTheme="minorHAnsi" w:hAnsiTheme="minorHAnsi"/>
                <w:sz w:val="22"/>
                <w:szCs w:val="22"/>
              </w:rPr>
              <w:t>provide</w:t>
            </w:r>
            <w:r w:rsidRPr="00406489">
              <w:rPr>
                <w:rFonts w:asciiTheme="minorHAnsi" w:hAnsiTheme="minorHAnsi"/>
                <w:spacing w:val="-4"/>
                <w:sz w:val="22"/>
                <w:szCs w:val="22"/>
              </w:rPr>
              <w:t xml:space="preserve"> </w:t>
            </w:r>
            <w:r w:rsidRPr="00406489">
              <w:rPr>
                <w:rFonts w:asciiTheme="minorHAnsi" w:hAnsiTheme="minorHAnsi"/>
                <w:sz w:val="22"/>
                <w:szCs w:val="22"/>
              </w:rPr>
              <w:t>the</w:t>
            </w:r>
            <w:r w:rsidRPr="00406489">
              <w:rPr>
                <w:rFonts w:asciiTheme="minorHAnsi" w:hAnsiTheme="minorHAnsi"/>
                <w:spacing w:val="-5"/>
                <w:sz w:val="22"/>
                <w:szCs w:val="22"/>
              </w:rPr>
              <w:t xml:space="preserve"> </w:t>
            </w:r>
            <w:r w:rsidRPr="00406489">
              <w:rPr>
                <w:rFonts w:asciiTheme="minorHAnsi" w:hAnsiTheme="minorHAnsi"/>
                <w:sz w:val="22"/>
                <w:szCs w:val="22"/>
              </w:rPr>
              <w:t>studies</w:t>
            </w:r>
            <w:r w:rsidRPr="00406489">
              <w:rPr>
                <w:rFonts w:asciiTheme="minorHAnsi" w:hAnsiTheme="minorHAnsi"/>
                <w:spacing w:val="-4"/>
                <w:sz w:val="22"/>
                <w:szCs w:val="22"/>
              </w:rPr>
              <w:t xml:space="preserve"> </w:t>
            </w:r>
            <w:r w:rsidRPr="00406489">
              <w:rPr>
                <w:rFonts w:asciiTheme="minorHAnsi" w:hAnsiTheme="minorHAnsi"/>
                <w:sz w:val="22"/>
                <w:szCs w:val="22"/>
              </w:rPr>
              <w:t>and</w:t>
            </w:r>
            <w:r w:rsidRPr="00406489">
              <w:rPr>
                <w:rFonts w:asciiTheme="minorHAnsi" w:hAnsiTheme="minorHAnsi"/>
                <w:spacing w:val="-4"/>
                <w:sz w:val="22"/>
                <w:szCs w:val="22"/>
              </w:rPr>
              <w:t xml:space="preserve"> </w:t>
            </w:r>
            <w:r w:rsidRPr="00406489">
              <w:rPr>
                <w:rFonts w:asciiTheme="minorHAnsi" w:hAnsiTheme="minorHAnsi"/>
                <w:sz w:val="22"/>
                <w:szCs w:val="22"/>
              </w:rPr>
              <w:t>documentation</w:t>
            </w:r>
            <w:r w:rsidRPr="00406489">
              <w:rPr>
                <w:rFonts w:asciiTheme="minorHAnsi" w:hAnsiTheme="minorHAnsi"/>
                <w:spacing w:val="-5"/>
                <w:sz w:val="22"/>
                <w:szCs w:val="22"/>
              </w:rPr>
              <w:t xml:space="preserve"> </w:t>
            </w:r>
            <w:r w:rsidRPr="00406489">
              <w:rPr>
                <w:rFonts w:asciiTheme="minorHAnsi" w:hAnsiTheme="minorHAnsi"/>
                <w:sz w:val="22"/>
                <w:szCs w:val="22"/>
              </w:rPr>
              <w:t>that</w:t>
            </w:r>
            <w:r w:rsidRPr="00406489">
              <w:rPr>
                <w:rFonts w:asciiTheme="minorHAnsi" w:hAnsiTheme="minorHAnsi"/>
                <w:spacing w:val="-4"/>
                <w:sz w:val="22"/>
                <w:szCs w:val="22"/>
              </w:rPr>
              <w:t xml:space="preserve"> </w:t>
            </w:r>
            <w:r w:rsidRPr="00406489">
              <w:rPr>
                <w:rFonts w:asciiTheme="minorHAnsi" w:hAnsiTheme="minorHAnsi"/>
                <w:sz w:val="22"/>
                <w:szCs w:val="22"/>
              </w:rPr>
              <w:t>yielded</w:t>
            </w:r>
            <w:r w:rsidRPr="00406489">
              <w:rPr>
                <w:rFonts w:asciiTheme="minorHAnsi" w:hAnsiTheme="minorHAnsi"/>
                <w:spacing w:val="-4"/>
                <w:sz w:val="22"/>
                <w:szCs w:val="22"/>
              </w:rPr>
              <w:t xml:space="preserve"> </w:t>
            </w:r>
            <w:r w:rsidRPr="00406489">
              <w:rPr>
                <w:rFonts w:asciiTheme="minorHAnsi" w:hAnsiTheme="minorHAnsi"/>
                <w:sz w:val="22"/>
                <w:szCs w:val="22"/>
              </w:rPr>
              <w:t>the</w:t>
            </w:r>
            <w:r w:rsidRPr="00406489">
              <w:rPr>
                <w:rFonts w:asciiTheme="minorHAnsi" w:hAnsiTheme="minorHAnsi"/>
                <w:spacing w:val="-5"/>
                <w:sz w:val="22"/>
                <w:szCs w:val="22"/>
              </w:rPr>
              <w:t xml:space="preserve"> </w:t>
            </w:r>
            <w:r w:rsidRPr="00406489">
              <w:rPr>
                <w:rFonts w:asciiTheme="minorHAnsi" w:hAnsiTheme="minorHAnsi"/>
                <w:sz w:val="22"/>
                <w:szCs w:val="22"/>
              </w:rPr>
              <w:t>Receiving Station</w:t>
            </w:r>
            <w:r w:rsidRPr="00406489">
              <w:rPr>
                <w:rFonts w:asciiTheme="minorHAnsi" w:hAnsiTheme="minorHAnsi"/>
                <w:spacing w:val="-8"/>
                <w:sz w:val="22"/>
                <w:szCs w:val="22"/>
              </w:rPr>
              <w:t xml:space="preserve"> </w:t>
            </w:r>
            <w:r w:rsidRPr="00406489">
              <w:rPr>
                <w:rFonts w:asciiTheme="minorHAnsi" w:hAnsiTheme="minorHAnsi"/>
                <w:sz w:val="22"/>
                <w:szCs w:val="22"/>
              </w:rPr>
              <w:t>Study</w:t>
            </w:r>
            <w:r w:rsidRPr="00406489">
              <w:rPr>
                <w:rFonts w:asciiTheme="minorHAnsi" w:hAnsiTheme="minorHAnsi"/>
                <w:spacing w:val="-7"/>
                <w:sz w:val="22"/>
                <w:szCs w:val="22"/>
              </w:rPr>
              <w:t xml:space="preserve"> </w:t>
            </w:r>
            <w:r w:rsidRPr="00406489">
              <w:rPr>
                <w:rFonts w:asciiTheme="minorHAnsi" w:hAnsiTheme="minorHAnsi"/>
                <w:sz w:val="22"/>
                <w:szCs w:val="22"/>
              </w:rPr>
              <w:t>Reclassifications.</w:t>
            </w:r>
          </w:p>
        </w:tc>
        <w:tc>
          <w:tcPr>
            <w:tcW w:w="6660" w:type="dxa"/>
          </w:tcPr>
          <w:p w:rsidR="00DF52F8" w:rsidRPr="008B7E0E" w:rsidRDefault="00DF52F8" w:rsidP="008B7E0E">
            <w:r w:rsidRPr="008B7E0E">
              <w:t>[The studies relied on by Jen</w:t>
            </w:r>
            <w:r w:rsidR="00473698">
              <w:t>nifer Tripp are attached as IR1a (RS</w:t>
            </w:r>
            <w:r w:rsidRPr="008B7E0E">
              <w:t xml:space="preserve"> Realloc</w:t>
            </w:r>
            <w:r w:rsidR="00473698">
              <w:t>ation Memo.pdf) and IR1b (</w:t>
            </w:r>
            <w:r w:rsidR="00446C23" w:rsidRPr="00446C23">
              <w:t>IR1b RS Study_Final_12202016</w:t>
            </w:r>
            <w:r w:rsidRPr="008B7E0E">
              <w:t>).</w:t>
            </w:r>
          </w:p>
          <w:p w:rsidR="00DF52F8" w:rsidRPr="008B7E0E" w:rsidRDefault="00DF52F8" w:rsidP="008B7E0E">
            <w:r w:rsidRPr="008B7E0E">
              <w:t>The Table of CBs and Transformers at Receiving Stations (RS) was compared against facilities in the LADWP provided FY14/15 power flow model to:</w:t>
            </w:r>
          </w:p>
          <w:p w:rsidR="00DF52F8" w:rsidRPr="008B7E0E" w:rsidRDefault="00DF52F8" w:rsidP="008B7E0E">
            <w:pPr>
              <w:numPr>
                <w:ilvl w:val="0"/>
                <w:numId w:val="36"/>
              </w:numPr>
            </w:pPr>
            <w:r w:rsidRPr="008B7E0E">
              <w:t>Compare the number of transformer at each RS reported in the RS Reallocation Memo to the FY14/15 power flow model</w:t>
            </w:r>
          </w:p>
          <w:p w:rsidR="00DF52F8" w:rsidRPr="008B7E0E" w:rsidRDefault="00DF52F8" w:rsidP="008B7E0E">
            <w:pPr>
              <w:numPr>
                <w:ilvl w:val="0"/>
                <w:numId w:val="36"/>
              </w:numPr>
            </w:pPr>
            <w:r w:rsidRPr="008B7E0E">
              <w:t>Compare the aggregate MVA for the transformers at each station reported in the RS Reallocation Memo to the FY14/15 power flow model</w:t>
            </w:r>
          </w:p>
          <w:p w:rsidR="00DF52F8" w:rsidRPr="008B7E0E" w:rsidRDefault="00DF52F8" w:rsidP="00446C23">
            <w:pPr>
              <w:numPr>
                <w:ilvl w:val="0"/>
                <w:numId w:val="36"/>
              </w:numPr>
            </w:pPr>
            <w:r w:rsidRPr="008B7E0E">
              <w:t xml:space="preserve">For any difference identified, </w:t>
            </w:r>
            <w:proofErr w:type="spellStart"/>
            <w:r w:rsidRPr="008B7E0E">
              <w:t>nFront</w:t>
            </w:r>
            <w:proofErr w:type="spellEnd"/>
            <w:r w:rsidRPr="008B7E0E">
              <w:t xml:space="preserve"> discussed the differences with LADWP and LADWP provided updated information in the </w:t>
            </w:r>
            <w:r w:rsidR="00446C23" w:rsidRPr="00446C23">
              <w:t>IR1b RS Study_Final_12202016</w:t>
            </w:r>
          </w:p>
          <w:p w:rsidR="00DF52F8" w:rsidRPr="008B7E0E" w:rsidRDefault="00DF52F8" w:rsidP="008B7E0E">
            <w:pPr>
              <w:numPr>
                <w:ilvl w:val="0"/>
                <w:numId w:val="36"/>
              </w:numPr>
            </w:pPr>
            <w:proofErr w:type="spellStart"/>
            <w:proofErr w:type="gramStart"/>
            <w:r w:rsidRPr="008B7E0E">
              <w:t>nFront</w:t>
            </w:r>
            <w:proofErr w:type="spellEnd"/>
            <w:proofErr w:type="gramEnd"/>
            <w:r w:rsidRPr="008B7E0E">
              <w:t xml:space="preserve"> also reviewed with LADWP the methodology used to allocate high voltage equipment associated with the RS transformers, e.g., breakers and switches to protect the transformer. LADWP confirmed it allocated those costs to distribution for all transformers classed as distribution in the LADWP Transmission Facility Determination Assessment </w:t>
            </w:r>
          </w:p>
          <w:p w:rsidR="00DF52F8" w:rsidRPr="008B7E0E" w:rsidRDefault="00DF52F8" w:rsidP="008B7E0E">
            <w:pPr>
              <w:numPr>
                <w:ilvl w:val="0"/>
                <w:numId w:val="36"/>
              </w:numPr>
            </w:pPr>
            <w:r w:rsidRPr="008B7E0E">
              <w:t xml:space="preserve">To understand the cost allocation, </w:t>
            </w:r>
            <w:proofErr w:type="spellStart"/>
            <w:r w:rsidRPr="008B7E0E">
              <w:t>nFront</w:t>
            </w:r>
            <w:proofErr w:type="spellEnd"/>
            <w:r w:rsidRPr="008B7E0E">
              <w:t xml:space="preserve"> reviewed the costs estimates for transformers and circuit breakers as shown IR1_a and IR1b and determined that the costs were reasonable.</w:t>
            </w:r>
          </w:p>
          <w:p w:rsidR="00DF52F8" w:rsidRPr="008B7E0E" w:rsidRDefault="00DF52F8" w:rsidP="008B7E0E">
            <w:proofErr w:type="spellStart"/>
            <w:proofErr w:type="gramStart"/>
            <w:r w:rsidRPr="008B7E0E">
              <w:t>nFront</w:t>
            </w:r>
            <w:proofErr w:type="spellEnd"/>
            <w:proofErr w:type="gramEnd"/>
            <w:r w:rsidRPr="008B7E0E">
              <w:t xml:space="preserve"> has no other studies or documentation except as provided in </w:t>
            </w:r>
            <w:r w:rsidRPr="008B7E0E">
              <w:lastRenderedPageBreak/>
              <w:t>Testimony DWP-500 and Exhibit DWP-503.</w:t>
            </w:r>
          </w:p>
          <w:p w:rsidR="00DF52F8" w:rsidRDefault="00DF52F8" w:rsidP="00D23C21"/>
        </w:tc>
      </w:tr>
      <w:tr w:rsidR="00DF52F8" w:rsidTr="00674E11">
        <w:tc>
          <w:tcPr>
            <w:tcW w:w="1350" w:type="dxa"/>
          </w:tcPr>
          <w:p w:rsidR="00DF52F8" w:rsidRDefault="00DF52F8" w:rsidP="004A7475">
            <w:pPr>
              <w:jc w:val="center"/>
            </w:pPr>
            <w:r>
              <w:lastRenderedPageBreak/>
              <w:t>Burbank</w:t>
            </w:r>
            <w:r>
              <w:rPr>
                <w:spacing w:val="-3"/>
              </w:rPr>
              <w:t xml:space="preserve"> </w:t>
            </w:r>
            <w:r>
              <w:t>and</w:t>
            </w:r>
            <w:r>
              <w:rPr>
                <w:spacing w:val="-3"/>
              </w:rPr>
              <w:t xml:space="preserve"> </w:t>
            </w:r>
            <w:r>
              <w:t>Glendale</w:t>
            </w:r>
          </w:p>
        </w:tc>
        <w:tc>
          <w:tcPr>
            <w:tcW w:w="900" w:type="dxa"/>
          </w:tcPr>
          <w:p w:rsidR="00DF52F8" w:rsidRDefault="00DF52F8" w:rsidP="004A7475">
            <w:pPr>
              <w:jc w:val="center"/>
            </w:pPr>
            <w:r>
              <w:t>2</w:t>
            </w:r>
          </w:p>
        </w:tc>
        <w:tc>
          <w:tcPr>
            <w:tcW w:w="1440" w:type="dxa"/>
          </w:tcPr>
          <w:p w:rsidR="00DF52F8" w:rsidRDefault="00DF52F8" w:rsidP="004A7475">
            <w:pPr>
              <w:jc w:val="center"/>
            </w:pPr>
            <w:r w:rsidRPr="00406489">
              <w:t>Exhibit: DWP-104</w:t>
            </w:r>
          </w:p>
          <w:p w:rsidR="00DF52F8" w:rsidRDefault="00DF52F8" w:rsidP="004A7475">
            <w:pPr>
              <w:jc w:val="center"/>
            </w:pPr>
            <w:r>
              <w:t xml:space="preserve"> </w:t>
            </w:r>
          </w:p>
          <w:p w:rsidR="00DF52F8" w:rsidRDefault="00DF52F8" w:rsidP="004A7475">
            <w:pPr>
              <w:jc w:val="center"/>
            </w:pPr>
            <w:r>
              <w:t>Tab: Gen AS Matrix</w:t>
            </w:r>
          </w:p>
        </w:tc>
        <w:tc>
          <w:tcPr>
            <w:tcW w:w="1170" w:type="dxa"/>
          </w:tcPr>
          <w:p w:rsidR="00DF52F8" w:rsidRDefault="00F0025B" w:rsidP="004A7475">
            <w:r>
              <w:t>2.</w:t>
            </w:r>
            <w:r w:rsidR="00DF52F8">
              <w:t>1</w:t>
            </w:r>
            <w:r>
              <w:t>.</w:t>
            </w:r>
            <w:r w:rsidR="00DF52F8" w:rsidRPr="005A2392">
              <w:t>2017</w:t>
            </w:r>
            <w:r w:rsidR="00F04CF1">
              <w:t>/</w:t>
            </w:r>
          </w:p>
          <w:p w:rsidR="00F04CF1" w:rsidRDefault="00F04CF1" w:rsidP="004A7475">
            <w:r>
              <w:t>2.9.2017</w:t>
            </w:r>
          </w:p>
        </w:tc>
        <w:tc>
          <w:tcPr>
            <w:tcW w:w="2700" w:type="dxa"/>
          </w:tcPr>
          <w:p w:rsidR="00DF52F8" w:rsidRPr="00406489" w:rsidRDefault="00DF52F8" w:rsidP="004A7475">
            <w:pPr>
              <w:pStyle w:val="BodyText"/>
              <w:spacing w:before="7" w:line="274" w:lineRule="exact"/>
              <w:ind w:left="120" w:right="252" w:firstLine="0"/>
              <w:rPr>
                <w:rFonts w:asciiTheme="minorHAnsi" w:hAnsiTheme="minorHAnsi"/>
                <w:sz w:val="22"/>
                <w:szCs w:val="22"/>
              </w:rPr>
            </w:pPr>
            <w:r w:rsidRPr="00406489">
              <w:rPr>
                <w:rFonts w:asciiTheme="minorHAnsi" w:hAnsiTheme="minorHAnsi"/>
                <w:sz w:val="22"/>
                <w:szCs w:val="22"/>
              </w:rPr>
              <w:t>Cells</w:t>
            </w:r>
            <w:r w:rsidRPr="00406489">
              <w:rPr>
                <w:rFonts w:asciiTheme="minorHAnsi" w:hAnsiTheme="minorHAnsi"/>
                <w:spacing w:val="-5"/>
                <w:sz w:val="22"/>
                <w:szCs w:val="22"/>
              </w:rPr>
              <w:t xml:space="preserve"> </w:t>
            </w:r>
            <w:r w:rsidRPr="00406489">
              <w:rPr>
                <w:rFonts w:asciiTheme="minorHAnsi" w:hAnsiTheme="minorHAnsi"/>
                <w:sz w:val="22"/>
                <w:szCs w:val="22"/>
              </w:rPr>
              <w:t>C15-AB22</w:t>
            </w:r>
            <w:r w:rsidRPr="00406489">
              <w:rPr>
                <w:rFonts w:asciiTheme="minorHAnsi" w:hAnsiTheme="minorHAnsi"/>
                <w:spacing w:val="-6"/>
                <w:sz w:val="22"/>
                <w:szCs w:val="22"/>
              </w:rPr>
              <w:t xml:space="preserve"> </w:t>
            </w:r>
            <w:r w:rsidRPr="00406489">
              <w:rPr>
                <w:rFonts w:asciiTheme="minorHAnsi" w:hAnsiTheme="minorHAnsi"/>
                <w:sz w:val="22"/>
                <w:szCs w:val="22"/>
              </w:rPr>
              <w:t>-</w:t>
            </w:r>
            <w:r w:rsidRPr="00406489">
              <w:rPr>
                <w:rFonts w:asciiTheme="minorHAnsi" w:hAnsiTheme="minorHAnsi"/>
                <w:spacing w:val="-5"/>
                <w:sz w:val="22"/>
                <w:szCs w:val="22"/>
              </w:rPr>
              <w:t xml:space="preserve"> </w:t>
            </w:r>
            <w:r w:rsidRPr="00406489">
              <w:rPr>
                <w:rFonts w:asciiTheme="minorHAnsi" w:hAnsiTheme="minorHAnsi"/>
                <w:sz w:val="22"/>
                <w:szCs w:val="22"/>
              </w:rPr>
              <w:t>Please</w:t>
            </w:r>
            <w:r w:rsidRPr="00406489">
              <w:rPr>
                <w:rFonts w:asciiTheme="minorHAnsi" w:hAnsiTheme="minorHAnsi"/>
                <w:spacing w:val="-5"/>
                <w:sz w:val="22"/>
                <w:szCs w:val="22"/>
              </w:rPr>
              <w:t xml:space="preserve"> </w:t>
            </w:r>
            <w:r w:rsidRPr="00406489">
              <w:rPr>
                <w:rFonts w:asciiTheme="minorHAnsi" w:hAnsiTheme="minorHAnsi"/>
                <w:sz w:val="22"/>
                <w:szCs w:val="22"/>
              </w:rPr>
              <w:t>provide</w:t>
            </w:r>
            <w:r w:rsidRPr="00406489">
              <w:rPr>
                <w:rFonts w:asciiTheme="minorHAnsi" w:hAnsiTheme="minorHAnsi"/>
                <w:spacing w:val="-5"/>
                <w:sz w:val="22"/>
                <w:szCs w:val="22"/>
              </w:rPr>
              <w:t xml:space="preserve"> </w:t>
            </w:r>
            <w:r w:rsidRPr="00406489">
              <w:rPr>
                <w:rFonts w:asciiTheme="minorHAnsi" w:hAnsiTheme="minorHAnsi"/>
                <w:sz w:val="22"/>
                <w:szCs w:val="22"/>
              </w:rPr>
              <w:t>the</w:t>
            </w:r>
            <w:r w:rsidRPr="00406489">
              <w:rPr>
                <w:rFonts w:asciiTheme="minorHAnsi" w:hAnsiTheme="minorHAnsi"/>
                <w:spacing w:val="-5"/>
                <w:sz w:val="22"/>
                <w:szCs w:val="22"/>
              </w:rPr>
              <w:t xml:space="preserve"> </w:t>
            </w:r>
            <w:r w:rsidRPr="00406489">
              <w:rPr>
                <w:rFonts w:asciiTheme="minorHAnsi" w:hAnsiTheme="minorHAnsi"/>
                <w:sz w:val="22"/>
                <w:szCs w:val="22"/>
              </w:rPr>
              <w:t>studies</w:t>
            </w:r>
            <w:r w:rsidRPr="00406489">
              <w:rPr>
                <w:rFonts w:asciiTheme="minorHAnsi" w:hAnsiTheme="minorHAnsi"/>
                <w:spacing w:val="-5"/>
                <w:sz w:val="22"/>
                <w:szCs w:val="22"/>
              </w:rPr>
              <w:t xml:space="preserve"> </w:t>
            </w:r>
            <w:r w:rsidRPr="00406489">
              <w:rPr>
                <w:rFonts w:asciiTheme="minorHAnsi" w:hAnsiTheme="minorHAnsi"/>
                <w:sz w:val="22"/>
                <w:szCs w:val="22"/>
              </w:rPr>
              <w:t>and</w:t>
            </w:r>
            <w:r w:rsidRPr="00406489">
              <w:rPr>
                <w:rFonts w:asciiTheme="minorHAnsi" w:hAnsiTheme="minorHAnsi"/>
                <w:spacing w:val="-5"/>
                <w:sz w:val="22"/>
                <w:szCs w:val="22"/>
              </w:rPr>
              <w:t xml:space="preserve"> </w:t>
            </w:r>
            <w:r w:rsidRPr="00406489">
              <w:rPr>
                <w:rFonts w:asciiTheme="minorHAnsi" w:hAnsiTheme="minorHAnsi"/>
                <w:sz w:val="22"/>
                <w:szCs w:val="22"/>
              </w:rPr>
              <w:t>documentation</w:t>
            </w:r>
            <w:r w:rsidRPr="00406489">
              <w:rPr>
                <w:rFonts w:asciiTheme="minorHAnsi" w:hAnsiTheme="minorHAnsi"/>
                <w:spacing w:val="-5"/>
                <w:sz w:val="22"/>
                <w:szCs w:val="22"/>
              </w:rPr>
              <w:t xml:space="preserve"> </w:t>
            </w:r>
            <w:r w:rsidRPr="00406489">
              <w:rPr>
                <w:rFonts w:asciiTheme="minorHAnsi" w:hAnsiTheme="minorHAnsi"/>
                <w:sz w:val="22"/>
                <w:szCs w:val="22"/>
              </w:rPr>
              <w:t>that</w:t>
            </w:r>
            <w:r w:rsidRPr="00406489">
              <w:rPr>
                <w:rFonts w:asciiTheme="minorHAnsi" w:hAnsiTheme="minorHAnsi"/>
                <w:spacing w:val="-5"/>
                <w:sz w:val="22"/>
                <w:szCs w:val="22"/>
              </w:rPr>
              <w:t xml:space="preserve"> </w:t>
            </w:r>
            <w:r w:rsidRPr="00406489">
              <w:rPr>
                <w:rFonts w:asciiTheme="minorHAnsi" w:hAnsiTheme="minorHAnsi"/>
                <w:sz w:val="22"/>
                <w:szCs w:val="22"/>
              </w:rPr>
              <w:t>yielded</w:t>
            </w:r>
            <w:r w:rsidRPr="00406489">
              <w:rPr>
                <w:rFonts w:asciiTheme="minorHAnsi" w:hAnsiTheme="minorHAnsi"/>
                <w:spacing w:val="-5"/>
                <w:sz w:val="22"/>
                <w:szCs w:val="22"/>
              </w:rPr>
              <w:t xml:space="preserve"> </w:t>
            </w:r>
            <w:r w:rsidRPr="00406489">
              <w:rPr>
                <w:rFonts w:asciiTheme="minorHAnsi" w:hAnsiTheme="minorHAnsi"/>
                <w:sz w:val="22"/>
                <w:szCs w:val="22"/>
              </w:rPr>
              <w:t>the</w:t>
            </w:r>
            <w:r w:rsidRPr="00406489">
              <w:rPr>
                <w:rFonts w:asciiTheme="minorHAnsi" w:hAnsiTheme="minorHAnsi"/>
                <w:spacing w:val="-5"/>
                <w:sz w:val="22"/>
                <w:szCs w:val="22"/>
              </w:rPr>
              <w:t xml:space="preserve"> </w:t>
            </w:r>
            <w:r w:rsidRPr="00406489">
              <w:rPr>
                <w:rFonts w:asciiTheme="minorHAnsi" w:hAnsiTheme="minorHAnsi"/>
                <w:sz w:val="22"/>
                <w:szCs w:val="22"/>
              </w:rPr>
              <w:t>information</w:t>
            </w:r>
            <w:r w:rsidRPr="00406489">
              <w:rPr>
                <w:rFonts w:asciiTheme="minorHAnsi" w:hAnsiTheme="minorHAnsi"/>
                <w:spacing w:val="-5"/>
                <w:sz w:val="22"/>
                <w:szCs w:val="22"/>
              </w:rPr>
              <w:t xml:space="preserve"> </w:t>
            </w:r>
            <w:r w:rsidRPr="00406489">
              <w:rPr>
                <w:rFonts w:asciiTheme="minorHAnsi" w:hAnsiTheme="minorHAnsi"/>
                <w:sz w:val="22"/>
                <w:szCs w:val="22"/>
              </w:rPr>
              <w:t>on which</w:t>
            </w:r>
            <w:r w:rsidRPr="00406489">
              <w:rPr>
                <w:rFonts w:asciiTheme="minorHAnsi" w:hAnsiTheme="minorHAnsi"/>
                <w:spacing w:val="-7"/>
                <w:sz w:val="22"/>
                <w:szCs w:val="22"/>
              </w:rPr>
              <w:t xml:space="preserve"> </w:t>
            </w:r>
            <w:r w:rsidRPr="00406489">
              <w:rPr>
                <w:rFonts w:asciiTheme="minorHAnsi" w:hAnsiTheme="minorHAnsi"/>
                <w:sz w:val="22"/>
                <w:szCs w:val="22"/>
              </w:rPr>
              <w:t>generating</w:t>
            </w:r>
            <w:r w:rsidRPr="00406489">
              <w:rPr>
                <w:rFonts w:asciiTheme="minorHAnsi" w:hAnsiTheme="minorHAnsi"/>
                <w:spacing w:val="-7"/>
                <w:sz w:val="22"/>
                <w:szCs w:val="22"/>
              </w:rPr>
              <w:t xml:space="preserve"> </w:t>
            </w:r>
            <w:r w:rsidRPr="00406489">
              <w:rPr>
                <w:rFonts w:asciiTheme="minorHAnsi" w:hAnsiTheme="minorHAnsi"/>
                <w:sz w:val="22"/>
                <w:szCs w:val="22"/>
              </w:rPr>
              <w:t>resources</w:t>
            </w:r>
            <w:r w:rsidRPr="00406489">
              <w:rPr>
                <w:rFonts w:asciiTheme="minorHAnsi" w:hAnsiTheme="minorHAnsi"/>
                <w:spacing w:val="-7"/>
                <w:sz w:val="22"/>
                <w:szCs w:val="22"/>
              </w:rPr>
              <w:t xml:space="preserve"> </w:t>
            </w:r>
            <w:r w:rsidRPr="00406489">
              <w:rPr>
                <w:rFonts w:asciiTheme="minorHAnsi" w:hAnsiTheme="minorHAnsi"/>
                <w:sz w:val="22"/>
                <w:szCs w:val="22"/>
              </w:rPr>
              <w:t>provide</w:t>
            </w:r>
            <w:r w:rsidRPr="00406489">
              <w:rPr>
                <w:rFonts w:asciiTheme="minorHAnsi" w:hAnsiTheme="minorHAnsi"/>
                <w:spacing w:val="-6"/>
                <w:sz w:val="22"/>
                <w:szCs w:val="22"/>
              </w:rPr>
              <w:t xml:space="preserve"> </w:t>
            </w:r>
            <w:r w:rsidRPr="00406489">
              <w:rPr>
                <w:rFonts w:asciiTheme="minorHAnsi" w:hAnsiTheme="minorHAnsi"/>
                <w:sz w:val="22"/>
                <w:szCs w:val="22"/>
              </w:rPr>
              <w:t>which</w:t>
            </w:r>
            <w:r w:rsidRPr="00406489">
              <w:rPr>
                <w:rFonts w:asciiTheme="minorHAnsi" w:hAnsiTheme="minorHAnsi"/>
                <w:spacing w:val="-7"/>
                <w:sz w:val="22"/>
                <w:szCs w:val="22"/>
              </w:rPr>
              <w:t xml:space="preserve"> </w:t>
            </w:r>
            <w:r w:rsidRPr="00406489">
              <w:rPr>
                <w:rFonts w:asciiTheme="minorHAnsi" w:hAnsiTheme="minorHAnsi"/>
                <w:sz w:val="22"/>
                <w:szCs w:val="22"/>
              </w:rPr>
              <w:t>ancillary</w:t>
            </w:r>
            <w:r w:rsidRPr="00406489">
              <w:rPr>
                <w:rFonts w:asciiTheme="minorHAnsi" w:hAnsiTheme="minorHAnsi"/>
                <w:spacing w:val="-7"/>
                <w:sz w:val="22"/>
                <w:szCs w:val="22"/>
              </w:rPr>
              <w:t xml:space="preserve"> </w:t>
            </w:r>
            <w:r w:rsidRPr="00406489">
              <w:rPr>
                <w:rFonts w:asciiTheme="minorHAnsi" w:hAnsiTheme="minorHAnsi"/>
                <w:sz w:val="22"/>
                <w:szCs w:val="22"/>
              </w:rPr>
              <w:t>services.</w:t>
            </w:r>
          </w:p>
          <w:p w:rsidR="00DF52F8" w:rsidRPr="00406489" w:rsidRDefault="00DF52F8" w:rsidP="004A7475"/>
        </w:tc>
        <w:tc>
          <w:tcPr>
            <w:tcW w:w="6660" w:type="dxa"/>
          </w:tcPr>
          <w:p w:rsidR="00DF52F8" w:rsidRDefault="00F04CF1" w:rsidP="004A7475">
            <w:r w:rsidRPr="00C530F3">
              <w:t xml:space="preserve">There are no studies or documentation that </w:t>
            </w:r>
            <w:proofErr w:type="gramStart"/>
            <w:r w:rsidRPr="00C530F3">
              <w:t>yield</w:t>
            </w:r>
            <w:proofErr w:type="gramEnd"/>
            <w:r w:rsidRPr="00C530F3">
              <w:t xml:space="preserve"> the information on which generating resources provide which ancillary services as shown in Tab: Gen AS Matrix. The information is based upon the input of LADWP Power System staff based upon their knowledge of which generating stations provide which ancillary service.</w:t>
            </w:r>
          </w:p>
        </w:tc>
      </w:tr>
      <w:tr w:rsidR="00DF52F8" w:rsidTr="00674E11">
        <w:tc>
          <w:tcPr>
            <w:tcW w:w="1350" w:type="dxa"/>
          </w:tcPr>
          <w:p w:rsidR="00DF52F8" w:rsidRDefault="00DF52F8">
            <w:r w:rsidRPr="00D547BB">
              <w:t>Burbank</w:t>
            </w:r>
            <w:r w:rsidRPr="00D547BB">
              <w:rPr>
                <w:spacing w:val="-3"/>
              </w:rPr>
              <w:t xml:space="preserve"> </w:t>
            </w:r>
            <w:r w:rsidRPr="00D547BB">
              <w:t>and</w:t>
            </w:r>
            <w:r w:rsidRPr="00D547BB">
              <w:rPr>
                <w:spacing w:val="-3"/>
              </w:rPr>
              <w:t xml:space="preserve"> </w:t>
            </w:r>
            <w:r w:rsidRPr="00D547BB">
              <w:t>Glendale</w:t>
            </w:r>
          </w:p>
        </w:tc>
        <w:tc>
          <w:tcPr>
            <w:tcW w:w="900" w:type="dxa"/>
          </w:tcPr>
          <w:p w:rsidR="00DF52F8" w:rsidRDefault="00DF52F8" w:rsidP="004A7475">
            <w:pPr>
              <w:jc w:val="center"/>
            </w:pPr>
            <w:r>
              <w:t>3</w:t>
            </w:r>
          </w:p>
        </w:tc>
        <w:tc>
          <w:tcPr>
            <w:tcW w:w="1440" w:type="dxa"/>
          </w:tcPr>
          <w:p w:rsidR="00DF52F8" w:rsidRDefault="00DF52F8" w:rsidP="004A7475">
            <w:pPr>
              <w:jc w:val="center"/>
            </w:pPr>
            <w:r>
              <w:t xml:space="preserve">Exhibit: DWP 104 </w:t>
            </w:r>
          </w:p>
          <w:p w:rsidR="00DF52F8" w:rsidRDefault="00DF52F8" w:rsidP="004A7475">
            <w:pPr>
              <w:jc w:val="center"/>
              <w:rPr>
                <w:rFonts w:ascii="Times New Roman"/>
                <w:sz w:val="24"/>
              </w:rPr>
            </w:pPr>
          </w:p>
          <w:p w:rsidR="00DF52F8" w:rsidRPr="00406489" w:rsidRDefault="00DF52F8" w:rsidP="004A7475">
            <w:pPr>
              <w:jc w:val="center"/>
            </w:pPr>
            <w:r w:rsidRPr="00406489">
              <w:t>Tab</w:t>
            </w:r>
            <w:r w:rsidRPr="00406489">
              <w:rPr>
                <w:spacing w:val="-2"/>
              </w:rPr>
              <w:t xml:space="preserve"> </w:t>
            </w:r>
            <w:r w:rsidRPr="00406489">
              <w:t>AD,</w:t>
            </w:r>
            <w:r w:rsidRPr="00406489">
              <w:rPr>
                <w:spacing w:val="-2"/>
              </w:rPr>
              <w:t xml:space="preserve"> </w:t>
            </w:r>
            <w:r w:rsidRPr="00406489">
              <w:t>section</w:t>
            </w:r>
            <w:r w:rsidRPr="00406489">
              <w:rPr>
                <w:spacing w:val="-2"/>
              </w:rPr>
              <w:t xml:space="preserve"> </w:t>
            </w:r>
            <w:r w:rsidRPr="00406489">
              <w:t>G.3.</w:t>
            </w:r>
          </w:p>
        </w:tc>
        <w:tc>
          <w:tcPr>
            <w:tcW w:w="1170" w:type="dxa"/>
          </w:tcPr>
          <w:p w:rsidR="00DF52F8" w:rsidRDefault="00F0025B" w:rsidP="004A7475">
            <w:r>
              <w:t>2.</w:t>
            </w:r>
            <w:r w:rsidR="00DF52F8">
              <w:t>1</w:t>
            </w:r>
            <w:r>
              <w:t>.</w:t>
            </w:r>
            <w:r w:rsidR="00DF52F8" w:rsidRPr="005A2392">
              <w:t>2017</w:t>
            </w:r>
            <w:r>
              <w:t>/</w:t>
            </w:r>
          </w:p>
          <w:p w:rsidR="00F0025B" w:rsidRDefault="00F0025B" w:rsidP="004A7475">
            <w:r>
              <w:t>2.2.2017</w:t>
            </w:r>
          </w:p>
        </w:tc>
        <w:tc>
          <w:tcPr>
            <w:tcW w:w="2700" w:type="dxa"/>
          </w:tcPr>
          <w:p w:rsidR="00DF52F8" w:rsidRPr="00406489" w:rsidRDefault="00DF52F8" w:rsidP="004A7475">
            <w:pPr>
              <w:pStyle w:val="BodyText"/>
              <w:spacing w:before="7" w:line="274" w:lineRule="exact"/>
              <w:ind w:left="120" w:right="252" w:firstLine="0"/>
              <w:rPr>
                <w:rFonts w:asciiTheme="minorHAnsi" w:hAnsiTheme="minorHAnsi"/>
                <w:sz w:val="22"/>
                <w:szCs w:val="22"/>
              </w:rPr>
            </w:pPr>
            <w:r w:rsidRPr="00406489">
              <w:rPr>
                <w:rFonts w:asciiTheme="minorHAnsi" w:hAnsiTheme="minorHAnsi"/>
                <w:sz w:val="22"/>
                <w:szCs w:val="22"/>
              </w:rPr>
              <w:t>Cell</w:t>
            </w:r>
            <w:r w:rsidRPr="00406489">
              <w:rPr>
                <w:rFonts w:asciiTheme="minorHAnsi" w:hAnsiTheme="minorHAnsi"/>
                <w:spacing w:val="-4"/>
                <w:sz w:val="22"/>
                <w:szCs w:val="22"/>
              </w:rPr>
              <w:t xml:space="preserve"> </w:t>
            </w:r>
            <w:r w:rsidRPr="00406489">
              <w:rPr>
                <w:rFonts w:asciiTheme="minorHAnsi" w:hAnsiTheme="minorHAnsi"/>
                <w:sz w:val="22"/>
                <w:szCs w:val="22"/>
              </w:rPr>
              <w:t>C360</w:t>
            </w:r>
            <w:r w:rsidRPr="00406489">
              <w:rPr>
                <w:rFonts w:asciiTheme="minorHAnsi" w:hAnsiTheme="minorHAnsi"/>
                <w:spacing w:val="-4"/>
                <w:sz w:val="22"/>
                <w:szCs w:val="22"/>
              </w:rPr>
              <w:t xml:space="preserve"> </w:t>
            </w:r>
            <w:r w:rsidRPr="00406489">
              <w:rPr>
                <w:rFonts w:asciiTheme="minorHAnsi" w:hAnsiTheme="minorHAnsi"/>
                <w:sz w:val="22"/>
                <w:szCs w:val="22"/>
              </w:rPr>
              <w:t>-</w:t>
            </w:r>
            <w:r w:rsidRPr="00406489">
              <w:rPr>
                <w:rFonts w:asciiTheme="minorHAnsi" w:hAnsiTheme="minorHAnsi"/>
                <w:spacing w:val="-3"/>
                <w:sz w:val="22"/>
                <w:szCs w:val="22"/>
              </w:rPr>
              <w:t xml:space="preserve"> </w:t>
            </w:r>
            <w:r w:rsidRPr="00406489">
              <w:rPr>
                <w:rFonts w:asciiTheme="minorHAnsi" w:hAnsiTheme="minorHAnsi"/>
                <w:sz w:val="22"/>
                <w:szCs w:val="22"/>
              </w:rPr>
              <w:t>Please</w:t>
            </w:r>
            <w:r w:rsidRPr="00406489">
              <w:rPr>
                <w:rFonts w:asciiTheme="minorHAnsi" w:hAnsiTheme="minorHAnsi"/>
                <w:spacing w:val="-4"/>
                <w:sz w:val="22"/>
                <w:szCs w:val="22"/>
              </w:rPr>
              <w:t xml:space="preserve"> </w:t>
            </w:r>
            <w:r w:rsidRPr="00406489">
              <w:rPr>
                <w:rFonts w:asciiTheme="minorHAnsi" w:hAnsiTheme="minorHAnsi"/>
                <w:sz w:val="22"/>
                <w:szCs w:val="22"/>
              </w:rPr>
              <w:t>provide</w:t>
            </w:r>
            <w:r w:rsidRPr="00406489">
              <w:rPr>
                <w:rFonts w:asciiTheme="minorHAnsi" w:hAnsiTheme="minorHAnsi"/>
                <w:spacing w:val="-3"/>
                <w:sz w:val="22"/>
                <w:szCs w:val="22"/>
              </w:rPr>
              <w:t xml:space="preserve"> </w:t>
            </w:r>
            <w:r w:rsidRPr="00406489">
              <w:rPr>
                <w:rFonts w:asciiTheme="minorHAnsi" w:hAnsiTheme="minorHAnsi"/>
                <w:sz w:val="22"/>
                <w:szCs w:val="22"/>
              </w:rPr>
              <w:t>a</w:t>
            </w:r>
            <w:r w:rsidRPr="00406489">
              <w:rPr>
                <w:rFonts w:asciiTheme="minorHAnsi" w:hAnsiTheme="minorHAnsi"/>
                <w:spacing w:val="-4"/>
                <w:sz w:val="22"/>
                <w:szCs w:val="22"/>
              </w:rPr>
              <w:t xml:space="preserve"> </w:t>
            </w:r>
            <w:r w:rsidRPr="00406489">
              <w:rPr>
                <w:rFonts w:asciiTheme="minorHAnsi" w:hAnsiTheme="minorHAnsi"/>
                <w:sz w:val="22"/>
                <w:szCs w:val="22"/>
              </w:rPr>
              <w:t>copy</w:t>
            </w:r>
            <w:r w:rsidRPr="00406489">
              <w:rPr>
                <w:rFonts w:asciiTheme="minorHAnsi" w:hAnsiTheme="minorHAnsi"/>
                <w:spacing w:val="-3"/>
                <w:sz w:val="22"/>
                <w:szCs w:val="22"/>
              </w:rPr>
              <w:t xml:space="preserve"> </w:t>
            </w:r>
            <w:r w:rsidRPr="00406489">
              <w:rPr>
                <w:rFonts w:asciiTheme="minorHAnsi" w:hAnsiTheme="minorHAnsi"/>
                <w:sz w:val="22"/>
                <w:szCs w:val="22"/>
              </w:rPr>
              <w:t>of</w:t>
            </w:r>
            <w:r w:rsidRPr="00406489">
              <w:rPr>
                <w:rFonts w:asciiTheme="minorHAnsi" w:hAnsiTheme="minorHAnsi"/>
                <w:spacing w:val="-4"/>
                <w:sz w:val="22"/>
                <w:szCs w:val="22"/>
              </w:rPr>
              <w:t xml:space="preserve"> </w:t>
            </w:r>
            <w:r w:rsidRPr="00406489">
              <w:rPr>
                <w:rFonts w:asciiTheme="minorHAnsi" w:hAnsiTheme="minorHAnsi"/>
                <w:sz w:val="22"/>
                <w:szCs w:val="22"/>
              </w:rPr>
              <w:t>LADWP’s</w:t>
            </w:r>
            <w:r w:rsidRPr="00406489">
              <w:rPr>
                <w:rFonts w:asciiTheme="minorHAnsi" w:hAnsiTheme="minorHAnsi"/>
                <w:spacing w:val="-4"/>
                <w:sz w:val="22"/>
                <w:szCs w:val="22"/>
              </w:rPr>
              <w:t xml:space="preserve"> </w:t>
            </w:r>
            <w:r w:rsidRPr="00406489">
              <w:rPr>
                <w:rFonts w:asciiTheme="minorHAnsi" w:hAnsiTheme="minorHAnsi"/>
                <w:sz w:val="22"/>
                <w:szCs w:val="22"/>
              </w:rPr>
              <w:t>Receiving</w:t>
            </w:r>
            <w:r w:rsidRPr="00406489">
              <w:rPr>
                <w:rFonts w:asciiTheme="minorHAnsi" w:hAnsiTheme="minorHAnsi"/>
                <w:spacing w:val="-3"/>
                <w:sz w:val="22"/>
                <w:szCs w:val="22"/>
              </w:rPr>
              <w:t xml:space="preserve"> </w:t>
            </w:r>
            <w:r w:rsidRPr="00406489">
              <w:rPr>
                <w:rFonts w:asciiTheme="minorHAnsi" w:hAnsiTheme="minorHAnsi"/>
                <w:sz w:val="22"/>
                <w:szCs w:val="22"/>
              </w:rPr>
              <w:t>Station</w:t>
            </w:r>
            <w:r w:rsidRPr="00406489">
              <w:rPr>
                <w:rFonts w:asciiTheme="minorHAnsi" w:hAnsiTheme="minorHAnsi"/>
                <w:spacing w:val="-4"/>
                <w:sz w:val="22"/>
                <w:szCs w:val="22"/>
              </w:rPr>
              <w:t xml:space="preserve"> </w:t>
            </w:r>
            <w:r w:rsidRPr="00406489">
              <w:rPr>
                <w:rFonts w:asciiTheme="minorHAnsi" w:hAnsiTheme="minorHAnsi"/>
                <w:sz w:val="22"/>
                <w:szCs w:val="22"/>
              </w:rPr>
              <w:t>study,</w:t>
            </w:r>
            <w:r w:rsidRPr="00406489">
              <w:rPr>
                <w:rFonts w:asciiTheme="minorHAnsi" w:hAnsiTheme="minorHAnsi"/>
                <w:spacing w:val="-3"/>
                <w:sz w:val="22"/>
                <w:szCs w:val="22"/>
              </w:rPr>
              <w:t xml:space="preserve"> </w:t>
            </w:r>
            <w:r w:rsidRPr="00406489">
              <w:rPr>
                <w:rFonts w:asciiTheme="minorHAnsi" w:hAnsiTheme="minorHAnsi"/>
                <w:sz w:val="22"/>
                <w:szCs w:val="22"/>
              </w:rPr>
              <w:t>including</w:t>
            </w:r>
            <w:r w:rsidRPr="00406489">
              <w:rPr>
                <w:rFonts w:asciiTheme="minorHAnsi" w:hAnsiTheme="minorHAnsi"/>
                <w:spacing w:val="-4"/>
                <w:sz w:val="22"/>
                <w:szCs w:val="22"/>
              </w:rPr>
              <w:t xml:space="preserve"> </w:t>
            </w:r>
            <w:r w:rsidRPr="00406489">
              <w:rPr>
                <w:rFonts w:asciiTheme="minorHAnsi" w:hAnsiTheme="minorHAnsi"/>
                <w:sz w:val="22"/>
                <w:szCs w:val="22"/>
              </w:rPr>
              <w:t>all</w:t>
            </w:r>
            <w:r w:rsidRPr="00406489">
              <w:rPr>
                <w:rFonts w:asciiTheme="minorHAnsi" w:hAnsiTheme="minorHAnsi"/>
                <w:w w:val="99"/>
                <w:sz w:val="22"/>
                <w:szCs w:val="22"/>
              </w:rPr>
              <w:t xml:space="preserve"> </w:t>
            </w:r>
            <w:r w:rsidRPr="00406489">
              <w:rPr>
                <w:rFonts w:asciiTheme="minorHAnsi" w:hAnsiTheme="minorHAnsi"/>
                <w:sz w:val="22"/>
                <w:szCs w:val="22"/>
              </w:rPr>
              <w:t>supporting</w:t>
            </w:r>
            <w:r w:rsidRPr="00406489">
              <w:rPr>
                <w:rFonts w:asciiTheme="minorHAnsi" w:hAnsiTheme="minorHAnsi"/>
                <w:spacing w:val="-19"/>
                <w:sz w:val="22"/>
                <w:szCs w:val="22"/>
              </w:rPr>
              <w:t xml:space="preserve"> </w:t>
            </w:r>
            <w:r w:rsidRPr="00406489">
              <w:rPr>
                <w:rFonts w:asciiTheme="minorHAnsi" w:hAnsiTheme="minorHAnsi"/>
                <w:sz w:val="22"/>
                <w:szCs w:val="22"/>
              </w:rPr>
              <w:t>documentation.</w:t>
            </w:r>
          </w:p>
          <w:p w:rsidR="00DF52F8" w:rsidRPr="00406489" w:rsidRDefault="00DF52F8" w:rsidP="004A7475">
            <w:pPr>
              <w:pStyle w:val="BodyText"/>
              <w:spacing w:before="7" w:line="274" w:lineRule="exact"/>
              <w:ind w:left="120" w:right="252" w:firstLine="0"/>
              <w:rPr>
                <w:rFonts w:asciiTheme="minorHAnsi" w:hAnsiTheme="minorHAnsi"/>
                <w:sz w:val="22"/>
                <w:szCs w:val="22"/>
              </w:rPr>
            </w:pPr>
          </w:p>
        </w:tc>
        <w:tc>
          <w:tcPr>
            <w:tcW w:w="6660" w:type="dxa"/>
          </w:tcPr>
          <w:p w:rsidR="00DF52F8" w:rsidRDefault="00DF52F8" w:rsidP="004A7475">
            <w:r w:rsidRPr="008B7E0E">
              <w:t>[See response to IR1]</w:t>
            </w:r>
          </w:p>
        </w:tc>
      </w:tr>
      <w:tr w:rsidR="00DF52F8" w:rsidTr="00674E11">
        <w:tc>
          <w:tcPr>
            <w:tcW w:w="1350" w:type="dxa"/>
          </w:tcPr>
          <w:p w:rsidR="00DF52F8" w:rsidRDefault="00DF52F8">
            <w:r w:rsidRPr="00D547BB">
              <w:t>Burbank</w:t>
            </w:r>
            <w:r w:rsidRPr="00D547BB">
              <w:rPr>
                <w:spacing w:val="-3"/>
              </w:rPr>
              <w:t xml:space="preserve"> </w:t>
            </w:r>
            <w:r w:rsidRPr="00D547BB">
              <w:t>and</w:t>
            </w:r>
            <w:r w:rsidRPr="00D547BB">
              <w:rPr>
                <w:spacing w:val="-3"/>
              </w:rPr>
              <w:t xml:space="preserve"> </w:t>
            </w:r>
            <w:r w:rsidRPr="00D547BB">
              <w:t>Glendale</w:t>
            </w:r>
          </w:p>
        </w:tc>
        <w:tc>
          <w:tcPr>
            <w:tcW w:w="900" w:type="dxa"/>
          </w:tcPr>
          <w:p w:rsidR="00DF52F8" w:rsidRDefault="00DF52F8" w:rsidP="004A7475">
            <w:pPr>
              <w:jc w:val="center"/>
            </w:pPr>
            <w:r>
              <w:t>4</w:t>
            </w:r>
            <w:r w:rsidR="00C70376">
              <w:t>a</w:t>
            </w:r>
          </w:p>
        </w:tc>
        <w:tc>
          <w:tcPr>
            <w:tcW w:w="1440" w:type="dxa"/>
          </w:tcPr>
          <w:p w:rsidR="00DF52F8" w:rsidRDefault="00DF52F8" w:rsidP="00406489">
            <w:pPr>
              <w:jc w:val="center"/>
            </w:pPr>
            <w:r w:rsidRPr="00E30654">
              <w:t>Exhibit: DWP-104</w:t>
            </w:r>
          </w:p>
          <w:p w:rsidR="00DF52F8" w:rsidRDefault="00DF52F8" w:rsidP="00406489">
            <w:pPr>
              <w:jc w:val="center"/>
            </w:pPr>
          </w:p>
          <w:p w:rsidR="00DF52F8" w:rsidRDefault="00DF52F8" w:rsidP="00406489">
            <w:pPr>
              <w:jc w:val="center"/>
            </w:pPr>
            <w:r w:rsidRPr="00D11C30">
              <w:t>Tab AH</w:t>
            </w:r>
          </w:p>
        </w:tc>
        <w:tc>
          <w:tcPr>
            <w:tcW w:w="1170" w:type="dxa"/>
          </w:tcPr>
          <w:p w:rsidR="00DF52F8" w:rsidRDefault="00F0025B" w:rsidP="004A7475">
            <w:r>
              <w:t>2.</w:t>
            </w:r>
            <w:r w:rsidR="00DF52F8">
              <w:t>1</w:t>
            </w:r>
            <w:r>
              <w:t>.</w:t>
            </w:r>
            <w:r w:rsidR="00DF52F8" w:rsidRPr="005A2392">
              <w:t>2017</w:t>
            </w:r>
            <w:r w:rsidR="00F04CF1">
              <w:t>/</w:t>
            </w:r>
          </w:p>
          <w:p w:rsidR="00F04CF1" w:rsidRDefault="00F04CF1" w:rsidP="004A7475">
            <w:r>
              <w:t>2.9.2017</w:t>
            </w:r>
          </w:p>
        </w:tc>
        <w:tc>
          <w:tcPr>
            <w:tcW w:w="2700" w:type="dxa"/>
          </w:tcPr>
          <w:p w:rsidR="00DF52F8" w:rsidRPr="00406489" w:rsidRDefault="00DF52F8" w:rsidP="005B60F6">
            <w:pPr>
              <w:ind w:left="120"/>
            </w:pPr>
            <w:r w:rsidRPr="00406489">
              <w:t xml:space="preserve">Cell H67 - Which tab does H67 point to? </w:t>
            </w:r>
          </w:p>
          <w:p w:rsidR="00DF52F8" w:rsidRDefault="00DF52F8" w:rsidP="009848DB">
            <w:pPr>
              <w:ind w:left="480"/>
            </w:pPr>
          </w:p>
        </w:tc>
        <w:tc>
          <w:tcPr>
            <w:tcW w:w="6660" w:type="dxa"/>
          </w:tcPr>
          <w:p w:rsidR="00DF52F8" w:rsidRDefault="00F04CF1" w:rsidP="004A7475">
            <w:r>
              <w:t xml:space="preserve">Cell H67 in tab AH ($296.4 M) is literally carried forward </w:t>
            </w:r>
            <w:proofErr w:type="gramStart"/>
            <w:r>
              <w:t>to  Statement</w:t>
            </w:r>
            <w:proofErr w:type="gramEnd"/>
            <w:r>
              <w:t xml:space="preserve"> BK cell F143 which is a check number for O&amp;M. It should be noted that the two components of the $296.4 million are shown in tab AH in cells AF67 (Hoover purchased power: $14.5 million) and cell BE 67 (IPP purchased power: $281.9 million). Cell AF67 in tab AH is carried forward to cell V134 in tab BK. Cell BE67 in tab AH is carried forward to cell AE133 in tab BK.</w:t>
            </w:r>
          </w:p>
        </w:tc>
      </w:tr>
      <w:tr w:rsidR="009848DB" w:rsidTr="00674E11">
        <w:tc>
          <w:tcPr>
            <w:tcW w:w="1350" w:type="dxa"/>
          </w:tcPr>
          <w:p w:rsidR="009848DB" w:rsidRDefault="009848DB" w:rsidP="009848DB">
            <w:r w:rsidRPr="00D547BB">
              <w:lastRenderedPageBreak/>
              <w:t>Burbank</w:t>
            </w:r>
            <w:r w:rsidRPr="00D547BB">
              <w:rPr>
                <w:spacing w:val="-3"/>
              </w:rPr>
              <w:t xml:space="preserve"> </w:t>
            </w:r>
            <w:r w:rsidRPr="00D547BB">
              <w:t>and</w:t>
            </w:r>
            <w:r w:rsidRPr="00D547BB">
              <w:rPr>
                <w:spacing w:val="-3"/>
              </w:rPr>
              <w:t xml:space="preserve"> </w:t>
            </w:r>
            <w:r w:rsidRPr="00D547BB">
              <w:t>Glendale</w:t>
            </w:r>
          </w:p>
        </w:tc>
        <w:tc>
          <w:tcPr>
            <w:tcW w:w="900" w:type="dxa"/>
          </w:tcPr>
          <w:p w:rsidR="009848DB" w:rsidRDefault="009848DB" w:rsidP="009848DB">
            <w:pPr>
              <w:jc w:val="center"/>
            </w:pPr>
            <w:r>
              <w:t>4</w:t>
            </w:r>
            <w:r w:rsidR="00C70376">
              <w:t>b</w:t>
            </w:r>
          </w:p>
        </w:tc>
        <w:tc>
          <w:tcPr>
            <w:tcW w:w="1440" w:type="dxa"/>
          </w:tcPr>
          <w:p w:rsidR="009848DB" w:rsidRDefault="009848DB" w:rsidP="009848DB">
            <w:pPr>
              <w:jc w:val="center"/>
            </w:pPr>
            <w:r w:rsidRPr="00E30654">
              <w:t>Exhibit: DWP-104</w:t>
            </w:r>
          </w:p>
          <w:p w:rsidR="009848DB" w:rsidRDefault="009848DB" w:rsidP="009848DB">
            <w:pPr>
              <w:jc w:val="center"/>
            </w:pPr>
          </w:p>
          <w:p w:rsidR="009848DB" w:rsidRDefault="009848DB" w:rsidP="009848DB">
            <w:pPr>
              <w:jc w:val="center"/>
            </w:pPr>
            <w:r w:rsidRPr="00D11C30">
              <w:t>Tab AH</w:t>
            </w:r>
          </w:p>
        </w:tc>
        <w:tc>
          <w:tcPr>
            <w:tcW w:w="1170" w:type="dxa"/>
          </w:tcPr>
          <w:p w:rsidR="009848DB" w:rsidRDefault="009848DB" w:rsidP="009848DB">
            <w:r>
              <w:t>2.1.</w:t>
            </w:r>
            <w:r w:rsidRPr="005A2392">
              <w:t>2017</w:t>
            </w:r>
            <w:r w:rsidR="00F04CF1">
              <w:t>/2.9.2017</w:t>
            </w:r>
          </w:p>
        </w:tc>
        <w:tc>
          <w:tcPr>
            <w:tcW w:w="2700" w:type="dxa"/>
          </w:tcPr>
          <w:p w:rsidR="009848DB" w:rsidRPr="00406489" w:rsidRDefault="009848DB" w:rsidP="005B60F6">
            <w:pPr>
              <w:ind w:left="120"/>
            </w:pPr>
            <w:r w:rsidRPr="00406489">
              <w:t xml:space="preserve">Cells D55-D64 – Please provide documentation that shows the classification of “IPP Minimum Costs (IPP Share)” to Production, Transmission and any other functions. </w:t>
            </w:r>
          </w:p>
          <w:p w:rsidR="009848DB" w:rsidRPr="00406489" w:rsidRDefault="009848DB" w:rsidP="009848DB">
            <w:pPr>
              <w:ind w:left="480"/>
            </w:pPr>
          </w:p>
        </w:tc>
        <w:tc>
          <w:tcPr>
            <w:tcW w:w="6660" w:type="dxa"/>
          </w:tcPr>
          <w:p w:rsidR="009848DB" w:rsidRDefault="00F04CF1" w:rsidP="004A7475">
            <w:r>
              <w:t>Please see “Attachment 4b_Purchased Power.xlsx.”  More specifically, please see the yellow highlighted cells in the “OATT Purchased Power” tab and the “IPP Minimum Costs” tab. The IPP Minimum Costs are classified as Production only.</w:t>
            </w:r>
          </w:p>
        </w:tc>
      </w:tr>
      <w:tr w:rsidR="009848DB" w:rsidTr="00674E11">
        <w:tc>
          <w:tcPr>
            <w:tcW w:w="1350" w:type="dxa"/>
          </w:tcPr>
          <w:p w:rsidR="009848DB" w:rsidRDefault="009848DB" w:rsidP="009848DB">
            <w:r w:rsidRPr="00D547BB">
              <w:t>Burbank</w:t>
            </w:r>
            <w:r w:rsidRPr="00D547BB">
              <w:rPr>
                <w:spacing w:val="-3"/>
              </w:rPr>
              <w:t xml:space="preserve"> </w:t>
            </w:r>
            <w:r w:rsidRPr="00D547BB">
              <w:t>and</w:t>
            </w:r>
            <w:r w:rsidRPr="00D547BB">
              <w:rPr>
                <w:spacing w:val="-3"/>
              </w:rPr>
              <w:t xml:space="preserve"> </w:t>
            </w:r>
            <w:r w:rsidRPr="00D547BB">
              <w:t>Glendale</w:t>
            </w:r>
          </w:p>
        </w:tc>
        <w:tc>
          <w:tcPr>
            <w:tcW w:w="900" w:type="dxa"/>
          </w:tcPr>
          <w:p w:rsidR="009848DB" w:rsidRDefault="009848DB" w:rsidP="009848DB">
            <w:pPr>
              <w:jc w:val="center"/>
            </w:pPr>
            <w:r>
              <w:t>4</w:t>
            </w:r>
            <w:r w:rsidR="00C70376">
              <w:t>c</w:t>
            </w:r>
          </w:p>
        </w:tc>
        <w:tc>
          <w:tcPr>
            <w:tcW w:w="1440" w:type="dxa"/>
          </w:tcPr>
          <w:p w:rsidR="009848DB" w:rsidRDefault="009848DB" w:rsidP="009848DB">
            <w:pPr>
              <w:jc w:val="center"/>
            </w:pPr>
            <w:r w:rsidRPr="00E30654">
              <w:t>Exhibit: DWP-104</w:t>
            </w:r>
          </w:p>
          <w:p w:rsidR="009848DB" w:rsidRDefault="009848DB" w:rsidP="009848DB">
            <w:pPr>
              <w:jc w:val="center"/>
            </w:pPr>
          </w:p>
          <w:p w:rsidR="009848DB" w:rsidRDefault="009848DB" w:rsidP="009848DB">
            <w:pPr>
              <w:jc w:val="center"/>
            </w:pPr>
            <w:r w:rsidRPr="00D11C30">
              <w:t>Tab AH</w:t>
            </w:r>
          </w:p>
        </w:tc>
        <w:tc>
          <w:tcPr>
            <w:tcW w:w="1170" w:type="dxa"/>
          </w:tcPr>
          <w:p w:rsidR="009848DB" w:rsidRDefault="009848DB" w:rsidP="009848DB">
            <w:r>
              <w:t>2.1.</w:t>
            </w:r>
            <w:r w:rsidRPr="005A2392">
              <w:t>2017</w:t>
            </w:r>
            <w:r w:rsidR="00F04CF1">
              <w:t>/2.9.2017</w:t>
            </w:r>
          </w:p>
        </w:tc>
        <w:tc>
          <w:tcPr>
            <w:tcW w:w="2700" w:type="dxa"/>
          </w:tcPr>
          <w:p w:rsidR="009848DB" w:rsidRPr="00406489" w:rsidRDefault="009848DB" w:rsidP="005B60F6">
            <w:pPr>
              <w:ind w:left="120"/>
            </w:pPr>
            <w:r w:rsidRPr="00406489">
              <w:t xml:space="preserve">Row 65: Please provide documentation that shows the classification of “Purchase Power Hoover” to Production, Transmission and any other functions. </w:t>
            </w:r>
          </w:p>
          <w:p w:rsidR="009848DB" w:rsidRPr="00406489" w:rsidRDefault="009848DB" w:rsidP="009848DB">
            <w:pPr>
              <w:ind w:left="480"/>
            </w:pPr>
          </w:p>
        </w:tc>
        <w:tc>
          <w:tcPr>
            <w:tcW w:w="6660" w:type="dxa"/>
          </w:tcPr>
          <w:p w:rsidR="00F04CF1" w:rsidRDefault="00F04CF1" w:rsidP="00F04CF1">
            <w:r>
              <w:t>Please see “Attachment 4b_Purchased Power.xlsx.”  More specifically, please see the blue highlighted cell (D12) in the “OATT Purchased Power” tab. Hoover Purchased Power costs are classified as Production only.</w:t>
            </w:r>
          </w:p>
          <w:p w:rsidR="009848DB" w:rsidRDefault="009848DB" w:rsidP="004A7475"/>
        </w:tc>
      </w:tr>
      <w:tr w:rsidR="009848DB" w:rsidTr="00674E11">
        <w:tc>
          <w:tcPr>
            <w:tcW w:w="1350" w:type="dxa"/>
          </w:tcPr>
          <w:p w:rsidR="009848DB" w:rsidRDefault="009848DB" w:rsidP="009848DB">
            <w:r w:rsidRPr="00D547BB">
              <w:t>Burbank</w:t>
            </w:r>
            <w:r w:rsidRPr="00D547BB">
              <w:rPr>
                <w:spacing w:val="-3"/>
              </w:rPr>
              <w:t xml:space="preserve"> </w:t>
            </w:r>
            <w:r w:rsidRPr="00D547BB">
              <w:t>and</w:t>
            </w:r>
            <w:r w:rsidRPr="00D547BB">
              <w:rPr>
                <w:spacing w:val="-3"/>
              </w:rPr>
              <w:t xml:space="preserve"> </w:t>
            </w:r>
            <w:r w:rsidRPr="00D547BB">
              <w:t>Glendale</w:t>
            </w:r>
          </w:p>
        </w:tc>
        <w:tc>
          <w:tcPr>
            <w:tcW w:w="900" w:type="dxa"/>
          </w:tcPr>
          <w:p w:rsidR="009848DB" w:rsidRDefault="009848DB" w:rsidP="009848DB">
            <w:pPr>
              <w:jc w:val="center"/>
            </w:pPr>
            <w:r>
              <w:t>4</w:t>
            </w:r>
            <w:r w:rsidR="00C70376">
              <w:t>d</w:t>
            </w:r>
          </w:p>
        </w:tc>
        <w:tc>
          <w:tcPr>
            <w:tcW w:w="1440" w:type="dxa"/>
          </w:tcPr>
          <w:p w:rsidR="009848DB" w:rsidRDefault="009848DB" w:rsidP="009848DB">
            <w:pPr>
              <w:jc w:val="center"/>
            </w:pPr>
            <w:r w:rsidRPr="00E30654">
              <w:t>Exhibit: DWP-104</w:t>
            </w:r>
          </w:p>
          <w:p w:rsidR="009848DB" w:rsidRDefault="009848DB" w:rsidP="009848DB">
            <w:pPr>
              <w:jc w:val="center"/>
            </w:pPr>
          </w:p>
          <w:p w:rsidR="009848DB" w:rsidRDefault="009848DB" w:rsidP="009848DB">
            <w:pPr>
              <w:jc w:val="center"/>
            </w:pPr>
            <w:r w:rsidRPr="00D11C30">
              <w:t>Tab AH</w:t>
            </w:r>
          </w:p>
        </w:tc>
        <w:tc>
          <w:tcPr>
            <w:tcW w:w="1170" w:type="dxa"/>
          </w:tcPr>
          <w:p w:rsidR="009848DB" w:rsidRDefault="009848DB" w:rsidP="009848DB">
            <w:r>
              <w:t>2.1.</w:t>
            </w:r>
            <w:r w:rsidRPr="005A2392">
              <w:t>2017</w:t>
            </w:r>
            <w:r w:rsidR="00F04CF1">
              <w:t>/2.9.2017</w:t>
            </w:r>
          </w:p>
        </w:tc>
        <w:tc>
          <w:tcPr>
            <w:tcW w:w="2700" w:type="dxa"/>
          </w:tcPr>
          <w:p w:rsidR="009848DB" w:rsidRDefault="009848DB" w:rsidP="005B60F6">
            <w:pPr>
              <w:ind w:left="120"/>
            </w:pPr>
            <w:r w:rsidRPr="00406489">
              <w:t xml:space="preserve">Section D.2: Please provide an explanation for the reclassification of hydro O&amp;M costs to Owens Valley. </w:t>
            </w:r>
          </w:p>
          <w:p w:rsidR="009848DB" w:rsidRPr="00406489" w:rsidRDefault="009848DB" w:rsidP="009848DB">
            <w:pPr>
              <w:ind w:left="480"/>
            </w:pPr>
          </w:p>
        </w:tc>
        <w:tc>
          <w:tcPr>
            <w:tcW w:w="6660" w:type="dxa"/>
          </w:tcPr>
          <w:p w:rsidR="00F04CF1" w:rsidRDefault="00F04CF1" w:rsidP="00F04CF1">
            <w:r w:rsidRPr="00E7428D">
              <w:rPr>
                <w:u w:val="single"/>
              </w:rPr>
              <w:t>Owens Valley Common Costs (See cells N135:N144 of tab AH)</w:t>
            </w:r>
            <w:r>
              <w:t>: LADWP’s GL tracks a category of O&amp;M costs that are related to the Owens Valley hydro production stations as a group but are not specifically tracked by production station. As such, these costs are allocated to each Owens Valley hydro production station.</w:t>
            </w:r>
          </w:p>
          <w:p w:rsidR="00F04CF1" w:rsidRDefault="00F04CF1" w:rsidP="00F04CF1"/>
          <w:p w:rsidR="009848DB" w:rsidRDefault="00F04CF1" w:rsidP="00F04CF1">
            <w:r w:rsidRPr="00E7428D">
              <w:rPr>
                <w:u w:val="single"/>
              </w:rPr>
              <w:t>Miscellaneous (FERC 543) (See cells O135:O144 of tab AH)</w:t>
            </w:r>
            <w:r>
              <w:t xml:space="preserve">: LADWP’s GL FERC 543 includes a subcomponent (Miscellaneous) of costs that are not specifically tracked by production station. A review of these costs </w:t>
            </w:r>
            <w:r>
              <w:lastRenderedPageBreak/>
              <w:t>by LAWP staff determined that that these costs are related to the Owens Valley hydro production stations.</w:t>
            </w:r>
          </w:p>
        </w:tc>
      </w:tr>
      <w:tr w:rsidR="009848DB" w:rsidTr="00674E11">
        <w:tc>
          <w:tcPr>
            <w:tcW w:w="1350" w:type="dxa"/>
          </w:tcPr>
          <w:p w:rsidR="009848DB" w:rsidRDefault="009848DB" w:rsidP="009848DB">
            <w:r w:rsidRPr="00D547BB">
              <w:lastRenderedPageBreak/>
              <w:t>Burbank</w:t>
            </w:r>
            <w:r w:rsidRPr="00D547BB">
              <w:rPr>
                <w:spacing w:val="-3"/>
              </w:rPr>
              <w:t xml:space="preserve"> </w:t>
            </w:r>
            <w:r w:rsidRPr="00D547BB">
              <w:t>and</w:t>
            </w:r>
            <w:r w:rsidRPr="00D547BB">
              <w:rPr>
                <w:spacing w:val="-3"/>
              </w:rPr>
              <w:t xml:space="preserve"> </w:t>
            </w:r>
            <w:r w:rsidRPr="00D547BB">
              <w:t>Glendale</w:t>
            </w:r>
          </w:p>
        </w:tc>
        <w:tc>
          <w:tcPr>
            <w:tcW w:w="900" w:type="dxa"/>
          </w:tcPr>
          <w:p w:rsidR="009848DB" w:rsidRDefault="009848DB" w:rsidP="009848DB">
            <w:pPr>
              <w:jc w:val="center"/>
            </w:pPr>
            <w:r>
              <w:t>4</w:t>
            </w:r>
            <w:r w:rsidR="00C70376">
              <w:t>e</w:t>
            </w:r>
          </w:p>
        </w:tc>
        <w:tc>
          <w:tcPr>
            <w:tcW w:w="1440" w:type="dxa"/>
          </w:tcPr>
          <w:p w:rsidR="009848DB" w:rsidRDefault="009848DB" w:rsidP="009848DB">
            <w:pPr>
              <w:jc w:val="center"/>
            </w:pPr>
            <w:r w:rsidRPr="00E30654">
              <w:t>Exhibit: DWP-104</w:t>
            </w:r>
          </w:p>
          <w:p w:rsidR="009848DB" w:rsidRDefault="009848DB" w:rsidP="009848DB">
            <w:pPr>
              <w:jc w:val="center"/>
            </w:pPr>
          </w:p>
          <w:p w:rsidR="009848DB" w:rsidRDefault="009848DB" w:rsidP="009848DB">
            <w:pPr>
              <w:jc w:val="center"/>
            </w:pPr>
            <w:r w:rsidRPr="00D11C30">
              <w:t>Tab AH</w:t>
            </w:r>
          </w:p>
        </w:tc>
        <w:tc>
          <w:tcPr>
            <w:tcW w:w="1170" w:type="dxa"/>
          </w:tcPr>
          <w:p w:rsidR="009848DB" w:rsidRDefault="009848DB" w:rsidP="009848DB">
            <w:r>
              <w:t>2.1.</w:t>
            </w:r>
            <w:r w:rsidRPr="005A2392">
              <w:t>2017</w:t>
            </w:r>
          </w:p>
        </w:tc>
        <w:tc>
          <w:tcPr>
            <w:tcW w:w="2700" w:type="dxa"/>
          </w:tcPr>
          <w:p w:rsidR="009848DB" w:rsidRPr="00406489" w:rsidRDefault="009848DB" w:rsidP="005B60F6">
            <w:pPr>
              <w:ind w:left="120"/>
            </w:pPr>
            <w:r w:rsidRPr="00406489">
              <w:t xml:space="preserve">Section G.3: Please provide copies of all contracts that provide LADWP transmission rights that are posted on the LADWP OASIS. Please provide data for FY14-15 showing the total MWs or MWhs or both that LADWP transmitted for others using these contract rights. </w:t>
            </w:r>
          </w:p>
          <w:p w:rsidR="009848DB" w:rsidRPr="00406489" w:rsidRDefault="009848DB" w:rsidP="009848DB">
            <w:pPr>
              <w:ind w:left="480"/>
            </w:pPr>
          </w:p>
        </w:tc>
        <w:tc>
          <w:tcPr>
            <w:tcW w:w="6660" w:type="dxa"/>
          </w:tcPr>
          <w:p w:rsidR="009848DB" w:rsidRDefault="009848DB" w:rsidP="004A7475"/>
        </w:tc>
      </w:tr>
      <w:tr w:rsidR="00DF52F8" w:rsidTr="00674E11">
        <w:tc>
          <w:tcPr>
            <w:tcW w:w="1350" w:type="dxa"/>
          </w:tcPr>
          <w:p w:rsidR="00DF52F8" w:rsidRPr="00CA6208" w:rsidRDefault="00DF52F8" w:rsidP="004A7475">
            <w:pPr>
              <w:jc w:val="center"/>
            </w:pPr>
            <w:r>
              <w:t>Burbank</w:t>
            </w:r>
            <w:r>
              <w:rPr>
                <w:spacing w:val="-3"/>
              </w:rPr>
              <w:t xml:space="preserve"> </w:t>
            </w:r>
            <w:r>
              <w:t>and</w:t>
            </w:r>
            <w:r>
              <w:rPr>
                <w:spacing w:val="-3"/>
              </w:rPr>
              <w:t xml:space="preserve"> </w:t>
            </w:r>
            <w:r>
              <w:t>Glendale</w:t>
            </w:r>
          </w:p>
        </w:tc>
        <w:tc>
          <w:tcPr>
            <w:tcW w:w="900" w:type="dxa"/>
          </w:tcPr>
          <w:p w:rsidR="00DF52F8" w:rsidRPr="00CA6208" w:rsidRDefault="00DF52F8" w:rsidP="004A7475">
            <w:pPr>
              <w:jc w:val="center"/>
            </w:pPr>
            <w:r w:rsidRPr="00CA6208">
              <w:t>5</w:t>
            </w:r>
            <w:r w:rsidR="005B60F6">
              <w:t>a</w:t>
            </w:r>
          </w:p>
        </w:tc>
        <w:tc>
          <w:tcPr>
            <w:tcW w:w="1440" w:type="dxa"/>
          </w:tcPr>
          <w:p w:rsidR="00DF52F8" w:rsidRPr="00CA6208" w:rsidRDefault="00DF52F8" w:rsidP="00406489">
            <w:pPr>
              <w:jc w:val="center"/>
            </w:pPr>
            <w:r w:rsidRPr="00CA6208">
              <w:t>Exhibit: DWP-104</w:t>
            </w:r>
          </w:p>
          <w:p w:rsidR="00DF52F8" w:rsidRPr="00CA6208" w:rsidRDefault="00DF52F8" w:rsidP="00406489">
            <w:pPr>
              <w:jc w:val="center"/>
            </w:pPr>
          </w:p>
          <w:p w:rsidR="00DF52F8" w:rsidRPr="00CA6208" w:rsidRDefault="00DF52F8" w:rsidP="00406489">
            <w:pPr>
              <w:jc w:val="center"/>
            </w:pPr>
            <w:r w:rsidRPr="00CA6208">
              <w:t>Tab AL</w:t>
            </w:r>
          </w:p>
        </w:tc>
        <w:tc>
          <w:tcPr>
            <w:tcW w:w="1170" w:type="dxa"/>
          </w:tcPr>
          <w:p w:rsidR="00DF52F8" w:rsidRPr="00CA6208" w:rsidRDefault="00F0025B">
            <w:r>
              <w:t>2.1.</w:t>
            </w:r>
            <w:r w:rsidR="00DF52F8" w:rsidRPr="00CA6208">
              <w:t>2017</w:t>
            </w:r>
            <w:r w:rsidR="00F04CF1">
              <w:t>/2.9.2017</w:t>
            </w:r>
          </w:p>
        </w:tc>
        <w:tc>
          <w:tcPr>
            <w:tcW w:w="2700" w:type="dxa"/>
          </w:tcPr>
          <w:p w:rsidR="00DF52F8" w:rsidRPr="00CA6208" w:rsidRDefault="00DF52F8" w:rsidP="005B60F6">
            <w:pPr>
              <w:pStyle w:val="BodyText"/>
              <w:tabs>
                <w:tab w:val="left" w:pos="480"/>
              </w:tabs>
              <w:spacing w:before="7" w:line="274" w:lineRule="exact"/>
              <w:ind w:left="120" w:right="440" w:firstLine="0"/>
              <w:rPr>
                <w:rFonts w:asciiTheme="minorHAnsi" w:hAnsiTheme="minorHAnsi"/>
                <w:sz w:val="22"/>
                <w:szCs w:val="22"/>
              </w:rPr>
            </w:pPr>
            <w:r w:rsidRPr="00CA6208">
              <w:rPr>
                <w:rFonts w:asciiTheme="minorHAnsi" w:hAnsiTheme="minorHAnsi"/>
                <w:sz w:val="22"/>
                <w:szCs w:val="22"/>
              </w:rPr>
              <w:t>Cells</w:t>
            </w:r>
            <w:r w:rsidRPr="00CA6208">
              <w:rPr>
                <w:rFonts w:asciiTheme="minorHAnsi" w:hAnsiTheme="minorHAnsi"/>
                <w:spacing w:val="-5"/>
                <w:sz w:val="22"/>
                <w:szCs w:val="22"/>
              </w:rPr>
              <w:t xml:space="preserve"> </w:t>
            </w:r>
            <w:r w:rsidRPr="00CA6208">
              <w:rPr>
                <w:rFonts w:asciiTheme="minorHAnsi" w:hAnsiTheme="minorHAnsi"/>
                <w:sz w:val="22"/>
                <w:szCs w:val="22"/>
              </w:rPr>
              <w:t>C121-122</w:t>
            </w:r>
            <w:r w:rsidRPr="00CA6208">
              <w:rPr>
                <w:rFonts w:asciiTheme="minorHAnsi" w:hAnsiTheme="minorHAnsi"/>
                <w:spacing w:val="-4"/>
                <w:sz w:val="22"/>
                <w:szCs w:val="22"/>
              </w:rPr>
              <w:t xml:space="preserve"> </w:t>
            </w:r>
            <w:r w:rsidRPr="00CA6208">
              <w:rPr>
                <w:rFonts w:asciiTheme="minorHAnsi" w:hAnsiTheme="minorHAnsi"/>
                <w:sz w:val="22"/>
                <w:szCs w:val="22"/>
              </w:rPr>
              <w:t>-</w:t>
            </w:r>
            <w:r w:rsidRPr="00CA6208">
              <w:rPr>
                <w:rFonts w:asciiTheme="minorHAnsi" w:hAnsiTheme="minorHAnsi"/>
                <w:spacing w:val="-5"/>
                <w:sz w:val="22"/>
                <w:szCs w:val="22"/>
              </w:rPr>
              <w:t xml:space="preserve"> </w:t>
            </w:r>
            <w:r w:rsidRPr="00CA6208">
              <w:rPr>
                <w:rFonts w:asciiTheme="minorHAnsi" w:hAnsiTheme="minorHAnsi"/>
                <w:sz w:val="22"/>
                <w:szCs w:val="22"/>
              </w:rPr>
              <w:t>Please</w:t>
            </w:r>
            <w:r w:rsidRPr="00CA6208">
              <w:rPr>
                <w:rFonts w:asciiTheme="minorHAnsi" w:hAnsiTheme="minorHAnsi"/>
                <w:spacing w:val="-4"/>
                <w:sz w:val="22"/>
                <w:szCs w:val="22"/>
              </w:rPr>
              <w:t xml:space="preserve"> </w:t>
            </w:r>
            <w:r w:rsidRPr="00CA6208">
              <w:rPr>
                <w:rFonts w:asciiTheme="minorHAnsi" w:hAnsiTheme="minorHAnsi"/>
                <w:sz w:val="22"/>
                <w:szCs w:val="22"/>
              </w:rPr>
              <w:t>provide</w:t>
            </w:r>
            <w:r w:rsidRPr="00CA6208">
              <w:rPr>
                <w:rFonts w:asciiTheme="minorHAnsi" w:hAnsiTheme="minorHAnsi"/>
                <w:spacing w:val="-4"/>
                <w:sz w:val="22"/>
                <w:szCs w:val="22"/>
              </w:rPr>
              <w:t xml:space="preserve"> </w:t>
            </w:r>
            <w:r w:rsidRPr="00CA6208">
              <w:rPr>
                <w:rFonts w:asciiTheme="minorHAnsi" w:hAnsiTheme="minorHAnsi"/>
                <w:sz w:val="22"/>
                <w:szCs w:val="22"/>
              </w:rPr>
              <w:t>all</w:t>
            </w:r>
            <w:r w:rsidRPr="00CA6208">
              <w:rPr>
                <w:rFonts w:asciiTheme="minorHAnsi" w:hAnsiTheme="minorHAnsi"/>
                <w:spacing w:val="-5"/>
                <w:sz w:val="22"/>
                <w:szCs w:val="22"/>
              </w:rPr>
              <w:t xml:space="preserve"> </w:t>
            </w:r>
            <w:r w:rsidRPr="00CA6208">
              <w:rPr>
                <w:rFonts w:asciiTheme="minorHAnsi" w:hAnsiTheme="minorHAnsi"/>
                <w:sz w:val="22"/>
                <w:szCs w:val="22"/>
              </w:rPr>
              <w:t>documentation</w:t>
            </w:r>
            <w:r w:rsidRPr="00CA6208">
              <w:rPr>
                <w:rFonts w:asciiTheme="minorHAnsi" w:hAnsiTheme="minorHAnsi"/>
                <w:spacing w:val="-4"/>
                <w:sz w:val="22"/>
                <w:szCs w:val="22"/>
              </w:rPr>
              <w:t xml:space="preserve"> </w:t>
            </w:r>
            <w:r w:rsidRPr="00CA6208">
              <w:rPr>
                <w:rFonts w:asciiTheme="minorHAnsi" w:hAnsiTheme="minorHAnsi"/>
                <w:sz w:val="22"/>
                <w:szCs w:val="22"/>
              </w:rPr>
              <w:t>referenced</w:t>
            </w:r>
            <w:r w:rsidRPr="00CA6208">
              <w:rPr>
                <w:rFonts w:asciiTheme="minorHAnsi" w:hAnsiTheme="minorHAnsi"/>
                <w:spacing w:val="-5"/>
                <w:sz w:val="22"/>
                <w:szCs w:val="22"/>
              </w:rPr>
              <w:t xml:space="preserve"> </w:t>
            </w:r>
            <w:r w:rsidRPr="00CA6208">
              <w:rPr>
                <w:rFonts w:asciiTheme="minorHAnsi" w:hAnsiTheme="minorHAnsi"/>
                <w:sz w:val="22"/>
                <w:szCs w:val="22"/>
              </w:rPr>
              <w:t>as</w:t>
            </w:r>
            <w:r w:rsidRPr="00CA6208">
              <w:rPr>
                <w:rFonts w:asciiTheme="minorHAnsi" w:hAnsiTheme="minorHAnsi"/>
                <w:spacing w:val="-4"/>
                <w:sz w:val="22"/>
                <w:szCs w:val="22"/>
              </w:rPr>
              <w:t xml:space="preserve"> </w:t>
            </w:r>
            <w:r w:rsidRPr="00CA6208">
              <w:rPr>
                <w:rFonts w:asciiTheme="minorHAnsi" w:hAnsiTheme="minorHAnsi"/>
                <w:sz w:val="22"/>
                <w:szCs w:val="22"/>
              </w:rPr>
              <w:t>“IPP</w:t>
            </w:r>
            <w:r w:rsidRPr="00CA6208">
              <w:rPr>
                <w:rFonts w:asciiTheme="minorHAnsi" w:hAnsiTheme="minorHAnsi"/>
                <w:spacing w:val="-4"/>
                <w:sz w:val="22"/>
                <w:szCs w:val="22"/>
              </w:rPr>
              <w:t xml:space="preserve"> </w:t>
            </w:r>
            <w:r w:rsidRPr="00CA6208">
              <w:rPr>
                <w:rFonts w:asciiTheme="minorHAnsi" w:hAnsiTheme="minorHAnsi"/>
                <w:sz w:val="22"/>
                <w:szCs w:val="22"/>
              </w:rPr>
              <w:t>Summary</w:t>
            </w:r>
            <w:r w:rsidRPr="00CA6208">
              <w:rPr>
                <w:rFonts w:asciiTheme="minorHAnsi" w:hAnsiTheme="minorHAnsi"/>
                <w:spacing w:val="-5"/>
                <w:sz w:val="22"/>
                <w:szCs w:val="22"/>
              </w:rPr>
              <w:t xml:space="preserve"> </w:t>
            </w:r>
            <w:r w:rsidRPr="00CA6208">
              <w:rPr>
                <w:rFonts w:asciiTheme="minorHAnsi" w:hAnsiTheme="minorHAnsi"/>
                <w:sz w:val="22"/>
                <w:szCs w:val="22"/>
              </w:rPr>
              <w:t>of</w:t>
            </w:r>
            <w:r w:rsidRPr="00CA6208">
              <w:rPr>
                <w:rFonts w:asciiTheme="minorHAnsi" w:hAnsiTheme="minorHAnsi"/>
                <w:spacing w:val="-4"/>
                <w:sz w:val="22"/>
                <w:szCs w:val="22"/>
              </w:rPr>
              <w:t xml:space="preserve"> </w:t>
            </w:r>
            <w:r w:rsidRPr="00CA6208">
              <w:rPr>
                <w:rFonts w:asciiTheme="minorHAnsi" w:hAnsiTheme="minorHAnsi"/>
                <w:sz w:val="22"/>
                <w:szCs w:val="22"/>
              </w:rPr>
              <w:t xml:space="preserve">Power Sales”. </w:t>
            </w:r>
          </w:p>
          <w:p w:rsidR="00DF52F8" w:rsidRPr="00CA6208" w:rsidRDefault="00DF52F8" w:rsidP="009848DB">
            <w:pPr>
              <w:pStyle w:val="ListParagraph"/>
              <w:ind w:left="480"/>
            </w:pPr>
          </w:p>
        </w:tc>
        <w:tc>
          <w:tcPr>
            <w:tcW w:w="6660" w:type="dxa"/>
          </w:tcPr>
          <w:p w:rsidR="00F04CF1" w:rsidRPr="00314894" w:rsidRDefault="00F04CF1" w:rsidP="00F04CF1">
            <w:r w:rsidRPr="00314894">
              <w:t xml:space="preserve">Please see </w:t>
            </w:r>
            <w:r>
              <w:t>“</w:t>
            </w:r>
            <w:r w:rsidRPr="00314894">
              <w:t>Attachment 5</w:t>
            </w:r>
            <w:r>
              <w:t>a</w:t>
            </w:r>
            <w:r w:rsidRPr="00314894">
              <w:t>_IPP Summary of Power Sales and IPA True-up.pdf</w:t>
            </w:r>
            <w:r>
              <w:t>”</w:t>
            </w:r>
          </w:p>
          <w:p w:rsidR="00DF52F8" w:rsidRPr="00CA6208" w:rsidRDefault="00DF52F8" w:rsidP="004A7475"/>
        </w:tc>
      </w:tr>
      <w:tr w:rsidR="009848DB" w:rsidTr="00674E11">
        <w:tc>
          <w:tcPr>
            <w:tcW w:w="1350" w:type="dxa"/>
          </w:tcPr>
          <w:p w:rsidR="009848DB" w:rsidRPr="00CA6208" w:rsidRDefault="009848DB" w:rsidP="009848DB">
            <w:pPr>
              <w:jc w:val="center"/>
            </w:pPr>
            <w:r>
              <w:t>Burbank</w:t>
            </w:r>
            <w:r>
              <w:rPr>
                <w:spacing w:val="-3"/>
              </w:rPr>
              <w:t xml:space="preserve"> </w:t>
            </w:r>
            <w:r>
              <w:t>and</w:t>
            </w:r>
            <w:r>
              <w:rPr>
                <w:spacing w:val="-3"/>
              </w:rPr>
              <w:t xml:space="preserve"> </w:t>
            </w:r>
            <w:r>
              <w:t>Glendale</w:t>
            </w:r>
          </w:p>
        </w:tc>
        <w:tc>
          <w:tcPr>
            <w:tcW w:w="900" w:type="dxa"/>
          </w:tcPr>
          <w:p w:rsidR="009848DB" w:rsidRPr="00CA6208" w:rsidRDefault="009848DB" w:rsidP="009848DB">
            <w:pPr>
              <w:jc w:val="center"/>
            </w:pPr>
            <w:r w:rsidRPr="00CA6208">
              <w:t>5</w:t>
            </w:r>
            <w:r w:rsidR="005B60F6">
              <w:t>b</w:t>
            </w:r>
          </w:p>
        </w:tc>
        <w:tc>
          <w:tcPr>
            <w:tcW w:w="1440" w:type="dxa"/>
          </w:tcPr>
          <w:p w:rsidR="009848DB" w:rsidRPr="00CA6208" w:rsidRDefault="009848DB" w:rsidP="009848DB">
            <w:pPr>
              <w:jc w:val="center"/>
            </w:pPr>
            <w:r w:rsidRPr="00CA6208">
              <w:t>Exhibit: DWP-104</w:t>
            </w:r>
          </w:p>
          <w:p w:rsidR="009848DB" w:rsidRPr="00CA6208" w:rsidRDefault="009848DB" w:rsidP="009848DB">
            <w:pPr>
              <w:jc w:val="center"/>
            </w:pPr>
          </w:p>
          <w:p w:rsidR="009848DB" w:rsidRPr="00CA6208" w:rsidRDefault="009848DB" w:rsidP="009848DB">
            <w:pPr>
              <w:jc w:val="center"/>
            </w:pPr>
            <w:r w:rsidRPr="00CA6208">
              <w:t>Tab AL</w:t>
            </w:r>
          </w:p>
        </w:tc>
        <w:tc>
          <w:tcPr>
            <w:tcW w:w="1170" w:type="dxa"/>
          </w:tcPr>
          <w:p w:rsidR="009848DB" w:rsidRPr="00CA6208" w:rsidRDefault="00F04CF1" w:rsidP="009848DB">
            <w:r>
              <w:t>2.1.</w:t>
            </w:r>
            <w:r w:rsidRPr="00CA6208">
              <w:t>2017</w:t>
            </w:r>
            <w:r>
              <w:t>/2.9.2017</w:t>
            </w:r>
          </w:p>
        </w:tc>
        <w:tc>
          <w:tcPr>
            <w:tcW w:w="2700" w:type="dxa"/>
          </w:tcPr>
          <w:p w:rsidR="009848DB" w:rsidRPr="00CA6208" w:rsidRDefault="009848DB" w:rsidP="005B60F6">
            <w:pPr>
              <w:pStyle w:val="BodyText"/>
              <w:tabs>
                <w:tab w:val="left" w:pos="480"/>
              </w:tabs>
              <w:spacing w:line="276" w:lineRule="exact"/>
              <w:ind w:left="120" w:firstLine="0"/>
              <w:rPr>
                <w:rFonts w:asciiTheme="minorHAnsi" w:hAnsiTheme="minorHAnsi"/>
                <w:sz w:val="22"/>
                <w:szCs w:val="22"/>
              </w:rPr>
            </w:pPr>
            <w:r w:rsidRPr="00CA6208">
              <w:rPr>
                <w:rFonts w:asciiTheme="minorHAnsi" w:hAnsiTheme="minorHAnsi"/>
                <w:sz w:val="22"/>
                <w:szCs w:val="22"/>
              </w:rPr>
              <w:t>Cell</w:t>
            </w:r>
            <w:r w:rsidRPr="00CA6208">
              <w:rPr>
                <w:rFonts w:asciiTheme="minorHAnsi" w:hAnsiTheme="minorHAnsi"/>
                <w:spacing w:val="-3"/>
                <w:sz w:val="22"/>
                <w:szCs w:val="22"/>
              </w:rPr>
              <w:t xml:space="preserve"> </w:t>
            </w:r>
            <w:r w:rsidRPr="00CA6208">
              <w:rPr>
                <w:rFonts w:asciiTheme="minorHAnsi" w:hAnsiTheme="minorHAnsi"/>
                <w:sz w:val="22"/>
                <w:szCs w:val="22"/>
              </w:rPr>
              <w:t>124</w:t>
            </w:r>
            <w:r w:rsidRPr="00CA6208">
              <w:rPr>
                <w:rFonts w:asciiTheme="minorHAnsi" w:hAnsiTheme="minorHAnsi"/>
                <w:spacing w:val="-3"/>
                <w:sz w:val="22"/>
                <w:szCs w:val="22"/>
              </w:rPr>
              <w:t xml:space="preserve"> </w:t>
            </w:r>
            <w:r w:rsidRPr="00CA6208">
              <w:rPr>
                <w:rFonts w:asciiTheme="minorHAnsi" w:hAnsiTheme="minorHAnsi"/>
                <w:sz w:val="22"/>
                <w:szCs w:val="22"/>
              </w:rPr>
              <w:t>-</w:t>
            </w:r>
            <w:r w:rsidRPr="00CA6208">
              <w:rPr>
                <w:rFonts w:asciiTheme="minorHAnsi" w:hAnsiTheme="minorHAnsi"/>
                <w:spacing w:val="-3"/>
                <w:sz w:val="22"/>
                <w:szCs w:val="22"/>
              </w:rPr>
              <w:t xml:space="preserve"> </w:t>
            </w:r>
            <w:r w:rsidRPr="00CA6208">
              <w:rPr>
                <w:rFonts w:asciiTheme="minorHAnsi" w:hAnsiTheme="minorHAnsi"/>
                <w:sz w:val="22"/>
                <w:szCs w:val="22"/>
              </w:rPr>
              <w:t>Please</w:t>
            </w:r>
            <w:r w:rsidRPr="00CA6208">
              <w:rPr>
                <w:rFonts w:asciiTheme="minorHAnsi" w:hAnsiTheme="minorHAnsi"/>
                <w:spacing w:val="-4"/>
                <w:sz w:val="22"/>
                <w:szCs w:val="22"/>
              </w:rPr>
              <w:t xml:space="preserve"> </w:t>
            </w:r>
            <w:r w:rsidRPr="00CA6208">
              <w:rPr>
                <w:rFonts w:asciiTheme="minorHAnsi" w:hAnsiTheme="minorHAnsi"/>
                <w:sz w:val="22"/>
                <w:szCs w:val="22"/>
              </w:rPr>
              <w:t>provide</w:t>
            </w:r>
            <w:r w:rsidRPr="00CA6208">
              <w:rPr>
                <w:rFonts w:asciiTheme="minorHAnsi" w:hAnsiTheme="minorHAnsi"/>
                <w:spacing w:val="-3"/>
                <w:sz w:val="22"/>
                <w:szCs w:val="22"/>
              </w:rPr>
              <w:t xml:space="preserve"> </w:t>
            </w:r>
            <w:r w:rsidRPr="00CA6208">
              <w:rPr>
                <w:rFonts w:asciiTheme="minorHAnsi" w:hAnsiTheme="minorHAnsi"/>
                <w:sz w:val="22"/>
                <w:szCs w:val="22"/>
              </w:rPr>
              <w:t>a</w:t>
            </w:r>
            <w:r w:rsidRPr="00CA6208">
              <w:rPr>
                <w:rFonts w:asciiTheme="minorHAnsi" w:hAnsiTheme="minorHAnsi"/>
                <w:spacing w:val="-3"/>
                <w:sz w:val="22"/>
                <w:szCs w:val="22"/>
              </w:rPr>
              <w:t xml:space="preserve"> </w:t>
            </w:r>
            <w:r w:rsidRPr="00CA6208">
              <w:rPr>
                <w:rFonts w:asciiTheme="minorHAnsi" w:hAnsiTheme="minorHAnsi"/>
                <w:sz w:val="22"/>
                <w:szCs w:val="22"/>
              </w:rPr>
              <w:t>copy</w:t>
            </w:r>
            <w:r w:rsidRPr="00CA6208">
              <w:rPr>
                <w:rFonts w:asciiTheme="minorHAnsi" w:hAnsiTheme="minorHAnsi"/>
                <w:spacing w:val="-3"/>
                <w:sz w:val="22"/>
                <w:szCs w:val="22"/>
              </w:rPr>
              <w:t xml:space="preserve"> </w:t>
            </w:r>
            <w:r w:rsidRPr="00CA6208">
              <w:rPr>
                <w:rFonts w:asciiTheme="minorHAnsi" w:hAnsiTheme="minorHAnsi"/>
                <w:sz w:val="22"/>
                <w:szCs w:val="22"/>
              </w:rPr>
              <w:t>of</w:t>
            </w:r>
            <w:r w:rsidRPr="00CA6208">
              <w:rPr>
                <w:rFonts w:asciiTheme="minorHAnsi" w:hAnsiTheme="minorHAnsi"/>
                <w:spacing w:val="-3"/>
                <w:sz w:val="22"/>
                <w:szCs w:val="22"/>
              </w:rPr>
              <w:t xml:space="preserve"> </w:t>
            </w:r>
            <w:r w:rsidRPr="00CA6208">
              <w:rPr>
                <w:rFonts w:asciiTheme="minorHAnsi" w:hAnsiTheme="minorHAnsi"/>
                <w:sz w:val="22"/>
                <w:szCs w:val="22"/>
              </w:rPr>
              <w:t>the</w:t>
            </w:r>
            <w:r w:rsidRPr="00CA6208">
              <w:rPr>
                <w:rFonts w:asciiTheme="minorHAnsi" w:hAnsiTheme="minorHAnsi"/>
                <w:spacing w:val="-3"/>
                <w:sz w:val="22"/>
                <w:szCs w:val="22"/>
              </w:rPr>
              <w:t xml:space="preserve"> </w:t>
            </w:r>
            <w:r w:rsidRPr="00CA6208">
              <w:rPr>
                <w:rFonts w:asciiTheme="minorHAnsi" w:hAnsiTheme="minorHAnsi"/>
                <w:sz w:val="22"/>
                <w:szCs w:val="22"/>
              </w:rPr>
              <w:t>IPA</w:t>
            </w:r>
            <w:r w:rsidRPr="00CA6208">
              <w:rPr>
                <w:rFonts w:asciiTheme="minorHAnsi" w:hAnsiTheme="minorHAnsi"/>
                <w:spacing w:val="-3"/>
                <w:sz w:val="22"/>
                <w:szCs w:val="22"/>
              </w:rPr>
              <w:t xml:space="preserve"> </w:t>
            </w:r>
            <w:r w:rsidRPr="00CA6208">
              <w:rPr>
                <w:rFonts w:asciiTheme="minorHAnsi" w:hAnsiTheme="minorHAnsi"/>
                <w:sz w:val="22"/>
                <w:szCs w:val="22"/>
              </w:rPr>
              <w:t>True-up</w:t>
            </w:r>
            <w:r w:rsidRPr="00CA6208">
              <w:rPr>
                <w:rFonts w:asciiTheme="minorHAnsi" w:hAnsiTheme="minorHAnsi"/>
                <w:spacing w:val="-3"/>
                <w:sz w:val="22"/>
                <w:szCs w:val="22"/>
              </w:rPr>
              <w:t xml:space="preserve"> </w:t>
            </w:r>
            <w:r w:rsidRPr="00CA6208">
              <w:rPr>
                <w:rFonts w:asciiTheme="minorHAnsi" w:hAnsiTheme="minorHAnsi"/>
                <w:sz w:val="22"/>
                <w:szCs w:val="22"/>
              </w:rPr>
              <w:t>Statement.</w:t>
            </w:r>
            <w:r w:rsidRPr="00CA6208">
              <w:rPr>
                <w:rFonts w:asciiTheme="minorHAnsi" w:hAnsiTheme="minorHAnsi"/>
                <w:color w:val="FF0000"/>
                <w:sz w:val="22"/>
                <w:szCs w:val="22"/>
              </w:rPr>
              <w:t xml:space="preserve"> </w:t>
            </w:r>
          </w:p>
          <w:p w:rsidR="009848DB" w:rsidRPr="00CA6208" w:rsidRDefault="009848DB" w:rsidP="009848DB">
            <w:pPr>
              <w:pStyle w:val="BodyText"/>
              <w:tabs>
                <w:tab w:val="left" w:pos="480"/>
              </w:tabs>
              <w:spacing w:before="7" w:line="274" w:lineRule="exact"/>
              <w:ind w:left="480" w:right="440" w:firstLine="0"/>
              <w:rPr>
                <w:rFonts w:asciiTheme="minorHAnsi" w:hAnsiTheme="minorHAnsi"/>
                <w:sz w:val="22"/>
                <w:szCs w:val="22"/>
              </w:rPr>
            </w:pPr>
          </w:p>
        </w:tc>
        <w:tc>
          <w:tcPr>
            <w:tcW w:w="6660" w:type="dxa"/>
          </w:tcPr>
          <w:p w:rsidR="00F04CF1" w:rsidRPr="00314894" w:rsidRDefault="00F04CF1" w:rsidP="00F04CF1">
            <w:r w:rsidRPr="00314894">
              <w:t xml:space="preserve">Please see </w:t>
            </w:r>
            <w:r>
              <w:t>“</w:t>
            </w:r>
            <w:r w:rsidRPr="00314894">
              <w:t>Attachment 5</w:t>
            </w:r>
            <w:r>
              <w:t>a</w:t>
            </w:r>
            <w:r w:rsidRPr="00314894">
              <w:t>_IPP Summary of Power Sales and IPA True-up.pdf</w:t>
            </w:r>
            <w:r>
              <w:t>”</w:t>
            </w:r>
          </w:p>
          <w:p w:rsidR="009848DB" w:rsidRPr="00CA6208" w:rsidRDefault="009848DB" w:rsidP="004A7475"/>
        </w:tc>
      </w:tr>
      <w:tr w:rsidR="009848DB" w:rsidTr="00674E11">
        <w:tc>
          <w:tcPr>
            <w:tcW w:w="1350" w:type="dxa"/>
          </w:tcPr>
          <w:p w:rsidR="009848DB" w:rsidRPr="00CA6208" w:rsidRDefault="009848DB" w:rsidP="009848DB">
            <w:pPr>
              <w:jc w:val="center"/>
            </w:pPr>
            <w:r>
              <w:lastRenderedPageBreak/>
              <w:t>Burbank</w:t>
            </w:r>
            <w:r>
              <w:rPr>
                <w:spacing w:val="-3"/>
              </w:rPr>
              <w:t xml:space="preserve"> </w:t>
            </w:r>
            <w:r>
              <w:t>and</w:t>
            </w:r>
            <w:r>
              <w:rPr>
                <w:spacing w:val="-3"/>
              </w:rPr>
              <w:t xml:space="preserve"> </w:t>
            </w:r>
            <w:r>
              <w:t>Glendale</w:t>
            </w:r>
          </w:p>
        </w:tc>
        <w:tc>
          <w:tcPr>
            <w:tcW w:w="900" w:type="dxa"/>
          </w:tcPr>
          <w:p w:rsidR="009848DB" w:rsidRPr="00CA6208" w:rsidRDefault="009848DB" w:rsidP="009848DB">
            <w:pPr>
              <w:jc w:val="center"/>
            </w:pPr>
            <w:r w:rsidRPr="00CA6208">
              <w:t>5</w:t>
            </w:r>
            <w:r w:rsidR="005B60F6">
              <w:t>c</w:t>
            </w:r>
          </w:p>
        </w:tc>
        <w:tc>
          <w:tcPr>
            <w:tcW w:w="1440" w:type="dxa"/>
          </w:tcPr>
          <w:p w:rsidR="009848DB" w:rsidRPr="00CA6208" w:rsidRDefault="009848DB" w:rsidP="009848DB">
            <w:pPr>
              <w:jc w:val="center"/>
            </w:pPr>
            <w:r w:rsidRPr="00CA6208">
              <w:t>Exhibit: DWP-104</w:t>
            </w:r>
          </w:p>
          <w:p w:rsidR="009848DB" w:rsidRPr="00CA6208" w:rsidRDefault="009848DB" w:rsidP="009848DB">
            <w:pPr>
              <w:jc w:val="center"/>
            </w:pPr>
          </w:p>
          <w:p w:rsidR="009848DB" w:rsidRPr="00CA6208" w:rsidRDefault="009848DB" w:rsidP="009848DB">
            <w:pPr>
              <w:jc w:val="center"/>
            </w:pPr>
            <w:r w:rsidRPr="00CA6208">
              <w:t>Tab AL</w:t>
            </w:r>
          </w:p>
        </w:tc>
        <w:tc>
          <w:tcPr>
            <w:tcW w:w="1170" w:type="dxa"/>
          </w:tcPr>
          <w:p w:rsidR="009848DB" w:rsidRPr="00CA6208" w:rsidRDefault="00F04CF1" w:rsidP="009848DB">
            <w:r>
              <w:t>2.1.</w:t>
            </w:r>
            <w:r w:rsidRPr="00CA6208">
              <w:t>2017</w:t>
            </w:r>
            <w:r>
              <w:t>/2.9.2017</w:t>
            </w:r>
          </w:p>
        </w:tc>
        <w:tc>
          <w:tcPr>
            <w:tcW w:w="2700" w:type="dxa"/>
          </w:tcPr>
          <w:p w:rsidR="009848DB" w:rsidRPr="005B60F6" w:rsidRDefault="009848DB" w:rsidP="005B60F6">
            <w:pPr>
              <w:ind w:left="120"/>
              <w:rPr>
                <w:rFonts w:eastAsia="Times New Roman"/>
              </w:rPr>
            </w:pPr>
            <w:r w:rsidRPr="005B60F6">
              <w:rPr>
                <w:rFonts w:eastAsia="Times New Roman"/>
              </w:rPr>
              <w:t xml:space="preserve">Cells B211-B223 - Please provide references to FERC decisions in support of including fuel stocks in OATT rates. </w:t>
            </w:r>
          </w:p>
          <w:p w:rsidR="009848DB" w:rsidRPr="00CA6208" w:rsidRDefault="009848DB" w:rsidP="009848DB">
            <w:pPr>
              <w:pStyle w:val="BodyText"/>
              <w:tabs>
                <w:tab w:val="left" w:pos="480"/>
              </w:tabs>
              <w:spacing w:before="7" w:line="274" w:lineRule="exact"/>
              <w:ind w:left="480" w:right="440" w:firstLine="0"/>
              <w:rPr>
                <w:rFonts w:asciiTheme="minorHAnsi" w:hAnsiTheme="minorHAnsi"/>
                <w:sz w:val="22"/>
                <w:szCs w:val="22"/>
              </w:rPr>
            </w:pPr>
          </w:p>
        </w:tc>
        <w:tc>
          <w:tcPr>
            <w:tcW w:w="6660" w:type="dxa"/>
          </w:tcPr>
          <w:p w:rsidR="00F04CF1" w:rsidRPr="00C530F3" w:rsidRDefault="00F04CF1" w:rsidP="00F04CF1">
            <w:pPr>
              <w:autoSpaceDE w:val="0"/>
              <w:autoSpaceDN w:val="0"/>
              <w:adjustRightInd w:val="0"/>
            </w:pPr>
            <w:r w:rsidRPr="006C2798">
              <w:rPr>
                <w:i/>
              </w:rPr>
              <w:t>Southern California Edison Company</w:t>
            </w:r>
            <w:r w:rsidRPr="00C530F3">
              <w:t>, Opinion No. 359</w:t>
            </w:r>
            <w:r>
              <w:t>, 53 FERC ¶ 61,408 at pp. 62,418 – 62,419 (1990).</w:t>
            </w:r>
          </w:p>
          <w:p w:rsidR="009848DB" w:rsidRPr="00CA6208" w:rsidRDefault="009848DB" w:rsidP="004A7475"/>
        </w:tc>
      </w:tr>
      <w:tr w:rsidR="009848DB" w:rsidTr="00674E11">
        <w:tc>
          <w:tcPr>
            <w:tcW w:w="1350" w:type="dxa"/>
          </w:tcPr>
          <w:p w:rsidR="009848DB" w:rsidRPr="00CA6208" w:rsidRDefault="009848DB" w:rsidP="009848DB">
            <w:pPr>
              <w:jc w:val="center"/>
            </w:pPr>
            <w:r>
              <w:t>Burbank</w:t>
            </w:r>
            <w:r>
              <w:rPr>
                <w:spacing w:val="-3"/>
              </w:rPr>
              <w:t xml:space="preserve"> </w:t>
            </w:r>
            <w:r>
              <w:t>and</w:t>
            </w:r>
            <w:r>
              <w:rPr>
                <w:spacing w:val="-3"/>
              </w:rPr>
              <w:t xml:space="preserve"> </w:t>
            </w:r>
            <w:r>
              <w:t>Glendale</w:t>
            </w:r>
          </w:p>
        </w:tc>
        <w:tc>
          <w:tcPr>
            <w:tcW w:w="900" w:type="dxa"/>
          </w:tcPr>
          <w:p w:rsidR="009848DB" w:rsidRPr="00CA6208" w:rsidRDefault="009848DB" w:rsidP="009848DB">
            <w:pPr>
              <w:jc w:val="center"/>
            </w:pPr>
            <w:r w:rsidRPr="00CA6208">
              <w:t>5</w:t>
            </w:r>
            <w:r w:rsidR="005B60F6">
              <w:t>d</w:t>
            </w:r>
          </w:p>
        </w:tc>
        <w:tc>
          <w:tcPr>
            <w:tcW w:w="1440" w:type="dxa"/>
          </w:tcPr>
          <w:p w:rsidR="009848DB" w:rsidRPr="00CA6208" w:rsidRDefault="009848DB" w:rsidP="009848DB">
            <w:pPr>
              <w:jc w:val="center"/>
            </w:pPr>
            <w:r w:rsidRPr="00CA6208">
              <w:t>Exhibit: DWP-104</w:t>
            </w:r>
          </w:p>
          <w:p w:rsidR="009848DB" w:rsidRPr="00CA6208" w:rsidRDefault="009848DB" w:rsidP="009848DB">
            <w:pPr>
              <w:jc w:val="center"/>
            </w:pPr>
          </w:p>
          <w:p w:rsidR="009848DB" w:rsidRPr="00CA6208" w:rsidRDefault="009848DB" w:rsidP="009848DB">
            <w:pPr>
              <w:jc w:val="center"/>
            </w:pPr>
            <w:r w:rsidRPr="00CA6208">
              <w:t>Tab AL</w:t>
            </w:r>
          </w:p>
        </w:tc>
        <w:tc>
          <w:tcPr>
            <w:tcW w:w="1170" w:type="dxa"/>
          </w:tcPr>
          <w:p w:rsidR="009848DB" w:rsidRPr="00CA6208" w:rsidRDefault="00F04CF1" w:rsidP="009848DB">
            <w:r>
              <w:t>2.1.</w:t>
            </w:r>
            <w:r w:rsidRPr="00CA6208">
              <w:t>2017</w:t>
            </w:r>
            <w:r>
              <w:t>/2.9.2017</w:t>
            </w:r>
          </w:p>
        </w:tc>
        <w:tc>
          <w:tcPr>
            <w:tcW w:w="2700" w:type="dxa"/>
          </w:tcPr>
          <w:p w:rsidR="009848DB" w:rsidRPr="005B60F6" w:rsidRDefault="009848DB" w:rsidP="005B60F6">
            <w:pPr>
              <w:ind w:left="120"/>
              <w:rPr>
                <w:rFonts w:eastAsia="Times New Roman"/>
              </w:rPr>
            </w:pPr>
            <w:r w:rsidRPr="005B60F6">
              <w:rPr>
                <w:rFonts w:eastAsia="Times New Roman"/>
              </w:rPr>
              <w:t xml:space="preserve">Section B.5, rows 114-132 – Please provide documentation for the $35.5 million of “prepaid energy”. From </w:t>
            </w:r>
            <w:proofErr w:type="gramStart"/>
            <w:r w:rsidRPr="005B60F6">
              <w:rPr>
                <w:rFonts w:eastAsia="Times New Roman"/>
              </w:rPr>
              <w:t>whom</w:t>
            </w:r>
            <w:proofErr w:type="gramEnd"/>
            <w:r w:rsidRPr="005B60F6">
              <w:rPr>
                <w:rFonts w:eastAsia="Times New Roman"/>
              </w:rPr>
              <w:t xml:space="preserve"> was the energy purchased? For how long? Please provide the relevant contract(s) for the purchase of such prepaid energy. </w:t>
            </w:r>
          </w:p>
          <w:p w:rsidR="009848DB" w:rsidRPr="00CA6208" w:rsidRDefault="009848DB" w:rsidP="009848DB">
            <w:pPr>
              <w:pStyle w:val="BodyText"/>
              <w:tabs>
                <w:tab w:val="left" w:pos="480"/>
              </w:tabs>
              <w:spacing w:before="7" w:line="274" w:lineRule="exact"/>
              <w:ind w:left="480" w:right="440" w:firstLine="0"/>
              <w:rPr>
                <w:rFonts w:asciiTheme="minorHAnsi" w:hAnsiTheme="minorHAnsi"/>
                <w:sz w:val="22"/>
                <w:szCs w:val="22"/>
              </w:rPr>
            </w:pPr>
          </w:p>
        </w:tc>
        <w:tc>
          <w:tcPr>
            <w:tcW w:w="6660" w:type="dxa"/>
          </w:tcPr>
          <w:p w:rsidR="00F04CF1" w:rsidRDefault="00F04CF1" w:rsidP="00F04CF1">
            <w:r>
              <w:t>For the GL amounts supporting the $35.5 million please see “Attachment 5d_Prepaid Energy Query.”</w:t>
            </w:r>
          </w:p>
          <w:p w:rsidR="00F04CF1" w:rsidRDefault="00F04CF1" w:rsidP="00F04CF1"/>
          <w:p w:rsidR="009848DB" w:rsidRPr="00CA6208" w:rsidRDefault="00F04CF1" w:rsidP="00F04CF1">
            <w:r w:rsidRPr="00C530F3">
              <w:t>Per Section B.5, of the $35.5 million, $22.4 million is related with non</w:t>
            </w:r>
            <w:r>
              <w:t>-</w:t>
            </w:r>
            <w:r w:rsidRPr="00C530F3">
              <w:t xml:space="preserve">OATT service. The remaining $13.1 million is related </w:t>
            </w:r>
            <w:r>
              <w:t>to</w:t>
            </w:r>
            <w:r w:rsidRPr="00C530F3">
              <w:t xml:space="preserve"> OATT service and is prepaid energy associated with LADWP’s entitlement to IPP per the GL.</w:t>
            </w:r>
          </w:p>
        </w:tc>
      </w:tr>
      <w:tr w:rsidR="009848DB" w:rsidTr="00674E11">
        <w:tc>
          <w:tcPr>
            <w:tcW w:w="1350" w:type="dxa"/>
          </w:tcPr>
          <w:p w:rsidR="009848DB" w:rsidRPr="00CA6208" w:rsidRDefault="009848DB" w:rsidP="009848DB">
            <w:pPr>
              <w:jc w:val="center"/>
            </w:pPr>
            <w:r>
              <w:t>Burbank</w:t>
            </w:r>
            <w:r>
              <w:rPr>
                <w:spacing w:val="-3"/>
              </w:rPr>
              <w:t xml:space="preserve"> </w:t>
            </w:r>
            <w:r>
              <w:t>and</w:t>
            </w:r>
            <w:r>
              <w:rPr>
                <w:spacing w:val="-3"/>
              </w:rPr>
              <w:t xml:space="preserve"> </w:t>
            </w:r>
            <w:r>
              <w:t>Glendale</w:t>
            </w:r>
          </w:p>
        </w:tc>
        <w:tc>
          <w:tcPr>
            <w:tcW w:w="900" w:type="dxa"/>
          </w:tcPr>
          <w:p w:rsidR="009848DB" w:rsidRPr="00CA6208" w:rsidRDefault="009848DB" w:rsidP="009848DB">
            <w:pPr>
              <w:jc w:val="center"/>
            </w:pPr>
            <w:r w:rsidRPr="00CA6208">
              <w:t>5</w:t>
            </w:r>
            <w:r w:rsidR="005B60F6">
              <w:t>e</w:t>
            </w:r>
          </w:p>
        </w:tc>
        <w:tc>
          <w:tcPr>
            <w:tcW w:w="1440" w:type="dxa"/>
          </w:tcPr>
          <w:p w:rsidR="009848DB" w:rsidRPr="00CA6208" w:rsidRDefault="009848DB" w:rsidP="009848DB">
            <w:pPr>
              <w:jc w:val="center"/>
            </w:pPr>
            <w:r w:rsidRPr="00CA6208">
              <w:t>Exhibit: DWP-104</w:t>
            </w:r>
          </w:p>
          <w:p w:rsidR="009848DB" w:rsidRPr="00CA6208" w:rsidRDefault="009848DB" w:rsidP="009848DB">
            <w:pPr>
              <w:jc w:val="center"/>
            </w:pPr>
          </w:p>
          <w:p w:rsidR="009848DB" w:rsidRPr="00CA6208" w:rsidRDefault="009848DB" w:rsidP="009848DB">
            <w:pPr>
              <w:jc w:val="center"/>
            </w:pPr>
            <w:r w:rsidRPr="00CA6208">
              <w:t>Tab AL</w:t>
            </w:r>
          </w:p>
        </w:tc>
        <w:tc>
          <w:tcPr>
            <w:tcW w:w="1170" w:type="dxa"/>
          </w:tcPr>
          <w:p w:rsidR="009848DB" w:rsidRPr="00CA6208" w:rsidRDefault="00F04CF1" w:rsidP="009848DB">
            <w:r>
              <w:t>2.1.</w:t>
            </w:r>
            <w:r w:rsidRPr="00CA6208">
              <w:t>2017</w:t>
            </w:r>
            <w:r>
              <w:t>/2.9.2017</w:t>
            </w:r>
          </w:p>
        </w:tc>
        <w:tc>
          <w:tcPr>
            <w:tcW w:w="2700" w:type="dxa"/>
          </w:tcPr>
          <w:p w:rsidR="009848DB" w:rsidRPr="005B60F6" w:rsidRDefault="009848DB" w:rsidP="005B60F6">
            <w:pPr>
              <w:ind w:left="120"/>
              <w:rPr>
                <w:rFonts w:eastAsia="Times New Roman"/>
              </w:rPr>
            </w:pPr>
            <w:r w:rsidRPr="005B60F6">
              <w:rPr>
                <w:rFonts w:eastAsia="Times New Roman"/>
              </w:rPr>
              <w:t xml:space="preserve">Section D. Please provide documentation for “fuel stock”. </w:t>
            </w:r>
          </w:p>
          <w:p w:rsidR="009848DB" w:rsidRPr="00CA6208" w:rsidRDefault="009848DB" w:rsidP="009848DB">
            <w:pPr>
              <w:pStyle w:val="BodyText"/>
              <w:tabs>
                <w:tab w:val="left" w:pos="480"/>
              </w:tabs>
              <w:spacing w:before="7" w:line="274" w:lineRule="exact"/>
              <w:ind w:left="480" w:right="440" w:firstLine="0"/>
              <w:rPr>
                <w:rFonts w:asciiTheme="minorHAnsi" w:hAnsiTheme="minorHAnsi"/>
                <w:sz w:val="22"/>
                <w:szCs w:val="22"/>
              </w:rPr>
            </w:pPr>
          </w:p>
        </w:tc>
        <w:tc>
          <w:tcPr>
            <w:tcW w:w="6660" w:type="dxa"/>
          </w:tcPr>
          <w:p w:rsidR="00F04CF1" w:rsidRDefault="00F04CF1" w:rsidP="00F04CF1">
            <w:r>
              <w:t>For the GL query related to fuel stock, please see “Attachment 5e_Fuel Stock.xlsx”</w:t>
            </w:r>
          </w:p>
          <w:p w:rsidR="00F04CF1" w:rsidRDefault="00F04CF1" w:rsidP="00F04CF1"/>
          <w:p w:rsidR="00F04CF1" w:rsidRDefault="00F04CF1" w:rsidP="00F04CF1">
            <w:r>
              <w:t>Fuel stock in BL comes from the GL and is related to LADWP’s fuel oil and coal stock inventory.</w:t>
            </w:r>
          </w:p>
          <w:p w:rsidR="00B32CFB" w:rsidRDefault="00B32CFB" w:rsidP="00F04CF1"/>
          <w:p w:rsidR="00B32CFB" w:rsidRDefault="00B32CFB" w:rsidP="00F04CF1"/>
          <w:p w:rsidR="009848DB" w:rsidRPr="00CA6208" w:rsidRDefault="009848DB" w:rsidP="004A7475"/>
        </w:tc>
      </w:tr>
      <w:tr w:rsidR="00DF52F8" w:rsidTr="00674E11">
        <w:tc>
          <w:tcPr>
            <w:tcW w:w="1350" w:type="dxa"/>
          </w:tcPr>
          <w:p w:rsidR="00DF52F8" w:rsidRPr="00CA6208" w:rsidRDefault="00DF52F8" w:rsidP="004A7475">
            <w:pPr>
              <w:jc w:val="center"/>
            </w:pPr>
            <w:r>
              <w:lastRenderedPageBreak/>
              <w:t>Burbank</w:t>
            </w:r>
            <w:r>
              <w:rPr>
                <w:spacing w:val="-3"/>
              </w:rPr>
              <w:t xml:space="preserve"> </w:t>
            </w:r>
            <w:r>
              <w:t>and</w:t>
            </w:r>
            <w:r>
              <w:rPr>
                <w:spacing w:val="-3"/>
              </w:rPr>
              <w:t xml:space="preserve"> </w:t>
            </w:r>
            <w:r>
              <w:t>Glendale</w:t>
            </w:r>
          </w:p>
        </w:tc>
        <w:tc>
          <w:tcPr>
            <w:tcW w:w="900" w:type="dxa"/>
          </w:tcPr>
          <w:p w:rsidR="00DF52F8" w:rsidRPr="00CA6208" w:rsidRDefault="00DF52F8" w:rsidP="004A7475">
            <w:pPr>
              <w:jc w:val="center"/>
            </w:pPr>
            <w:r w:rsidRPr="00CA6208">
              <w:t>6</w:t>
            </w:r>
            <w:r w:rsidR="005B60F6">
              <w:t>a</w:t>
            </w:r>
          </w:p>
        </w:tc>
        <w:tc>
          <w:tcPr>
            <w:tcW w:w="1440" w:type="dxa"/>
          </w:tcPr>
          <w:p w:rsidR="00DF52F8" w:rsidRDefault="00DF52F8" w:rsidP="00406489">
            <w:pPr>
              <w:jc w:val="center"/>
            </w:pPr>
            <w:r w:rsidRPr="00CA6208">
              <w:t>Exhibit: DWP-104</w:t>
            </w:r>
          </w:p>
          <w:p w:rsidR="00DF52F8" w:rsidRDefault="00DF52F8" w:rsidP="00406489">
            <w:pPr>
              <w:jc w:val="center"/>
            </w:pPr>
          </w:p>
          <w:p w:rsidR="00DF52F8" w:rsidRPr="00CA6208" w:rsidRDefault="00DF52F8" w:rsidP="00406489">
            <w:pPr>
              <w:jc w:val="center"/>
            </w:pPr>
            <w:r w:rsidRPr="00CA6208">
              <w:t>Tab AU</w:t>
            </w:r>
          </w:p>
        </w:tc>
        <w:tc>
          <w:tcPr>
            <w:tcW w:w="1170" w:type="dxa"/>
          </w:tcPr>
          <w:p w:rsidR="00DF52F8" w:rsidRPr="00CA6208" w:rsidRDefault="00F0025B">
            <w:r>
              <w:t>2.1.</w:t>
            </w:r>
            <w:r w:rsidR="00DF52F8" w:rsidRPr="00CA6208">
              <w:t>2017</w:t>
            </w:r>
          </w:p>
        </w:tc>
        <w:tc>
          <w:tcPr>
            <w:tcW w:w="2700" w:type="dxa"/>
          </w:tcPr>
          <w:p w:rsidR="00DF52F8" w:rsidRDefault="00DF52F8" w:rsidP="004A7475">
            <w:r w:rsidRPr="00CA6208">
              <w:t>Cells G24-P29</w:t>
            </w:r>
            <w:r>
              <w:t xml:space="preserve"> – </w:t>
            </w:r>
          </w:p>
          <w:p w:rsidR="00DF52F8" w:rsidRPr="00CA6208" w:rsidRDefault="00DF52F8" w:rsidP="005B60F6">
            <w:pPr>
              <w:ind w:left="100"/>
            </w:pPr>
            <w:r w:rsidRPr="00CA6208">
              <w:t xml:space="preserve">Please provide documentation for all revenue credits, by source, type of service and specific amount of revenues. </w:t>
            </w:r>
          </w:p>
          <w:p w:rsidR="00DF52F8" w:rsidRPr="00CA6208" w:rsidRDefault="00DF52F8" w:rsidP="009848DB">
            <w:pPr>
              <w:ind w:left="460"/>
            </w:pPr>
          </w:p>
        </w:tc>
        <w:tc>
          <w:tcPr>
            <w:tcW w:w="6660" w:type="dxa"/>
          </w:tcPr>
          <w:p w:rsidR="00DF52F8" w:rsidRPr="00CA6208" w:rsidRDefault="00DF52F8" w:rsidP="004A7475"/>
        </w:tc>
      </w:tr>
      <w:tr w:rsidR="009848DB" w:rsidTr="00674E11">
        <w:tc>
          <w:tcPr>
            <w:tcW w:w="1350" w:type="dxa"/>
          </w:tcPr>
          <w:p w:rsidR="009848DB" w:rsidRPr="00CA6208" w:rsidRDefault="009848DB" w:rsidP="009848DB">
            <w:pPr>
              <w:jc w:val="center"/>
            </w:pPr>
            <w:r>
              <w:t>Burbank</w:t>
            </w:r>
            <w:r>
              <w:rPr>
                <w:spacing w:val="-3"/>
              </w:rPr>
              <w:t xml:space="preserve"> </w:t>
            </w:r>
            <w:r>
              <w:t>and</w:t>
            </w:r>
            <w:r>
              <w:rPr>
                <w:spacing w:val="-3"/>
              </w:rPr>
              <w:t xml:space="preserve"> </w:t>
            </w:r>
            <w:r>
              <w:t>Glendale</w:t>
            </w:r>
          </w:p>
        </w:tc>
        <w:tc>
          <w:tcPr>
            <w:tcW w:w="900" w:type="dxa"/>
          </w:tcPr>
          <w:p w:rsidR="009848DB" w:rsidRPr="00CA6208" w:rsidRDefault="009848DB" w:rsidP="009848DB">
            <w:pPr>
              <w:jc w:val="center"/>
            </w:pPr>
            <w:r w:rsidRPr="00CA6208">
              <w:t>6</w:t>
            </w:r>
            <w:r w:rsidR="005B60F6">
              <w:t>b</w:t>
            </w:r>
          </w:p>
        </w:tc>
        <w:tc>
          <w:tcPr>
            <w:tcW w:w="1440" w:type="dxa"/>
          </w:tcPr>
          <w:p w:rsidR="009848DB" w:rsidRDefault="009848DB" w:rsidP="009848DB">
            <w:pPr>
              <w:jc w:val="center"/>
            </w:pPr>
            <w:r w:rsidRPr="00CA6208">
              <w:t>Exhibit: DWP-104</w:t>
            </w:r>
          </w:p>
          <w:p w:rsidR="009848DB" w:rsidRDefault="009848DB" w:rsidP="009848DB">
            <w:pPr>
              <w:jc w:val="center"/>
            </w:pPr>
          </w:p>
          <w:p w:rsidR="009848DB" w:rsidRPr="00CA6208" w:rsidRDefault="009848DB" w:rsidP="009848DB">
            <w:pPr>
              <w:jc w:val="center"/>
            </w:pPr>
            <w:r w:rsidRPr="00CA6208">
              <w:t>Tab AU</w:t>
            </w:r>
          </w:p>
        </w:tc>
        <w:tc>
          <w:tcPr>
            <w:tcW w:w="1170" w:type="dxa"/>
          </w:tcPr>
          <w:p w:rsidR="009848DB" w:rsidRPr="00CA6208" w:rsidRDefault="009848DB" w:rsidP="009848DB">
            <w:r>
              <w:t>2.1.</w:t>
            </w:r>
            <w:r w:rsidRPr="00CA6208">
              <w:t>2017</w:t>
            </w:r>
          </w:p>
        </w:tc>
        <w:tc>
          <w:tcPr>
            <w:tcW w:w="2700" w:type="dxa"/>
          </w:tcPr>
          <w:p w:rsidR="009848DB" w:rsidRPr="00CA6208" w:rsidRDefault="009848DB" w:rsidP="005B60F6">
            <w:pPr>
              <w:ind w:left="100"/>
            </w:pPr>
            <w:r w:rsidRPr="00CA6208">
              <w:t xml:space="preserve">Please provide relevant contracts that support the sale of services that yield such credits.  </w:t>
            </w:r>
          </w:p>
          <w:p w:rsidR="009848DB" w:rsidRPr="00CA6208" w:rsidRDefault="009848DB" w:rsidP="004A7475"/>
        </w:tc>
        <w:tc>
          <w:tcPr>
            <w:tcW w:w="6660" w:type="dxa"/>
          </w:tcPr>
          <w:p w:rsidR="009848DB" w:rsidRPr="00CA6208" w:rsidRDefault="009848DB" w:rsidP="004A7475"/>
        </w:tc>
      </w:tr>
      <w:tr w:rsidR="00DF52F8" w:rsidTr="00674E11">
        <w:tc>
          <w:tcPr>
            <w:tcW w:w="1350" w:type="dxa"/>
          </w:tcPr>
          <w:p w:rsidR="00DF52F8" w:rsidRPr="00CA6208" w:rsidRDefault="00DF52F8" w:rsidP="004A7475">
            <w:pPr>
              <w:jc w:val="center"/>
            </w:pPr>
            <w:r>
              <w:t>Burbank</w:t>
            </w:r>
            <w:r>
              <w:rPr>
                <w:spacing w:val="-3"/>
              </w:rPr>
              <w:t xml:space="preserve"> </w:t>
            </w:r>
            <w:r>
              <w:t>and</w:t>
            </w:r>
            <w:r>
              <w:rPr>
                <w:spacing w:val="-3"/>
              </w:rPr>
              <w:t xml:space="preserve"> </w:t>
            </w:r>
            <w:r>
              <w:t>Glendale</w:t>
            </w:r>
          </w:p>
        </w:tc>
        <w:tc>
          <w:tcPr>
            <w:tcW w:w="900" w:type="dxa"/>
          </w:tcPr>
          <w:p w:rsidR="00DF52F8" w:rsidRPr="00CA6208" w:rsidRDefault="00DF52F8" w:rsidP="004A7475">
            <w:pPr>
              <w:jc w:val="center"/>
            </w:pPr>
            <w:r w:rsidRPr="00CA6208">
              <w:t>7</w:t>
            </w:r>
            <w:r w:rsidR="005B60F6">
              <w:t>a</w:t>
            </w:r>
          </w:p>
        </w:tc>
        <w:tc>
          <w:tcPr>
            <w:tcW w:w="1440" w:type="dxa"/>
          </w:tcPr>
          <w:p w:rsidR="00DF52F8" w:rsidRDefault="00DF52F8" w:rsidP="00406489">
            <w:pPr>
              <w:jc w:val="center"/>
            </w:pPr>
            <w:r w:rsidRPr="00CA6208">
              <w:t>Exhibit: DWP-104</w:t>
            </w:r>
          </w:p>
          <w:p w:rsidR="00DF52F8" w:rsidRDefault="00DF52F8" w:rsidP="00406489">
            <w:pPr>
              <w:jc w:val="center"/>
            </w:pPr>
          </w:p>
          <w:p w:rsidR="00DF52F8" w:rsidRPr="00CA6208" w:rsidRDefault="00DF52F8" w:rsidP="00406489">
            <w:pPr>
              <w:jc w:val="center"/>
            </w:pPr>
            <w:r w:rsidRPr="00CA6208">
              <w:t>Tab BB</w:t>
            </w:r>
          </w:p>
        </w:tc>
        <w:tc>
          <w:tcPr>
            <w:tcW w:w="1170" w:type="dxa"/>
          </w:tcPr>
          <w:p w:rsidR="00DF52F8" w:rsidRPr="00CA6208" w:rsidRDefault="00F0025B">
            <w:r>
              <w:t>2.1.</w:t>
            </w:r>
            <w:r w:rsidR="00DF52F8" w:rsidRPr="00CA6208">
              <w:t>2017</w:t>
            </w:r>
          </w:p>
        </w:tc>
        <w:tc>
          <w:tcPr>
            <w:tcW w:w="2700" w:type="dxa"/>
          </w:tcPr>
          <w:p w:rsidR="00DF52F8" w:rsidRPr="00CA6208" w:rsidRDefault="00DF52F8" w:rsidP="00B32CFB">
            <w:pPr>
              <w:ind w:left="100"/>
            </w:pPr>
            <w:r w:rsidRPr="00DE1357">
              <w:t xml:space="preserve">Cells C27-D38 - Please provide documentation for all amounts. For Long-Term Firm PTP </w:t>
            </w:r>
            <w:proofErr w:type="gramStart"/>
            <w:r w:rsidRPr="00DE1357">
              <w:t>amounts,</w:t>
            </w:r>
            <w:proofErr w:type="gramEnd"/>
            <w:r w:rsidRPr="00DE1357">
              <w:t xml:space="preserve"> please provide copies of service agreements.  </w:t>
            </w:r>
          </w:p>
        </w:tc>
        <w:tc>
          <w:tcPr>
            <w:tcW w:w="6660" w:type="dxa"/>
          </w:tcPr>
          <w:p w:rsidR="00DF52F8" w:rsidRPr="00CA6208" w:rsidRDefault="00DF52F8" w:rsidP="004A7475"/>
        </w:tc>
      </w:tr>
      <w:tr w:rsidR="009848DB" w:rsidTr="00674E11">
        <w:tc>
          <w:tcPr>
            <w:tcW w:w="1350" w:type="dxa"/>
          </w:tcPr>
          <w:p w:rsidR="009848DB" w:rsidRPr="00CA6208" w:rsidRDefault="009848DB" w:rsidP="009848DB">
            <w:pPr>
              <w:jc w:val="center"/>
            </w:pPr>
            <w:r>
              <w:t>Burbank</w:t>
            </w:r>
            <w:r>
              <w:rPr>
                <w:spacing w:val="-3"/>
              </w:rPr>
              <w:t xml:space="preserve"> </w:t>
            </w:r>
            <w:r>
              <w:t>and</w:t>
            </w:r>
            <w:r>
              <w:rPr>
                <w:spacing w:val="-3"/>
              </w:rPr>
              <w:t xml:space="preserve"> </w:t>
            </w:r>
            <w:r>
              <w:t>Glendale</w:t>
            </w:r>
          </w:p>
        </w:tc>
        <w:tc>
          <w:tcPr>
            <w:tcW w:w="900" w:type="dxa"/>
          </w:tcPr>
          <w:p w:rsidR="009848DB" w:rsidRPr="00CA6208" w:rsidRDefault="009848DB" w:rsidP="009848DB">
            <w:pPr>
              <w:jc w:val="center"/>
            </w:pPr>
            <w:r w:rsidRPr="00CA6208">
              <w:t>7</w:t>
            </w:r>
            <w:r w:rsidR="005B60F6">
              <w:t>b</w:t>
            </w:r>
          </w:p>
        </w:tc>
        <w:tc>
          <w:tcPr>
            <w:tcW w:w="1440" w:type="dxa"/>
          </w:tcPr>
          <w:p w:rsidR="009848DB" w:rsidRDefault="009848DB" w:rsidP="009848DB">
            <w:pPr>
              <w:jc w:val="center"/>
            </w:pPr>
            <w:r w:rsidRPr="00CA6208">
              <w:t>Exhibit: DWP-104</w:t>
            </w:r>
          </w:p>
          <w:p w:rsidR="009848DB" w:rsidRDefault="009848DB" w:rsidP="009848DB">
            <w:pPr>
              <w:jc w:val="center"/>
            </w:pPr>
          </w:p>
          <w:p w:rsidR="009848DB" w:rsidRPr="00CA6208" w:rsidRDefault="009848DB" w:rsidP="009848DB">
            <w:pPr>
              <w:jc w:val="center"/>
            </w:pPr>
            <w:r w:rsidRPr="00CA6208">
              <w:t>Tab BB</w:t>
            </w:r>
          </w:p>
        </w:tc>
        <w:tc>
          <w:tcPr>
            <w:tcW w:w="1170" w:type="dxa"/>
          </w:tcPr>
          <w:p w:rsidR="009848DB" w:rsidRPr="00CA6208" w:rsidRDefault="009848DB" w:rsidP="009848DB">
            <w:r>
              <w:t>2.1.</w:t>
            </w:r>
            <w:r w:rsidRPr="00CA6208">
              <w:t>2017</w:t>
            </w:r>
          </w:p>
        </w:tc>
        <w:tc>
          <w:tcPr>
            <w:tcW w:w="2700" w:type="dxa"/>
          </w:tcPr>
          <w:p w:rsidR="009848DB" w:rsidRPr="00DE1357" w:rsidRDefault="009848DB" w:rsidP="00B32CFB">
            <w:pPr>
              <w:ind w:left="100"/>
            </w:pPr>
            <w:r w:rsidRPr="00DE1357">
              <w:t xml:space="preserve">Column D - Are non-OATT or pre-OATT contract loads included in column D? If so, please provide copies of service agreements. If not, please explain why not.  </w:t>
            </w:r>
          </w:p>
        </w:tc>
        <w:tc>
          <w:tcPr>
            <w:tcW w:w="6660" w:type="dxa"/>
          </w:tcPr>
          <w:p w:rsidR="009848DB" w:rsidRPr="00CA6208" w:rsidRDefault="009848DB" w:rsidP="004A7475"/>
        </w:tc>
      </w:tr>
      <w:tr w:rsidR="009848DB" w:rsidTr="00674E11">
        <w:tc>
          <w:tcPr>
            <w:tcW w:w="1350" w:type="dxa"/>
          </w:tcPr>
          <w:p w:rsidR="009848DB" w:rsidRPr="00CA6208" w:rsidRDefault="009848DB" w:rsidP="009848DB">
            <w:pPr>
              <w:jc w:val="center"/>
            </w:pPr>
            <w:r>
              <w:lastRenderedPageBreak/>
              <w:t>Burbank</w:t>
            </w:r>
            <w:r>
              <w:rPr>
                <w:spacing w:val="-3"/>
              </w:rPr>
              <w:t xml:space="preserve"> </w:t>
            </w:r>
            <w:r>
              <w:t>and</w:t>
            </w:r>
            <w:r>
              <w:rPr>
                <w:spacing w:val="-3"/>
              </w:rPr>
              <w:t xml:space="preserve"> </w:t>
            </w:r>
            <w:r>
              <w:t>Glendale</w:t>
            </w:r>
          </w:p>
        </w:tc>
        <w:tc>
          <w:tcPr>
            <w:tcW w:w="900" w:type="dxa"/>
          </w:tcPr>
          <w:p w:rsidR="009848DB" w:rsidRPr="00CA6208" w:rsidRDefault="009848DB" w:rsidP="009848DB">
            <w:pPr>
              <w:jc w:val="center"/>
            </w:pPr>
            <w:r w:rsidRPr="00CA6208">
              <w:t>7</w:t>
            </w:r>
            <w:r w:rsidR="005B60F6">
              <w:t>c</w:t>
            </w:r>
          </w:p>
        </w:tc>
        <w:tc>
          <w:tcPr>
            <w:tcW w:w="1440" w:type="dxa"/>
          </w:tcPr>
          <w:p w:rsidR="009848DB" w:rsidRDefault="009848DB" w:rsidP="009848DB">
            <w:pPr>
              <w:jc w:val="center"/>
            </w:pPr>
            <w:r w:rsidRPr="00CA6208">
              <w:t>Exhibit: DWP-104</w:t>
            </w:r>
          </w:p>
          <w:p w:rsidR="009848DB" w:rsidRDefault="009848DB" w:rsidP="009848DB">
            <w:pPr>
              <w:jc w:val="center"/>
            </w:pPr>
          </w:p>
          <w:p w:rsidR="009848DB" w:rsidRPr="00CA6208" w:rsidRDefault="009848DB" w:rsidP="009848DB">
            <w:pPr>
              <w:jc w:val="center"/>
            </w:pPr>
            <w:r w:rsidRPr="00CA6208">
              <w:t>Tab BB</w:t>
            </w:r>
          </w:p>
        </w:tc>
        <w:tc>
          <w:tcPr>
            <w:tcW w:w="1170" w:type="dxa"/>
          </w:tcPr>
          <w:p w:rsidR="009848DB" w:rsidRPr="00CA6208" w:rsidRDefault="009848DB" w:rsidP="009848DB">
            <w:r>
              <w:t>2.1.</w:t>
            </w:r>
            <w:r w:rsidRPr="00CA6208">
              <w:t>2017</w:t>
            </w:r>
          </w:p>
        </w:tc>
        <w:tc>
          <w:tcPr>
            <w:tcW w:w="2700" w:type="dxa"/>
          </w:tcPr>
          <w:p w:rsidR="009848DB" w:rsidRPr="00DE1357" w:rsidRDefault="009848DB" w:rsidP="005B60F6">
            <w:pPr>
              <w:ind w:left="100"/>
            </w:pPr>
            <w:r w:rsidRPr="00DE1357">
              <w:t xml:space="preserve">Please provide a definition of LA’s “Peak Load”. Please confirm that this is LADWP’s “retail load”. If not, please explain any differences between Peak Load and LADWP’s “retail load”.  </w:t>
            </w:r>
          </w:p>
          <w:p w:rsidR="009848DB" w:rsidRPr="00DE1357" w:rsidRDefault="009848DB" w:rsidP="009848DB">
            <w:pPr>
              <w:ind w:left="460"/>
            </w:pPr>
          </w:p>
        </w:tc>
        <w:tc>
          <w:tcPr>
            <w:tcW w:w="6660" w:type="dxa"/>
          </w:tcPr>
          <w:p w:rsidR="009848DB" w:rsidRPr="00CA6208" w:rsidRDefault="009848DB" w:rsidP="004A7475"/>
        </w:tc>
      </w:tr>
      <w:tr w:rsidR="009848DB" w:rsidTr="00674E11">
        <w:tc>
          <w:tcPr>
            <w:tcW w:w="1350" w:type="dxa"/>
          </w:tcPr>
          <w:p w:rsidR="009848DB" w:rsidRPr="00CA6208" w:rsidRDefault="009848DB" w:rsidP="009848DB">
            <w:pPr>
              <w:jc w:val="center"/>
            </w:pPr>
            <w:r>
              <w:t>Burbank</w:t>
            </w:r>
            <w:r>
              <w:rPr>
                <w:spacing w:val="-3"/>
              </w:rPr>
              <w:t xml:space="preserve"> </w:t>
            </w:r>
            <w:r>
              <w:t>and</w:t>
            </w:r>
            <w:r>
              <w:rPr>
                <w:spacing w:val="-3"/>
              </w:rPr>
              <w:t xml:space="preserve"> </w:t>
            </w:r>
            <w:r>
              <w:t>Glendale</w:t>
            </w:r>
          </w:p>
        </w:tc>
        <w:tc>
          <w:tcPr>
            <w:tcW w:w="900" w:type="dxa"/>
          </w:tcPr>
          <w:p w:rsidR="009848DB" w:rsidRPr="00CA6208" w:rsidRDefault="009848DB" w:rsidP="009848DB">
            <w:pPr>
              <w:jc w:val="center"/>
            </w:pPr>
            <w:r w:rsidRPr="00CA6208">
              <w:t>7</w:t>
            </w:r>
            <w:r w:rsidR="005B60F6">
              <w:t>d</w:t>
            </w:r>
          </w:p>
        </w:tc>
        <w:tc>
          <w:tcPr>
            <w:tcW w:w="1440" w:type="dxa"/>
          </w:tcPr>
          <w:p w:rsidR="009848DB" w:rsidRDefault="009848DB" w:rsidP="009848DB">
            <w:pPr>
              <w:jc w:val="center"/>
            </w:pPr>
            <w:r w:rsidRPr="00CA6208">
              <w:t>Exhibit: DWP-104</w:t>
            </w:r>
          </w:p>
          <w:p w:rsidR="009848DB" w:rsidRDefault="009848DB" w:rsidP="009848DB">
            <w:pPr>
              <w:jc w:val="center"/>
            </w:pPr>
          </w:p>
          <w:p w:rsidR="009848DB" w:rsidRPr="00CA6208" w:rsidRDefault="009848DB" w:rsidP="009848DB">
            <w:pPr>
              <w:jc w:val="center"/>
            </w:pPr>
            <w:r w:rsidRPr="00CA6208">
              <w:t>Tab BB</w:t>
            </w:r>
          </w:p>
        </w:tc>
        <w:tc>
          <w:tcPr>
            <w:tcW w:w="1170" w:type="dxa"/>
          </w:tcPr>
          <w:p w:rsidR="009848DB" w:rsidRPr="00CA6208" w:rsidRDefault="009848DB" w:rsidP="009848DB">
            <w:r>
              <w:t>2.1.</w:t>
            </w:r>
            <w:r w:rsidRPr="00CA6208">
              <w:t>2017</w:t>
            </w:r>
          </w:p>
        </w:tc>
        <w:tc>
          <w:tcPr>
            <w:tcW w:w="2700" w:type="dxa"/>
          </w:tcPr>
          <w:p w:rsidR="009848DB" w:rsidRPr="00DE1357" w:rsidRDefault="009848DB" w:rsidP="005B60F6">
            <w:pPr>
              <w:ind w:left="100"/>
            </w:pPr>
            <w:r w:rsidRPr="00DE1357">
              <w:t xml:space="preserve">Please provide copies of all PTP contracts used to calculate amounts in Column D.  </w:t>
            </w:r>
          </w:p>
          <w:p w:rsidR="009848DB" w:rsidRPr="00DE1357" w:rsidRDefault="009848DB" w:rsidP="009848DB">
            <w:pPr>
              <w:ind w:left="460"/>
            </w:pPr>
          </w:p>
        </w:tc>
        <w:tc>
          <w:tcPr>
            <w:tcW w:w="6660" w:type="dxa"/>
          </w:tcPr>
          <w:p w:rsidR="009848DB" w:rsidRPr="00CA6208" w:rsidRDefault="009848DB" w:rsidP="004A7475"/>
        </w:tc>
      </w:tr>
      <w:tr w:rsidR="009848DB" w:rsidTr="00674E11">
        <w:tc>
          <w:tcPr>
            <w:tcW w:w="1350" w:type="dxa"/>
          </w:tcPr>
          <w:p w:rsidR="009848DB" w:rsidRPr="00CA6208" w:rsidRDefault="009848DB" w:rsidP="009848DB">
            <w:pPr>
              <w:jc w:val="center"/>
            </w:pPr>
            <w:r>
              <w:t>Burbank</w:t>
            </w:r>
            <w:r>
              <w:rPr>
                <w:spacing w:val="-3"/>
              </w:rPr>
              <w:t xml:space="preserve"> </w:t>
            </w:r>
            <w:r>
              <w:t>and</w:t>
            </w:r>
            <w:r>
              <w:rPr>
                <w:spacing w:val="-3"/>
              </w:rPr>
              <w:t xml:space="preserve"> </w:t>
            </w:r>
            <w:r>
              <w:t>Glendale</w:t>
            </w:r>
          </w:p>
        </w:tc>
        <w:tc>
          <w:tcPr>
            <w:tcW w:w="900" w:type="dxa"/>
          </w:tcPr>
          <w:p w:rsidR="009848DB" w:rsidRPr="00CA6208" w:rsidRDefault="009848DB" w:rsidP="009848DB">
            <w:pPr>
              <w:jc w:val="center"/>
            </w:pPr>
            <w:r w:rsidRPr="00CA6208">
              <w:t>7</w:t>
            </w:r>
            <w:r w:rsidR="005B60F6">
              <w:t>e</w:t>
            </w:r>
          </w:p>
        </w:tc>
        <w:tc>
          <w:tcPr>
            <w:tcW w:w="1440" w:type="dxa"/>
          </w:tcPr>
          <w:p w:rsidR="009848DB" w:rsidRDefault="009848DB" w:rsidP="009848DB">
            <w:pPr>
              <w:jc w:val="center"/>
            </w:pPr>
            <w:r w:rsidRPr="00CA6208">
              <w:t>Exhibit: DWP-104</w:t>
            </w:r>
          </w:p>
          <w:p w:rsidR="009848DB" w:rsidRDefault="009848DB" w:rsidP="009848DB">
            <w:pPr>
              <w:jc w:val="center"/>
            </w:pPr>
          </w:p>
          <w:p w:rsidR="009848DB" w:rsidRPr="00CA6208" w:rsidRDefault="009848DB" w:rsidP="009848DB">
            <w:pPr>
              <w:jc w:val="center"/>
            </w:pPr>
            <w:r w:rsidRPr="00CA6208">
              <w:t>Tab BB</w:t>
            </w:r>
          </w:p>
        </w:tc>
        <w:tc>
          <w:tcPr>
            <w:tcW w:w="1170" w:type="dxa"/>
          </w:tcPr>
          <w:p w:rsidR="009848DB" w:rsidRPr="00CA6208" w:rsidRDefault="009848DB" w:rsidP="009848DB">
            <w:r>
              <w:t>2.1.</w:t>
            </w:r>
            <w:r w:rsidRPr="00CA6208">
              <w:t>2017</w:t>
            </w:r>
          </w:p>
        </w:tc>
        <w:tc>
          <w:tcPr>
            <w:tcW w:w="2700" w:type="dxa"/>
          </w:tcPr>
          <w:p w:rsidR="009848DB" w:rsidRDefault="009848DB" w:rsidP="005B60F6">
            <w:pPr>
              <w:ind w:left="100"/>
            </w:pPr>
            <w:r w:rsidRPr="00DE1357">
              <w:t xml:space="preserve">Please identify which PTP contract demand went away on January 1 of the test year.  </w:t>
            </w:r>
          </w:p>
          <w:p w:rsidR="009848DB" w:rsidRPr="00DE1357" w:rsidRDefault="009848DB" w:rsidP="009848DB">
            <w:pPr>
              <w:ind w:left="460"/>
            </w:pPr>
          </w:p>
        </w:tc>
        <w:tc>
          <w:tcPr>
            <w:tcW w:w="6660" w:type="dxa"/>
          </w:tcPr>
          <w:p w:rsidR="009848DB" w:rsidRPr="00CA6208" w:rsidRDefault="009848DB" w:rsidP="004A7475"/>
        </w:tc>
      </w:tr>
      <w:tr w:rsidR="009848DB" w:rsidTr="00674E11">
        <w:tc>
          <w:tcPr>
            <w:tcW w:w="1350" w:type="dxa"/>
          </w:tcPr>
          <w:p w:rsidR="009848DB" w:rsidRPr="00CA6208" w:rsidRDefault="009848DB" w:rsidP="009848DB">
            <w:pPr>
              <w:jc w:val="center"/>
            </w:pPr>
            <w:r>
              <w:t>Burbank</w:t>
            </w:r>
            <w:r>
              <w:rPr>
                <w:spacing w:val="-3"/>
              </w:rPr>
              <w:t xml:space="preserve"> </w:t>
            </w:r>
            <w:r>
              <w:t>and</w:t>
            </w:r>
            <w:r>
              <w:rPr>
                <w:spacing w:val="-3"/>
              </w:rPr>
              <w:t xml:space="preserve"> </w:t>
            </w:r>
            <w:r>
              <w:t>Glendale</w:t>
            </w:r>
          </w:p>
        </w:tc>
        <w:tc>
          <w:tcPr>
            <w:tcW w:w="900" w:type="dxa"/>
          </w:tcPr>
          <w:p w:rsidR="009848DB" w:rsidRPr="00CA6208" w:rsidRDefault="009848DB" w:rsidP="009848DB">
            <w:pPr>
              <w:jc w:val="center"/>
            </w:pPr>
            <w:r w:rsidRPr="00CA6208">
              <w:t>7</w:t>
            </w:r>
            <w:r w:rsidR="005B60F6">
              <w:t>f</w:t>
            </w:r>
          </w:p>
        </w:tc>
        <w:tc>
          <w:tcPr>
            <w:tcW w:w="1440" w:type="dxa"/>
          </w:tcPr>
          <w:p w:rsidR="009848DB" w:rsidRDefault="009848DB" w:rsidP="009848DB">
            <w:pPr>
              <w:jc w:val="center"/>
            </w:pPr>
            <w:r w:rsidRPr="00CA6208">
              <w:t>Exhibit: DWP-104</w:t>
            </w:r>
          </w:p>
          <w:p w:rsidR="009848DB" w:rsidRDefault="009848DB" w:rsidP="009848DB">
            <w:pPr>
              <w:jc w:val="center"/>
            </w:pPr>
          </w:p>
          <w:p w:rsidR="009848DB" w:rsidRPr="00CA6208" w:rsidRDefault="009848DB" w:rsidP="009848DB">
            <w:pPr>
              <w:jc w:val="center"/>
            </w:pPr>
            <w:r w:rsidRPr="00CA6208">
              <w:t>Tab BB</w:t>
            </w:r>
          </w:p>
        </w:tc>
        <w:tc>
          <w:tcPr>
            <w:tcW w:w="1170" w:type="dxa"/>
          </w:tcPr>
          <w:p w:rsidR="009848DB" w:rsidRPr="00CA6208" w:rsidRDefault="009848DB" w:rsidP="009848DB">
            <w:r>
              <w:t>2.1.</w:t>
            </w:r>
            <w:r w:rsidRPr="00CA6208">
              <w:t>2017</w:t>
            </w:r>
          </w:p>
        </w:tc>
        <w:tc>
          <w:tcPr>
            <w:tcW w:w="2700" w:type="dxa"/>
          </w:tcPr>
          <w:p w:rsidR="009848DB" w:rsidRPr="00DE1357" w:rsidRDefault="009848DB" w:rsidP="00B32CFB">
            <w:pPr>
              <w:ind w:left="100"/>
            </w:pPr>
            <w:r w:rsidRPr="00DE1357">
              <w:t xml:space="preserve">Please affirm that non-OATT contract demands are included in the “PTP contract” summary. If not, please explain why not.  </w:t>
            </w:r>
          </w:p>
        </w:tc>
        <w:tc>
          <w:tcPr>
            <w:tcW w:w="6660" w:type="dxa"/>
          </w:tcPr>
          <w:p w:rsidR="009848DB" w:rsidRPr="00CA6208" w:rsidRDefault="009848DB" w:rsidP="004A7475"/>
        </w:tc>
      </w:tr>
      <w:tr w:rsidR="00DF52F8" w:rsidTr="00674E11">
        <w:tc>
          <w:tcPr>
            <w:tcW w:w="1350" w:type="dxa"/>
          </w:tcPr>
          <w:p w:rsidR="00DF52F8" w:rsidRPr="00CA6208" w:rsidRDefault="00DF52F8" w:rsidP="004A7475">
            <w:pPr>
              <w:jc w:val="center"/>
            </w:pPr>
            <w:r>
              <w:t>Burbank</w:t>
            </w:r>
            <w:r>
              <w:rPr>
                <w:spacing w:val="-3"/>
              </w:rPr>
              <w:t xml:space="preserve"> </w:t>
            </w:r>
            <w:r>
              <w:t>and</w:t>
            </w:r>
            <w:r>
              <w:rPr>
                <w:spacing w:val="-3"/>
              </w:rPr>
              <w:t xml:space="preserve"> </w:t>
            </w:r>
            <w:r>
              <w:t>Glendale</w:t>
            </w:r>
          </w:p>
        </w:tc>
        <w:tc>
          <w:tcPr>
            <w:tcW w:w="900" w:type="dxa"/>
          </w:tcPr>
          <w:p w:rsidR="00DF52F8" w:rsidRPr="00CA6208" w:rsidRDefault="00DF52F8" w:rsidP="004A7475">
            <w:pPr>
              <w:jc w:val="center"/>
            </w:pPr>
            <w:r w:rsidRPr="00CA6208">
              <w:t>8</w:t>
            </w:r>
            <w:r w:rsidR="005B60F6">
              <w:t>a</w:t>
            </w:r>
          </w:p>
        </w:tc>
        <w:tc>
          <w:tcPr>
            <w:tcW w:w="1440" w:type="dxa"/>
          </w:tcPr>
          <w:p w:rsidR="00DF52F8" w:rsidRDefault="00DF52F8" w:rsidP="00406489">
            <w:pPr>
              <w:jc w:val="center"/>
            </w:pPr>
            <w:r w:rsidRPr="00CA6208">
              <w:t>Exhibit: DWP-104</w:t>
            </w:r>
          </w:p>
          <w:p w:rsidR="00DF52F8" w:rsidRDefault="00DF52F8" w:rsidP="00406489">
            <w:pPr>
              <w:jc w:val="center"/>
            </w:pPr>
          </w:p>
          <w:p w:rsidR="00DF52F8" w:rsidRPr="00CA6208" w:rsidRDefault="00DF52F8" w:rsidP="00406489">
            <w:pPr>
              <w:jc w:val="center"/>
            </w:pPr>
            <w:r w:rsidRPr="00DE1357">
              <w:t>Tab BK</w:t>
            </w:r>
          </w:p>
        </w:tc>
        <w:tc>
          <w:tcPr>
            <w:tcW w:w="1170" w:type="dxa"/>
          </w:tcPr>
          <w:p w:rsidR="00DF52F8" w:rsidRPr="00CA6208" w:rsidRDefault="00F0025B">
            <w:r>
              <w:lastRenderedPageBreak/>
              <w:t>2.1.</w:t>
            </w:r>
            <w:r w:rsidR="00DF52F8" w:rsidRPr="00CA6208">
              <w:t>2017</w:t>
            </w:r>
          </w:p>
        </w:tc>
        <w:tc>
          <w:tcPr>
            <w:tcW w:w="2700" w:type="dxa"/>
          </w:tcPr>
          <w:p w:rsidR="00DF52F8" w:rsidRPr="00DE1357" w:rsidRDefault="00DF52F8" w:rsidP="005B60F6">
            <w:pPr>
              <w:ind w:left="100"/>
            </w:pPr>
            <w:r w:rsidRPr="00DE1357">
              <w:t xml:space="preserve">Cell F294 - Please provide documentation for all </w:t>
            </w:r>
            <w:r w:rsidRPr="00DE1357">
              <w:lastRenderedPageBreak/>
              <w:t xml:space="preserve">revenue credits received from LADWP Wholesale Marketing – Short-term, including but not limited to internal memoranda and e- mail records.  </w:t>
            </w:r>
          </w:p>
          <w:p w:rsidR="00DF52F8" w:rsidRPr="00CA6208" w:rsidRDefault="00DF52F8" w:rsidP="009848DB">
            <w:pPr>
              <w:ind w:left="460"/>
            </w:pPr>
          </w:p>
        </w:tc>
        <w:tc>
          <w:tcPr>
            <w:tcW w:w="6660" w:type="dxa"/>
          </w:tcPr>
          <w:p w:rsidR="00DF52F8" w:rsidRPr="00CA6208" w:rsidRDefault="00DF52F8" w:rsidP="004A7475"/>
        </w:tc>
      </w:tr>
      <w:tr w:rsidR="009848DB" w:rsidTr="00674E11">
        <w:tc>
          <w:tcPr>
            <w:tcW w:w="1350" w:type="dxa"/>
          </w:tcPr>
          <w:p w:rsidR="009848DB" w:rsidRPr="00CA6208" w:rsidRDefault="009848DB" w:rsidP="009848DB">
            <w:pPr>
              <w:jc w:val="center"/>
            </w:pPr>
            <w:r>
              <w:lastRenderedPageBreak/>
              <w:t>Burbank</w:t>
            </w:r>
            <w:r>
              <w:rPr>
                <w:spacing w:val="-3"/>
              </w:rPr>
              <w:t xml:space="preserve"> </w:t>
            </w:r>
            <w:r>
              <w:t>and</w:t>
            </w:r>
            <w:r>
              <w:rPr>
                <w:spacing w:val="-3"/>
              </w:rPr>
              <w:t xml:space="preserve"> </w:t>
            </w:r>
            <w:r>
              <w:t>Glendale</w:t>
            </w:r>
          </w:p>
        </w:tc>
        <w:tc>
          <w:tcPr>
            <w:tcW w:w="900" w:type="dxa"/>
          </w:tcPr>
          <w:p w:rsidR="009848DB" w:rsidRPr="00CA6208" w:rsidRDefault="009848DB" w:rsidP="009848DB">
            <w:pPr>
              <w:jc w:val="center"/>
            </w:pPr>
            <w:r w:rsidRPr="00CA6208">
              <w:t>8</w:t>
            </w:r>
            <w:r w:rsidR="005B60F6">
              <w:t>b</w:t>
            </w:r>
          </w:p>
        </w:tc>
        <w:tc>
          <w:tcPr>
            <w:tcW w:w="1440" w:type="dxa"/>
          </w:tcPr>
          <w:p w:rsidR="009848DB" w:rsidRDefault="009848DB" w:rsidP="009848DB">
            <w:pPr>
              <w:jc w:val="center"/>
            </w:pPr>
            <w:r w:rsidRPr="00CA6208">
              <w:t>Exhibit: DWP-104</w:t>
            </w:r>
          </w:p>
          <w:p w:rsidR="009848DB" w:rsidRDefault="009848DB" w:rsidP="009848DB">
            <w:pPr>
              <w:jc w:val="center"/>
            </w:pPr>
          </w:p>
          <w:p w:rsidR="009848DB" w:rsidRPr="00CA6208" w:rsidRDefault="009848DB" w:rsidP="009848DB">
            <w:pPr>
              <w:jc w:val="center"/>
            </w:pPr>
            <w:r w:rsidRPr="00DE1357">
              <w:t>Tab BK</w:t>
            </w:r>
          </w:p>
        </w:tc>
        <w:tc>
          <w:tcPr>
            <w:tcW w:w="1170" w:type="dxa"/>
          </w:tcPr>
          <w:p w:rsidR="009848DB" w:rsidRPr="00CA6208" w:rsidRDefault="009848DB" w:rsidP="009848DB">
            <w:r>
              <w:t>2.1.</w:t>
            </w:r>
            <w:r w:rsidRPr="00CA6208">
              <w:t>2017</w:t>
            </w:r>
          </w:p>
        </w:tc>
        <w:tc>
          <w:tcPr>
            <w:tcW w:w="2700" w:type="dxa"/>
          </w:tcPr>
          <w:p w:rsidR="009848DB" w:rsidRPr="00DE1357" w:rsidRDefault="009848DB" w:rsidP="005B60F6">
            <w:pPr>
              <w:ind w:left="100"/>
            </w:pPr>
            <w:r w:rsidRPr="00DE1357">
              <w:t xml:space="preserve">Cell F297 - Please provide documentation for all OATT Service – Short-Term revenue credits. </w:t>
            </w:r>
          </w:p>
          <w:p w:rsidR="009848DB" w:rsidRPr="00DE1357" w:rsidRDefault="009848DB" w:rsidP="009848DB">
            <w:pPr>
              <w:ind w:left="460"/>
            </w:pPr>
          </w:p>
        </w:tc>
        <w:tc>
          <w:tcPr>
            <w:tcW w:w="6660" w:type="dxa"/>
          </w:tcPr>
          <w:p w:rsidR="009848DB" w:rsidRPr="00CA6208" w:rsidRDefault="009848DB" w:rsidP="004A7475"/>
        </w:tc>
      </w:tr>
      <w:tr w:rsidR="009848DB" w:rsidTr="00674E11">
        <w:tc>
          <w:tcPr>
            <w:tcW w:w="1350" w:type="dxa"/>
          </w:tcPr>
          <w:p w:rsidR="009848DB" w:rsidRPr="00CA6208" w:rsidRDefault="009848DB" w:rsidP="009848DB">
            <w:pPr>
              <w:jc w:val="center"/>
            </w:pPr>
            <w:r>
              <w:t>Burbank</w:t>
            </w:r>
            <w:r>
              <w:rPr>
                <w:spacing w:val="-3"/>
              </w:rPr>
              <w:t xml:space="preserve"> </w:t>
            </w:r>
            <w:r>
              <w:t>and</w:t>
            </w:r>
            <w:r>
              <w:rPr>
                <w:spacing w:val="-3"/>
              </w:rPr>
              <w:t xml:space="preserve"> </w:t>
            </w:r>
            <w:r>
              <w:t>Glendale</w:t>
            </w:r>
          </w:p>
        </w:tc>
        <w:tc>
          <w:tcPr>
            <w:tcW w:w="900" w:type="dxa"/>
          </w:tcPr>
          <w:p w:rsidR="009848DB" w:rsidRPr="00CA6208" w:rsidRDefault="009848DB" w:rsidP="009848DB">
            <w:pPr>
              <w:jc w:val="center"/>
            </w:pPr>
            <w:r w:rsidRPr="00CA6208">
              <w:t>8</w:t>
            </w:r>
            <w:r w:rsidR="005B60F6">
              <w:t>c</w:t>
            </w:r>
          </w:p>
        </w:tc>
        <w:tc>
          <w:tcPr>
            <w:tcW w:w="1440" w:type="dxa"/>
          </w:tcPr>
          <w:p w:rsidR="009848DB" w:rsidRDefault="009848DB" w:rsidP="009848DB">
            <w:pPr>
              <w:jc w:val="center"/>
            </w:pPr>
            <w:r w:rsidRPr="00CA6208">
              <w:t>Exhibit: DWP-104</w:t>
            </w:r>
          </w:p>
          <w:p w:rsidR="009848DB" w:rsidRDefault="009848DB" w:rsidP="009848DB">
            <w:pPr>
              <w:jc w:val="center"/>
            </w:pPr>
          </w:p>
          <w:p w:rsidR="009848DB" w:rsidRPr="00CA6208" w:rsidRDefault="009848DB" w:rsidP="009848DB">
            <w:pPr>
              <w:jc w:val="center"/>
            </w:pPr>
            <w:r w:rsidRPr="00DE1357">
              <w:t>Tab BK</w:t>
            </w:r>
          </w:p>
        </w:tc>
        <w:tc>
          <w:tcPr>
            <w:tcW w:w="1170" w:type="dxa"/>
          </w:tcPr>
          <w:p w:rsidR="009848DB" w:rsidRPr="00CA6208" w:rsidRDefault="009848DB" w:rsidP="009848DB">
            <w:r>
              <w:t>2.1.</w:t>
            </w:r>
            <w:r w:rsidRPr="00CA6208">
              <w:t>2017</w:t>
            </w:r>
          </w:p>
        </w:tc>
        <w:tc>
          <w:tcPr>
            <w:tcW w:w="2700" w:type="dxa"/>
          </w:tcPr>
          <w:p w:rsidR="009848DB" w:rsidRPr="00DE1357" w:rsidRDefault="009848DB" w:rsidP="005B60F6">
            <w:pPr>
              <w:ind w:left="100"/>
            </w:pPr>
            <w:r w:rsidRPr="00DE1357">
              <w:t xml:space="preserve">Cells F339, F385, F430 - Please explain the lack of revenue credits from LADWP Wholesale Marketing – Short-Term.  </w:t>
            </w:r>
          </w:p>
          <w:p w:rsidR="009848DB" w:rsidRPr="00DE1357" w:rsidRDefault="009848DB" w:rsidP="009848DB">
            <w:pPr>
              <w:ind w:left="460"/>
            </w:pPr>
          </w:p>
        </w:tc>
        <w:tc>
          <w:tcPr>
            <w:tcW w:w="6660" w:type="dxa"/>
          </w:tcPr>
          <w:p w:rsidR="009848DB" w:rsidRPr="00CA6208" w:rsidRDefault="009848DB" w:rsidP="004A7475"/>
        </w:tc>
      </w:tr>
      <w:tr w:rsidR="009848DB" w:rsidTr="00674E11">
        <w:tc>
          <w:tcPr>
            <w:tcW w:w="1350" w:type="dxa"/>
          </w:tcPr>
          <w:p w:rsidR="009848DB" w:rsidRPr="00CA6208" w:rsidRDefault="009848DB" w:rsidP="009848DB">
            <w:pPr>
              <w:jc w:val="center"/>
            </w:pPr>
            <w:r>
              <w:t>Burbank</w:t>
            </w:r>
            <w:r>
              <w:rPr>
                <w:spacing w:val="-3"/>
              </w:rPr>
              <w:t xml:space="preserve"> </w:t>
            </w:r>
            <w:r>
              <w:t>and</w:t>
            </w:r>
            <w:r>
              <w:rPr>
                <w:spacing w:val="-3"/>
              </w:rPr>
              <w:t xml:space="preserve"> </w:t>
            </w:r>
            <w:r>
              <w:t>Glendale</w:t>
            </w:r>
          </w:p>
        </w:tc>
        <w:tc>
          <w:tcPr>
            <w:tcW w:w="900" w:type="dxa"/>
          </w:tcPr>
          <w:p w:rsidR="009848DB" w:rsidRPr="00CA6208" w:rsidRDefault="009848DB" w:rsidP="009848DB">
            <w:pPr>
              <w:jc w:val="center"/>
            </w:pPr>
            <w:r w:rsidRPr="00CA6208">
              <w:t>8</w:t>
            </w:r>
            <w:r w:rsidR="005B60F6">
              <w:t>d</w:t>
            </w:r>
          </w:p>
        </w:tc>
        <w:tc>
          <w:tcPr>
            <w:tcW w:w="1440" w:type="dxa"/>
          </w:tcPr>
          <w:p w:rsidR="009848DB" w:rsidRDefault="009848DB" w:rsidP="009848DB">
            <w:pPr>
              <w:jc w:val="center"/>
            </w:pPr>
            <w:r w:rsidRPr="00CA6208">
              <w:t>Exhibit: DWP-104</w:t>
            </w:r>
          </w:p>
          <w:p w:rsidR="009848DB" w:rsidRDefault="009848DB" w:rsidP="009848DB">
            <w:pPr>
              <w:jc w:val="center"/>
            </w:pPr>
          </w:p>
          <w:p w:rsidR="009848DB" w:rsidRPr="00CA6208" w:rsidRDefault="009848DB" w:rsidP="009848DB">
            <w:pPr>
              <w:jc w:val="center"/>
            </w:pPr>
            <w:r w:rsidRPr="00DE1357">
              <w:t>Tab BK</w:t>
            </w:r>
          </w:p>
        </w:tc>
        <w:tc>
          <w:tcPr>
            <w:tcW w:w="1170" w:type="dxa"/>
          </w:tcPr>
          <w:p w:rsidR="009848DB" w:rsidRPr="00CA6208" w:rsidRDefault="009848DB" w:rsidP="009848DB">
            <w:r>
              <w:t>2.1.</w:t>
            </w:r>
            <w:r w:rsidRPr="00CA6208">
              <w:t>2017</w:t>
            </w:r>
          </w:p>
        </w:tc>
        <w:tc>
          <w:tcPr>
            <w:tcW w:w="2700" w:type="dxa"/>
          </w:tcPr>
          <w:p w:rsidR="009848DB" w:rsidRPr="00DE1357" w:rsidRDefault="009848DB" w:rsidP="005B60F6">
            <w:pPr>
              <w:ind w:left="100"/>
            </w:pPr>
            <w:r w:rsidRPr="00DE1357">
              <w:t>Cells F342 - Please explain the lack of revenue credits fro</w:t>
            </w:r>
            <w:r w:rsidR="00B26D25">
              <w:t xml:space="preserve">m OATT Service – Short-Term. </w:t>
            </w:r>
          </w:p>
          <w:p w:rsidR="009848DB" w:rsidRPr="00DE1357" w:rsidRDefault="009848DB" w:rsidP="009848DB">
            <w:pPr>
              <w:ind w:left="460"/>
            </w:pPr>
          </w:p>
        </w:tc>
        <w:tc>
          <w:tcPr>
            <w:tcW w:w="6660" w:type="dxa"/>
          </w:tcPr>
          <w:p w:rsidR="009848DB" w:rsidRPr="00CA6208" w:rsidRDefault="009848DB" w:rsidP="004A7475"/>
        </w:tc>
      </w:tr>
      <w:tr w:rsidR="009848DB" w:rsidTr="00674E11">
        <w:tc>
          <w:tcPr>
            <w:tcW w:w="1350" w:type="dxa"/>
          </w:tcPr>
          <w:p w:rsidR="009848DB" w:rsidRPr="00CA6208" w:rsidRDefault="009848DB" w:rsidP="009848DB">
            <w:pPr>
              <w:jc w:val="center"/>
            </w:pPr>
            <w:r>
              <w:t>Burbank</w:t>
            </w:r>
            <w:r>
              <w:rPr>
                <w:spacing w:val="-3"/>
              </w:rPr>
              <w:t xml:space="preserve"> </w:t>
            </w:r>
            <w:r>
              <w:t>and</w:t>
            </w:r>
            <w:r>
              <w:rPr>
                <w:spacing w:val="-3"/>
              </w:rPr>
              <w:t xml:space="preserve"> </w:t>
            </w:r>
            <w:r>
              <w:t>Glendale</w:t>
            </w:r>
          </w:p>
        </w:tc>
        <w:tc>
          <w:tcPr>
            <w:tcW w:w="900" w:type="dxa"/>
          </w:tcPr>
          <w:p w:rsidR="009848DB" w:rsidRPr="00CA6208" w:rsidRDefault="009848DB" w:rsidP="009848DB">
            <w:pPr>
              <w:jc w:val="center"/>
            </w:pPr>
            <w:r w:rsidRPr="00CA6208">
              <w:t>8</w:t>
            </w:r>
            <w:r w:rsidR="005B60F6">
              <w:t>e</w:t>
            </w:r>
          </w:p>
        </w:tc>
        <w:tc>
          <w:tcPr>
            <w:tcW w:w="1440" w:type="dxa"/>
          </w:tcPr>
          <w:p w:rsidR="009848DB" w:rsidRDefault="009848DB" w:rsidP="009848DB">
            <w:pPr>
              <w:jc w:val="center"/>
            </w:pPr>
            <w:r w:rsidRPr="00CA6208">
              <w:t>Exhibit: DWP-104</w:t>
            </w:r>
          </w:p>
          <w:p w:rsidR="009848DB" w:rsidRDefault="009848DB" w:rsidP="009848DB">
            <w:pPr>
              <w:jc w:val="center"/>
            </w:pPr>
          </w:p>
          <w:p w:rsidR="009848DB" w:rsidRPr="00CA6208" w:rsidRDefault="009848DB" w:rsidP="009848DB">
            <w:pPr>
              <w:jc w:val="center"/>
            </w:pPr>
            <w:r w:rsidRPr="00DE1357">
              <w:lastRenderedPageBreak/>
              <w:t>Tab BK</w:t>
            </w:r>
          </w:p>
        </w:tc>
        <w:tc>
          <w:tcPr>
            <w:tcW w:w="1170" w:type="dxa"/>
          </w:tcPr>
          <w:p w:rsidR="009848DB" w:rsidRPr="00CA6208" w:rsidRDefault="009848DB" w:rsidP="009848DB">
            <w:r>
              <w:lastRenderedPageBreak/>
              <w:t>2.1.</w:t>
            </w:r>
            <w:r w:rsidRPr="00CA6208">
              <w:t>2017</w:t>
            </w:r>
          </w:p>
        </w:tc>
        <w:tc>
          <w:tcPr>
            <w:tcW w:w="2700" w:type="dxa"/>
          </w:tcPr>
          <w:p w:rsidR="009848DB" w:rsidRPr="00DE1357" w:rsidRDefault="009848DB" w:rsidP="005B60F6">
            <w:pPr>
              <w:ind w:left="100"/>
            </w:pPr>
            <w:r w:rsidRPr="00DE1357">
              <w:t>Cells F388, F433 - Please provide documentation for OATT Service – Short-</w:t>
            </w:r>
            <w:r w:rsidRPr="00DE1357">
              <w:lastRenderedPageBreak/>
              <w:t xml:space="preserve">Term revenue credits.  </w:t>
            </w:r>
          </w:p>
          <w:p w:rsidR="009848DB" w:rsidRPr="00DE1357" w:rsidRDefault="009848DB" w:rsidP="009848DB">
            <w:pPr>
              <w:ind w:left="460"/>
            </w:pPr>
          </w:p>
        </w:tc>
        <w:tc>
          <w:tcPr>
            <w:tcW w:w="6660" w:type="dxa"/>
          </w:tcPr>
          <w:p w:rsidR="009848DB" w:rsidRPr="00CA6208" w:rsidRDefault="009848DB" w:rsidP="004A7475"/>
        </w:tc>
      </w:tr>
      <w:tr w:rsidR="009848DB" w:rsidTr="00674E11">
        <w:tc>
          <w:tcPr>
            <w:tcW w:w="1350" w:type="dxa"/>
          </w:tcPr>
          <w:p w:rsidR="009848DB" w:rsidRPr="00CA6208" w:rsidRDefault="009848DB" w:rsidP="009848DB">
            <w:pPr>
              <w:jc w:val="center"/>
            </w:pPr>
            <w:r>
              <w:lastRenderedPageBreak/>
              <w:t>Burbank</w:t>
            </w:r>
            <w:r>
              <w:rPr>
                <w:spacing w:val="-3"/>
              </w:rPr>
              <w:t xml:space="preserve"> </w:t>
            </w:r>
            <w:r>
              <w:t>and</w:t>
            </w:r>
            <w:r>
              <w:rPr>
                <w:spacing w:val="-3"/>
              </w:rPr>
              <w:t xml:space="preserve"> </w:t>
            </w:r>
            <w:r>
              <w:t>Glendale</w:t>
            </w:r>
          </w:p>
        </w:tc>
        <w:tc>
          <w:tcPr>
            <w:tcW w:w="900" w:type="dxa"/>
          </w:tcPr>
          <w:p w:rsidR="009848DB" w:rsidRPr="00CA6208" w:rsidRDefault="009848DB" w:rsidP="009848DB">
            <w:pPr>
              <w:jc w:val="center"/>
            </w:pPr>
            <w:r w:rsidRPr="00CA6208">
              <w:t>8</w:t>
            </w:r>
            <w:r w:rsidR="005B60F6">
              <w:t>f</w:t>
            </w:r>
          </w:p>
        </w:tc>
        <w:tc>
          <w:tcPr>
            <w:tcW w:w="1440" w:type="dxa"/>
          </w:tcPr>
          <w:p w:rsidR="009848DB" w:rsidRDefault="009848DB" w:rsidP="009848DB">
            <w:pPr>
              <w:jc w:val="center"/>
            </w:pPr>
            <w:r w:rsidRPr="00CA6208">
              <w:t>Exhibit: DWP-104</w:t>
            </w:r>
          </w:p>
          <w:p w:rsidR="009848DB" w:rsidRDefault="009848DB" w:rsidP="009848DB">
            <w:pPr>
              <w:jc w:val="center"/>
            </w:pPr>
          </w:p>
          <w:p w:rsidR="009848DB" w:rsidRPr="00CA6208" w:rsidRDefault="009848DB" w:rsidP="009848DB">
            <w:pPr>
              <w:jc w:val="center"/>
            </w:pPr>
            <w:r w:rsidRPr="00DE1357">
              <w:t>Tab BK</w:t>
            </w:r>
          </w:p>
        </w:tc>
        <w:tc>
          <w:tcPr>
            <w:tcW w:w="1170" w:type="dxa"/>
          </w:tcPr>
          <w:p w:rsidR="009848DB" w:rsidRPr="00CA6208" w:rsidRDefault="009848DB" w:rsidP="009848DB">
            <w:r>
              <w:t>2.1.</w:t>
            </w:r>
            <w:r w:rsidRPr="00CA6208">
              <w:t>2017</w:t>
            </w:r>
          </w:p>
        </w:tc>
        <w:tc>
          <w:tcPr>
            <w:tcW w:w="2700" w:type="dxa"/>
          </w:tcPr>
          <w:p w:rsidR="009848DB" w:rsidRPr="00DE1357" w:rsidRDefault="009848DB" w:rsidP="005B60F6">
            <w:pPr>
              <w:ind w:left="100"/>
            </w:pPr>
            <w:r w:rsidRPr="00DE1357">
              <w:t xml:space="preserve">Cells F477-F482 - Please provide documentation for all revenue credits. </w:t>
            </w:r>
          </w:p>
          <w:p w:rsidR="009848DB" w:rsidRPr="00DE1357" w:rsidRDefault="009848DB" w:rsidP="009848DB">
            <w:pPr>
              <w:ind w:left="460"/>
            </w:pPr>
          </w:p>
        </w:tc>
        <w:tc>
          <w:tcPr>
            <w:tcW w:w="6660" w:type="dxa"/>
          </w:tcPr>
          <w:p w:rsidR="009848DB" w:rsidRPr="00CA6208" w:rsidRDefault="009848DB" w:rsidP="004A7475"/>
        </w:tc>
      </w:tr>
      <w:tr w:rsidR="009848DB" w:rsidTr="00674E11">
        <w:tc>
          <w:tcPr>
            <w:tcW w:w="1350" w:type="dxa"/>
          </w:tcPr>
          <w:p w:rsidR="009848DB" w:rsidRPr="00CA6208" w:rsidRDefault="009848DB" w:rsidP="009848DB">
            <w:pPr>
              <w:jc w:val="center"/>
            </w:pPr>
            <w:r>
              <w:t>Burbank</w:t>
            </w:r>
            <w:r>
              <w:rPr>
                <w:spacing w:val="-3"/>
              </w:rPr>
              <w:t xml:space="preserve"> </w:t>
            </w:r>
            <w:r>
              <w:t>and</w:t>
            </w:r>
            <w:r>
              <w:rPr>
                <w:spacing w:val="-3"/>
              </w:rPr>
              <w:t xml:space="preserve"> </w:t>
            </w:r>
            <w:r>
              <w:t>Glendale</w:t>
            </w:r>
          </w:p>
        </w:tc>
        <w:tc>
          <w:tcPr>
            <w:tcW w:w="900" w:type="dxa"/>
          </w:tcPr>
          <w:p w:rsidR="009848DB" w:rsidRPr="00CA6208" w:rsidRDefault="009848DB" w:rsidP="009848DB">
            <w:pPr>
              <w:jc w:val="center"/>
            </w:pPr>
            <w:r w:rsidRPr="00CA6208">
              <w:t>8</w:t>
            </w:r>
            <w:r w:rsidR="005B60F6">
              <w:t>g</w:t>
            </w:r>
          </w:p>
        </w:tc>
        <w:tc>
          <w:tcPr>
            <w:tcW w:w="1440" w:type="dxa"/>
          </w:tcPr>
          <w:p w:rsidR="009848DB" w:rsidRDefault="009848DB" w:rsidP="009848DB">
            <w:pPr>
              <w:jc w:val="center"/>
            </w:pPr>
            <w:r w:rsidRPr="00CA6208">
              <w:t>Exhibit: DWP-104</w:t>
            </w:r>
          </w:p>
          <w:p w:rsidR="009848DB" w:rsidRDefault="009848DB" w:rsidP="009848DB">
            <w:pPr>
              <w:jc w:val="center"/>
            </w:pPr>
          </w:p>
          <w:p w:rsidR="009848DB" w:rsidRPr="00CA6208" w:rsidRDefault="009848DB" w:rsidP="009848DB">
            <w:pPr>
              <w:jc w:val="center"/>
            </w:pPr>
            <w:r w:rsidRPr="00DE1357">
              <w:t>Tab BK</w:t>
            </w:r>
          </w:p>
        </w:tc>
        <w:tc>
          <w:tcPr>
            <w:tcW w:w="1170" w:type="dxa"/>
          </w:tcPr>
          <w:p w:rsidR="009848DB" w:rsidRPr="00CA6208" w:rsidRDefault="009848DB" w:rsidP="009848DB">
            <w:r>
              <w:t>2.1.</w:t>
            </w:r>
            <w:r w:rsidRPr="00CA6208">
              <w:t>2017</w:t>
            </w:r>
          </w:p>
        </w:tc>
        <w:tc>
          <w:tcPr>
            <w:tcW w:w="2700" w:type="dxa"/>
          </w:tcPr>
          <w:p w:rsidR="009848DB" w:rsidRPr="00DE1357" w:rsidRDefault="009848DB" w:rsidP="005B60F6">
            <w:pPr>
              <w:ind w:left="100"/>
            </w:pPr>
            <w:r w:rsidRPr="00DE1357">
              <w:t xml:space="preserve">Please provide documentation for revenues received from the Southern California Public Power Authority (SCPPA) for services provided to SCPPA, including queries to LADWP’s GL. Please identify where such revenues appear as credits to the revenue requirements. </w:t>
            </w:r>
          </w:p>
          <w:p w:rsidR="009848DB" w:rsidRPr="00DE1357" w:rsidRDefault="009848DB" w:rsidP="009848DB">
            <w:pPr>
              <w:ind w:left="460"/>
            </w:pPr>
          </w:p>
        </w:tc>
        <w:tc>
          <w:tcPr>
            <w:tcW w:w="6660" w:type="dxa"/>
          </w:tcPr>
          <w:p w:rsidR="009848DB" w:rsidRPr="00CA6208" w:rsidRDefault="009848DB" w:rsidP="004A7475"/>
        </w:tc>
      </w:tr>
      <w:tr w:rsidR="00DF52F8" w:rsidTr="00674E11">
        <w:tc>
          <w:tcPr>
            <w:tcW w:w="1350" w:type="dxa"/>
          </w:tcPr>
          <w:p w:rsidR="00DF52F8" w:rsidRPr="00CA6208" w:rsidRDefault="00DF52F8" w:rsidP="004A7475">
            <w:pPr>
              <w:jc w:val="center"/>
            </w:pPr>
            <w:r>
              <w:t>Burbank</w:t>
            </w:r>
            <w:r>
              <w:rPr>
                <w:spacing w:val="-3"/>
              </w:rPr>
              <w:t xml:space="preserve"> </w:t>
            </w:r>
            <w:r>
              <w:t>and</w:t>
            </w:r>
            <w:r>
              <w:rPr>
                <w:spacing w:val="-3"/>
              </w:rPr>
              <w:t xml:space="preserve"> </w:t>
            </w:r>
            <w:r>
              <w:t>Glendale</w:t>
            </w:r>
          </w:p>
        </w:tc>
        <w:tc>
          <w:tcPr>
            <w:tcW w:w="900" w:type="dxa"/>
          </w:tcPr>
          <w:p w:rsidR="00DF52F8" w:rsidRPr="00CA6208" w:rsidRDefault="00DF52F8" w:rsidP="004A7475">
            <w:pPr>
              <w:jc w:val="center"/>
            </w:pPr>
            <w:r w:rsidRPr="00CA6208">
              <w:t>9</w:t>
            </w:r>
            <w:r w:rsidR="005B60F6">
              <w:t>a</w:t>
            </w:r>
          </w:p>
        </w:tc>
        <w:tc>
          <w:tcPr>
            <w:tcW w:w="1440" w:type="dxa"/>
          </w:tcPr>
          <w:p w:rsidR="00DF52F8" w:rsidRDefault="00DF52F8" w:rsidP="00406489">
            <w:pPr>
              <w:jc w:val="center"/>
            </w:pPr>
            <w:r w:rsidRPr="00CA6208">
              <w:t>Exhibit: DWP-104</w:t>
            </w:r>
          </w:p>
          <w:p w:rsidR="00DF52F8" w:rsidRDefault="00DF52F8" w:rsidP="00406489">
            <w:pPr>
              <w:jc w:val="center"/>
            </w:pPr>
          </w:p>
          <w:p w:rsidR="00DF52F8" w:rsidRPr="00CA6208" w:rsidRDefault="00DF52F8" w:rsidP="00406489">
            <w:pPr>
              <w:jc w:val="center"/>
            </w:pPr>
            <w:r w:rsidRPr="00894B00">
              <w:t>Tab BL</w:t>
            </w:r>
          </w:p>
        </w:tc>
        <w:tc>
          <w:tcPr>
            <w:tcW w:w="1170" w:type="dxa"/>
          </w:tcPr>
          <w:p w:rsidR="00DF52F8" w:rsidRPr="00CA6208" w:rsidRDefault="00F0025B">
            <w:r>
              <w:t>2.1.</w:t>
            </w:r>
            <w:r w:rsidR="00DF52F8" w:rsidRPr="00CA6208">
              <w:t>2017</w:t>
            </w:r>
            <w:r w:rsidR="00F04CF1">
              <w:t>/2.9.2017</w:t>
            </w:r>
          </w:p>
        </w:tc>
        <w:tc>
          <w:tcPr>
            <w:tcW w:w="2700" w:type="dxa"/>
          </w:tcPr>
          <w:p w:rsidR="00DF52F8" w:rsidRDefault="00DF52F8" w:rsidP="005B60F6">
            <w:pPr>
              <w:ind w:left="100"/>
            </w:pPr>
            <w:r w:rsidRPr="00894B00">
              <w:t>Cell E168 - Please provide a copy of the “Reserve Requirement for 2014 VER Integration Study for LADWP (January 2017)”.</w:t>
            </w:r>
          </w:p>
          <w:p w:rsidR="00DF52F8" w:rsidRPr="00CA6208" w:rsidRDefault="00DF52F8" w:rsidP="009848DB">
            <w:pPr>
              <w:ind w:left="460"/>
            </w:pPr>
          </w:p>
        </w:tc>
        <w:tc>
          <w:tcPr>
            <w:tcW w:w="6660" w:type="dxa"/>
          </w:tcPr>
          <w:p w:rsidR="00DF52F8" w:rsidRPr="00CA6208" w:rsidRDefault="00F0025B" w:rsidP="004A7475">
            <w:r>
              <w:t>Please see “Attachment 9a_Reserve Requirements for 2014 VER Integration.pdf”</w:t>
            </w:r>
          </w:p>
        </w:tc>
      </w:tr>
      <w:tr w:rsidR="00F04CF1" w:rsidTr="00674E11">
        <w:tc>
          <w:tcPr>
            <w:tcW w:w="1350" w:type="dxa"/>
          </w:tcPr>
          <w:p w:rsidR="00F04CF1" w:rsidRPr="00CA6208" w:rsidRDefault="00F04CF1" w:rsidP="009848DB">
            <w:pPr>
              <w:jc w:val="center"/>
            </w:pPr>
            <w:r>
              <w:lastRenderedPageBreak/>
              <w:t>Burbank</w:t>
            </w:r>
            <w:r>
              <w:rPr>
                <w:spacing w:val="-3"/>
              </w:rPr>
              <w:t xml:space="preserve"> </w:t>
            </w:r>
            <w:r>
              <w:t>and</w:t>
            </w:r>
            <w:r>
              <w:rPr>
                <w:spacing w:val="-3"/>
              </w:rPr>
              <w:t xml:space="preserve"> </w:t>
            </w:r>
            <w:r>
              <w:t>Glendale</w:t>
            </w:r>
          </w:p>
        </w:tc>
        <w:tc>
          <w:tcPr>
            <w:tcW w:w="900" w:type="dxa"/>
          </w:tcPr>
          <w:p w:rsidR="00F04CF1" w:rsidRPr="00CA6208" w:rsidRDefault="00F04CF1" w:rsidP="009848DB">
            <w:pPr>
              <w:jc w:val="center"/>
            </w:pPr>
            <w:r w:rsidRPr="00CA6208">
              <w:t>9</w:t>
            </w:r>
            <w:r>
              <w:t>b</w:t>
            </w:r>
          </w:p>
        </w:tc>
        <w:tc>
          <w:tcPr>
            <w:tcW w:w="1440" w:type="dxa"/>
          </w:tcPr>
          <w:p w:rsidR="00F04CF1" w:rsidRDefault="00F04CF1" w:rsidP="009848DB">
            <w:pPr>
              <w:jc w:val="center"/>
            </w:pPr>
            <w:r w:rsidRPr="00CA6208">
              <w:t>Exhibit: DWP-104</w:t>
            </w:r>
          </w:p>
          <w:p w:rsidR="00F04CF1" w:rsidRDefault="00F04CF1" w:rsidP="009848DB">
            <w:pPr>
              <w:jc w:val="center"/>
            </w:pPr>
          </w:p>
          <w:p w:rsidR="00F04CF1" w:rsidRPr="00CA6208" w:rsidRDefault="00F04CF1" w:rsidP="009848DB">
            <w:pPr>
              <w:jc w:val="center"/>
            </w:pPr>
            <w:r w:rsidRPr="00894B00">
              <w:t>Tab BL</w:t>
            </w:r>
          </w:p>
        </w:tc>
        <w:tc>
          <w:tcPr>
            <w:tcW w:w="1170" w:type="dxa"/>
          </w:tcPr>
          <w:p w:rsidR="00F04CF1" w:rsidRPr="00CA6208" w:rsidRDefault="00F04CF1" w:rsidP="009848DB">
            <w:r>
              <w:t>2.1.</w:t>
            </w:r>
            <w:r w:rsidRPr="00CA6208">
              <w:t>2017</w:t>
            </w:r>
            <w:r>
              <w:t>/2.9.2017</w:t>
            </w:r>
          </w:p>
        </w:tc>
        <w:tc>
          <w:tcPr>
            <w:tcW w:w="2700" w:type="dxa"/>
          </w:tcPr>
          <w:p w:rsidR="00F04CF1" w:rsidRDefault="00F04CF1" w:rsidP="005B60F6">
            <w:pPr>
              <w:spacing w:after="160" w:line="259" w:lineRule="auto"/>
              <w:ind w:left="100"/>
            </w:pPr>
            <w:r w:rsidRPr="00894B00">
              <w:t>Cell E211 - Please provide a copy of “BAL-002-WECC-2 Contingency Reserve Requirements”, and documentation showing LADWP’s translation or application of BAL- 002 to LADWP’s system to derive specific MW amounts in cell F211, F257.</w:t>
            </w:r>
          </w:p>
          <w:p w:rsidR="00F04CF1" w:rsidRPr="00894B00" w:rsidRDefault="00F04CF1" w:rsidP="009848DB">
            <w:pPr>
              <w:ind w:left="460"/>
            </w:pPr>
          </w:p>
        </w:tc>
        <w:tc>
          <w:tcPr>
            <w:tcW w:w="6660" w:type="dxa"/>
          </w:tcPr>
          <w:p w:rsidR="00F04CF1" w:rsidRDefault="00F04CF1" w:rsidP="00481E4F">
            <w:r>
              <w:t>Please see “Attachment 9b_BAL-002-WECC-2.pdf”</w:t>
            </w:r>
          </w:p>
          <w:p w:rsidR="00F04CF1" w:rsidRDefault="00F04CF1" w:rsidP="00481E4F"/>
          <w:p w:rsidR="00F04CF1" w:rsidRPr="00746F32" w:rsidRDefault="00F04CF1" w:rsidP="00481E4F">
            <w:pPr>
              <w:rPr>
                <w:b/>
              </w:rPr>
            </w:pPr>
            <w:r>
              <w:t>Based upon the attached WECC guidelines</w:t>
            </w:r>
            <w:r w:rsidRPr="00A64204">
              <w:t xml:space="preserve">, </w:t>
            </w:r>
            <w:r w:rsidRPr="003C7CDD">
              <w:t xml:space="preserve">LADWP’s system has maintained an Operating Reserve Spinning Reserve capacity of 300 MW to comply with the </w:t>
            </w:r>
            <w:r>
              <w:t>attached based upon its most severe single contingency</w:t>
            </w:r>
            <w:r w:rsidRPr="003C7CDD">
              <w:t xml:space="preserve"> requirement of 600 MW of which 50% or 300 MW is spinning reserve capacity.</w:t>
            </w:r>
            <w:r>
              <w:t xml:space="preserve"> The other 50% or 300 MW is used to maintain an Operating Reserve Supplemental Reserve. </w:t>
            </w:r>
          </w:p>
          <w:p w:rsidR="00F04CF1" w:rsidRPr="009C0DA5" w:rsidRDefault="00F04CF1" w:rsidP="00481E4F"/>
        </w:tc>
      </w:tr>
      <w:tr w:rsidR="00F04CF1" w:rsidTr="00674E11">
        <w:tc>
          <w:tcPr>
            <w:tcW w:w="1350" w:type="dxa"/>
          </w:tcPr>
          <w:p w:rsidR="00F04CF1" w:rsidRDefault="00F04CF1">
            <w:r w:rsidRPr="008235A8">
              <w:t>Burbank</w:t>
            </w:r>
            <w:r w:rsidRPr="008235A8">
              <w:rPr>
                <w:spacing w:val="-3"/>
              </w:rPr>
              <w:t xml:space="preserve"> </w:t>
            </w:r>
            <w:r w:rsidRPr="008235A8">
              <w:t>and</w:t>
            </w:r>
            <w:r w:rsidRPr="008235A8">
              <w:rPr>
                <w:spacing w:val="-3"/>
              </w:rPr>
              <w:t xml:space="preserve"> </w:t>
            </w:r>
            <w:r w:rsidRPr="008235A8">
              <w:t>Glendale</w:t>
            </w:r>
          </w:p>
        </w:tc>
        <w:tc>
          <w:tcPr>
            <w:tcW w:w="900" w:type="dxa"/>
          </w:tcPr>
          <w:p w:rsidR="00F04CF1" w:rsidRPr="00CA6208" w:rsidRDefault="00F04CF1" w:rsidP="004A7475">
            <w:pPr>
              <w:jc w:val="center"/>
            </w:pPr>
            <w:r w:rsidRPr="00CA6208">
              <w:t>10</w:t>
            </w:r>
          </w:p>
        </w:tc>
        <w:tc>
          <w:tcPr>
            <w:tcW w:w="1440" w:type="dxa"/>
          </w:tcPr>
          <w:p w:rsidR="00F04CF1" w:rsidRDefault="00F04CF1" w:rsidP="00406489">
            <w:pPr>
              <w:jc w:val="center"/>
            </w:pPr>
            <w:r w:rsidRPr="00CA6208">
              <w:t>Exhibit: DWP-104</w:t>
            </w:r>
          </w:p>
          <w:p w:rsidR="00F04CF1" w:rsidRDefault="00F04CF1" w:rsidP="00406489">
            <w:pPr>
              <w:jc w:val="center"/>
            </w:pPr>
          </w:p>
          <w:p w:rsidR="00F04CF1" w:rsidRPr="00CA6208" w:rsidRDefault="00F04CF1" w:rsidP="00406489">
            <w:pPr>
              <w:jc w:val="center"/>
            </w:pPr>
            <w:r w:rsidRPr="009F2160">
              <w:t>Tab BM</w:t>
            </w:r>
          </w:p>
        </w:tc>
        <w:tc>
          <w:tcPr>
            <w:tcW w:w="1170" w:type="dxa"/>
          </w:tcPr>
          <w:p w:rsidR="00F04CF1" w:rsidRPr="00CA6208" w:rsidRDefault="00F04CF1">
            <w:r>
              <w:t>2.1.</w:t>
            </w:r>
            <w:r w:rsidRPr="00CA6208">
              <w:t>2017</w:t>
            </w:r>
            <w:r>
              <w:t>/2.9.2017</w:t>
            </w:r>
          </w:p>
        </w:tc>
        <w:tc>
          <w:tcPr>
            <w:tcW w:w="2700" w:type="dxa"/>
          </w:tcPr>
          <w:p w:rsidR="00F04CF1" w:rsidRPr="00CA6208" w:rsidRDefault="00F04CF1" w:rsidP="004A7475">
            <w:r w:rsidRPr="009F2160">
              <w:t>Please provide Statement BM as a stand-alone Word document.</w:t>
            </w:r>
          </w:p>
        </w:tc>
        <w:tc>
          <w:tcPr>
            <w:tcW w:w="6660" w:type="dxa"/>
          </w:tcPr>
          <w:p w:rsidR="00F04CF1" w:rsidRPr="00CA6208" w:rsidRDefault="00F04CF1" w:rsidP="004A7475">
            <w:r w:rsidRPr="009C0DA5">
              <w:t>Please see “Attachment 10_Statement BM.docx.”</w:t>
            </w:r>
          </w:p>
        </w:tc>
      </w:tr>
      <w:tr w:rsidR="00F04CF1" w:rsidTr="00674E11">
        <w:tc>
          <w:tcPr>
            <w:tcW w:w="1350" w:type="dxa"/>
          </w:tcPr>
          <w:p w:rsidR="00F04CF1" w:rsidRDefault="00F04CF1">
            <w:r w:rsidRPr="008235A8">
              <w:t>Burbank</w:t>
            </w:r>
            <w:r w:rsidRPr="008235A8">
              <w:rPr>
                <w:spacing w:val="-3"/>
              </w:rPr>
              <w:t xml:space="preserve"> </w:t>
            </w:r>
            <w:r w:rsidRPr="008235A8">
              <w:t>and</w:t>
            </w:r>
            <w:r w:rsidRPr="008235A8">
              <w:rPr>
                <w:spacing w:val="-3"/>
              </w:rPr>
              <w:t xml:space="preserve"> </w:t>
            </w:r>
            <w:r w:rsidRPr="008235A8">
              <w:t>Glendale</w:t>
            </w:r>
          </w:p>
        </w:tc>
        <w:tc>
          <w:tcPr>
            <w:tcW w:w="900" w:type="dxa"/>
          </w:tcPr>
          <w:p w:rsidR="00F04CF1" w:rsidRPr="00CA6208" w:rsidRDefault="00F04CF1" w:rsidP="004A7475">
            <w:pPr>
              <w:jc w:val="center"/>
            </w:pPr>
            <w:r w:rsidRPr="00CA6208">
              <w:t>11</w:t>
            </w:r>
            <w:r>
              <w:t>a</w:t>
            </w:r>
          </w:p>
        </w:tc>
        <w:tc>
          <w:tcPr>
            <w:tcW w:w="1440" w:type="dxa"/>
          </w:tcPr>
          <w:p w:rsidR="00F04CF1" w:rsidRDefault="00F04CF1" w:rsidP="00406489">
            <w:pPr>
              <w:jc w:val="center"/>
            </w:pPr>
            <w:r w:rsidRPr="00CA6208">
              <w:t>Exhibit: DWP-104</w:t>
            </w:r>
          </w:p>
          <w:p w:rsidR="00F04CF1" w:rsidRDefault="00F04CF1" w:rsidP="00406489">
            <w:pPr>
              <w:jc w:val="center"/>
            </w:pPr>
          </w:p>
          <w:p w:rsidR="00F04CF1" w:rsidRPr="00CA6208" w:rsidRDefault="00F04CF1" w:rsidP="00406489">
            <w:pPr>
              <w:jc w:val="center"/>
            </w:pPr>
            <w:r w:rsidRPr="009F2160">
              <w:t>Tab 7 Factor Summary</w:t>
            </w:r>
          </w:p>
        </w:tc>
        <w:tc>
          <w:tcPr>
            <w:tcW w:w="1170" w:type="dxa"/>
          </w:tcPr>
          <w:p w:rsidR="00F04CF1" w:rsidRPr="00CA6208" w:rsidRDefault="00F04CF1">
            <w:r>
              <w:t>2.1.</w:t>
            </w:r>
            <w:r w:rsidRPr="00CA6208">
              <w:t>2017</w:t>
            </w:r>
            <w:r>
              <w:t>/2.9.2017</w:t>
            </w:r>
          </w:p>
        </w:tc>
        <w:tc>
          <w:tcPr>
            <w:tcW w:w="2700" w:type="dxa"/>
          </w:tcPr>
          <w:p w:rsidR="00F04CF1" w:rsidRPr="009F2160" w:rsidRDefault="00F04CF1" w:rsidP="005B60F6">
            <w:pPr>
              <w:ind w:left="100"/>
            </w:pPr>
            <w:r w:rsidRPr="009F2160">
              <w:t xml:space="preserve">Cells D86-89, D127, D132-133, D144, D153-154 - Please provide a copy of the referenced LADWP </w:t>
            </w:r>
            <w:proofErr w:type="spellStart"/>
            <w:r w:rsidRPr="009F2160">
              <w:t>Workpaper</w:t>
            </w:r>
            <w:proofErr w:type="spellEnd"/>
            <w:r w:rsidRPr="009F2160">
              <w:t>(s).</w:t>
            </w:r>
          </w:p>
          <w:p w:rsidR="00F04CF1" w:rsidRPr="00CA6208" w:rsidRDefault="00F04CF1" w:rsidP="009848DB">
            <w:pPr>
              <w:ind w:left="460"/>
            </w:pPr>
          </w:p>
        </w:tc>
        <w:tc>
          <w:tcPr>
            <w:tcW w:w="6660" w:type="dxa"/>
          </w:tcPr>
          <w:p w:rsidR="00F04CF1" w:rsidRPr="00055245" w:rsidRDefault="00F04CF1" w:rsidP="00F04CF1">
            <w:pPr>
              <w:pStyle w:val="ListParagraph"/>
              <w:widowControl w:val="0"/>
              <w:numPr>
                <w:ilvl w:val="0"/>
                <w:numId w:val="46"/>
              </w:numPr>
              <w:contextualSpacing w:val="0"/>
            </w:pPr>
            <w:r w:rsidRPr="00055245">
              <w:t xml:space="preserve">Cells D86-89: Please see the “Lines Gross </w:t>
            </w:r>
            <w:proofErr w:type="spellStart"/>
            <w:r w:rsidRPr="00055245">
              <w:t>Plant_End</w:t>
            </w:r>
            <w:proofErr w:type="spellEnd"/>
            <w:r w:rsidRPr="00055245">
              <w:t xml:space="preserve"> Bal” tab in “Attachment 11a_7 Factor Olive and Lines.xlsx” </w:t>
            </w:r>
          </w:p>
          <w:p w:rsidR="00F04CF1" w:rsidRPr="00055245" w:rsidRDefault="00F04CF1" w:rsidP="00F04CF1">
            <w:pPr>
              <w:pStyle w:val="ListParagraph"/>
              <w:ind w:left="360"/>
            </w:pPr>
          </w:p>
          <w:p w:rsidR="00F04CF1" w:rsidRPr="00055245" w:rsidRDefault="00F04CF1" w:rsidP="00F04CF1">
            <w:pPr>
              <w:pStyle w:val="ListParagraph"/>
              <w:widowControl w:val="0"/>
              <w:numPr>
                <w:ilvl w:val="0"/>
                <w:numId w:val="46"/>
              </w:numPr>
              <w:contextualSpacing w:val="0"/>
            </w:pPr>
            <w:r w:rsidRPr="00055245">
              <w:t>Cell D127: Please see the “Olive Station Costs” tab in</w:t>
            </w:r>
            <w:r w:rsidRPr="00055245">
              <w:rPr>
                <w:spacing w:val="-2"/>
              </w:rPr>
              <w:t xml:space="preserve"> </w:t>
            </w:r>
            <w:r w:rsidRPr="00055245">
              <w:t>“Attachment 11a_7 Factor Olive and Lines.xlsx”</w:t>
            </w:r>
          </w:p>
          <w:p w:rsidR="00F04CF1" w:rsidRPr="00055245" w:rsidRDefault="00F04CF1" w:rsidP="00F04CF1">
            <w:pPr>
              <w:pStyle w:val="ListParagraph"/>
            </w:pPr>
          </w:p>
          <w:p w:rsidR="00F04CF1" w:rsidRPr="00055245" w:rsidRDefault="00F04CF1" w:rsidP="00F04CF1">
            <w:pPr>
              <w:pStyle w:val="ListParagraph"/>
              <w:widowControl w:val="0"/>
              <w:numPr>
                <w:ilvl w:val="0"/>
                <w:numId w:val="46"/>
              </w:numPr>
              <w:contextualSpacing w:val="0"/>
            </w:pPr>
            <w:r w:rsidRPr="00055245">
              <w:t>Cells D132-133: Please see the “Olive P-T Allocation” and “Olive Station Costs” tabs in “Attachment 11a_7 Factor Olive and Lines.xlsx.”</w:t>
            </w:r>
          </w:p>
          <w:p w:rsidR="00F04CF1" w:rsidRPr="00055245" w:rsidRDefault="00F04CF1" w:rsidP="00F04CF1">
            <w:pPr>
              <w:pStyle w:val="ListParagraph"/>
            </w:pPr>
          </w:p>
          <w:p w:rsidR="00F04CF1" w:rsidRPr="00055245" w:rsidRDefault="00F04CF1" w:rsidP="00F04CF1">
            <w:pPr>
              <w:pStyle w:val="ListParagraph"/>
              <w:widowControl w:val="0"/>
              <w:numPr>
                <w:ilvl w:val="0"/>
                <w:numId w:val="46"/>
              </w:numPr>
              <w:contextualSpacing w:val="0"/>
            </w:pPr>
            <w:r w:rsidRPr="00055245">
              <w:t>Cell D144: Please see the “Olive Station Costs” tab in “Attachment 11a_7 Factor Olive and Lines.xlsx.”</w:t>
            </w:r>
          </w:p>
          <w:p w:rsidR="00F04CF1" w:rsidRPr="00055245" w:rsidRDefault="00F04CF1" w:rsidP="00F04CF1"/>
          <w:p w:rsidR="00F04CF1" w:rsidRPr="00055245" w:rsidRDefault="00F04CF1" w:rsidP="00F04CF1">
            <w:pPr>
              <w:pStyle w:val="ListParagraph"/>
              <w:ind w:left="360"/>
            </w:pPr>
          </w:p>
          <w:p w:rsidR="00F04CF1" w:rsidRPr="00055245" w:rsidRDefault="00F04CF1" w:rsidP="00F04CF1">
            <w:pPr>
              <w:pStyle w:val="ListParagraph"/>
              <w:widowControl w:val="0"/>
              <w:numPr>
                <w:ilvl w:val="0"/>
                <w:numId w:val="46"/>
              </w:numPr>
              <w:contextualSpacing w:val="0"/>
            </w:pPr>
            <w:r w:rsidRPr="00055245">
              <w:t>Cells D153-154. Please see the “Olive P-T Allocation” and “Olive Station Costs” tabs in “Attachment 11a_7 Factor Olive and Lines.xlsx.”</w:t>
            </w:r>
          </w:p>
          <w:p w:rsidR="00F04CF1" w:rsidRPr="00055245" w:rsidRDefault="00F04CF1" w:rsidP="00F04CF1">
            <w:pPr>
              <w:pStyle w:val="ListParagraph"/>
              <w:ind w:left="360"/>
            </w:pPr>
          </w:p>
          <w:p w:rsidR="00F04CF1" w:rsidRPr="00CA6208" w:rsidRDefault="00F04CF1" w:rsidP="004A7475"/>
        </w:tc>
      </w:tr>
      <w:tr w:rsidR="00F04CF1" w:rsidTr="00674E11">
        <w:tc>
          <w:tcPr>
            <w:tcW w:w="1350" w:type="dxa"/>
          </w:tcPr>
          <w:p w:rsidR="00F04CF1" w:rsidRDefault="00F04CF1" w:rsidP="009848DB">
            <w:r w:rsidRPr="008235A8">
              <w:lastRenderedPageBreak/>
              <w:t>Burbank</w:t>
            </w:r>
            <w:r w:rsidRPr="008235A8">
              <w:rPr>
                <w:spacing w:val="-3"/>
              </w:rPr>
              <w:t xml:space="preserve"> </w:t>
            </w:r>
            <w:r w:rsidRPr="008235A8">
              <w:t>and</w:t>
            </w:r>
            <w:r w:rsidRPr="008235A8">
              <w:rPr>
                <w:spacing w:val="-3"/>
              </w:rPr>
              <w:t xml:space="preserve"> </w:t>
            </w:r>
            <w:r w:rsidRPr="008235A8">
              <w:t>Glendale</w:t>
            </w:r>
          </w:p>
        </w:tc>
        <w:tc>
          <w:tcPr>
            <w:tcW w:w="900" w:type="dxa"/>
          </w:tcPr>
          <w:p w:rsidR="00F04CF1" w:rsidRPr="00CA6208" w:rsidRDefault="00F04CF1" w:rsidP="009848DB">
            <w:pPr>
              <w:jc w:val="center"/>
            </w:pPr>
            <w:r w:rsidRPr="00CA6208">
              <w:t>11</w:t>
            </w:r>
            <w:r>
              <w:t>b</w:t>
            </w:r>
          </w:p>
        </w:tc>
        <w:tc>
          <w:tcPr>
            <w:tcW w:w="1440" w:type="dxa"/>
          </w:tcPr>
          <w:p w:rsidR="00F04CF1" w:rsidRDefault="00F04CF1" w:rsidP="009848DB">
            <w:pPr>
              <w:jc w:val="center"/>
            </w:pPr>
            <w:r w:rsidRPr="00CA6208">
              <w:t>Exhibit: DWP-104</w:t>
            </w:r>
          </w:p>
          <w:p w:rsidR="00F04CF1" w:rsidRDefault="00F04CF1" w:rsidP="009848DB">
            <w:pPr>
              <w:jc w:val="center"/>
            </w:pPr>
          </w:p>
          <w:p w:rsidR="00F04CF1" w:rsidRPr="00CA6208" w:rsidRDefault="00F04CF1" w:rsidP="009848DB">
            <w:pPr>
              <w:jc w:val="center"/>
            </w:pPr>
            <w:r w:rsidRPr="009F2160">
              <w:t>Tab 7 Factor Summary</w:t>
            </w:r>
          </w:p>
        </w:tc>
        <w:tc>
          <w:tcPr>
            <w:tcW w:w="1170" w:type="dxa"/>
          </w:tcPr>
          <w:p w:rsidR="00F04CF1" w:rsidRPr="00CA6208" w:rsidRDefault="00F04CF1" w:rsidP="009848DB">
            <w:r>
              <w:t>2.1.</w:t>
            </w:r>
            <w:r w:rsidRPr="00CA6208">
              <w:t>2017</w:t>
            </w:r>
            <w:r>
              <w:t>/2.9.2017</w:t>
            </w:r>
          </w:p>
        </w:tc>
        <w:tc>
          <w:tcPr>
            <w:tcW w:w="2700" w:type="dxa"/>
          </w:tcPr>
          <w:p w:rsidR="00F04CF1" w:rsidRPr="009F2160" w:rsidRDefault="00F04CF1" w:rsidP="005B60F6">
            <w:pPr>
              <w:ind w:left="100"/>
            </w:pPr>
            <w:r w:rsidRPr="009F2160">
              <w:t>Cell 145 - Please provide a copy of documentation or information “provided by LADWP”. (c) Cells D27-31, E177, E47-49, E53, E55-56, E59, E116-117, G116-117 - Please provide</w:t>
            </w:r>
            <w:r>
              <w:t xml:space="preserve"> </w:t>
            </w:r>
            <w:r w:rsidRPr="009F2160">
              <w:t>documentation.</w:t>
            </w:r>
          </w:p>
          <w:p w:rsidR="00F04CF1" w:rsidRPr="009F2160" w:rsidRDefault="00F04CF1" w:rsidP="009848DB">
            <w:pPr>
              <w:ind w:left="460"/>
            </w:pPr>
          </w:p>
        </w:tc>
        <w:tc>
          <w:tcPr>
            <w:tcW w:w="6660" w:type="dxa"/>
          </w:tcPr>
          <w:p w:rsidR="00F04CF1" w:rsidRPr="00CA6208" w:rsidRDefault="00F04CF1" w:rsidP="004A7475">
            <w:r>
              <w:t>Please see “Attachment 11b_FERC 352-353 Depreciation Rates.pdf”</w:t>
            </w:r>
          </w:p>
        </w:tc>
      </w:tr>
      <w:tr w:rsidR="00F04CF1" w:rsidTr="00674E11">
        <w:tc>
          <w:tcPr>
            <w:tcW w:w="1350" w:type="dxa"/>
          </w:tcPr>
          <w:p w:rsidR="00F04CF1" w:rsidRDefault="00F04CF1" w:rsidP="00D82AC2">
            <w:r w:rsidRPr="008235A8">
              <w:t>Burbank</w:t>
            </w:r>
            <w:r w:rsidRPr="008235A8">
              <w:rPr>
                <w:spacing w:val="-3"/>
              </w:rPr>
              <w:t xml:space="preserve"> </w:t>
            </w:r>
            <w:r w:rsidRPr="008235A8">
              <w:t>and</w:t>
            </w:r>
            <w:r w:rsidRPr="008235A8">
              <w:rPr>
                <w:spacing w:val="-3"/>
              </w:rPr>
              <w:t xml:space="preserve"> </w:t>
            </w:r>
            <w:r w:rsidRPr="008235A8">
              <w:t>Glendale</w:t>
            </w:r>
          </w:p>
        </w:tc>
        <w:tc>
          <w:tcPr>
            <w:tcW w:w="900" w:type="dxa"/>
          </w:tcPr>
          <w:p w:rsidR="00F04CF1" w:rsidRPr="00CA6208" w:rsidRDefault="00F04CF1" w:rsidP="00D82AC2">
            <w:pPr>
              <w:jc w:val="center"/>
            </w:pPr>
            <w:r w:rsidRPr="00CA6208">
              <w:t>11</w:t>
            </w:r>
            <w:r>
              <w:t>c</w:t>
            </w:r>
          </w:p>
        </w:tc>
        <w:tc>
          <w:tcPr>
            <w:tcW w:w="1440" w:type="dxa"/>
          </w:tcPr>
          <w:p w:rsidR="00F04CF1" w:rsidRDefault="00F04CF1" w:rsidP="00D82AC2">
            <w:pPr>
              <w:jc w:val="center"/>
            </w:pPr>
            <w:r w:rsidRPr="00CA6208">
              <w:t>Exhibit: DWP-104</w:t>
            </w:r>
          </w:p>
          <w:p w:rsidR="00F04CF1" w:rsidRDefault="00F04CF1" w:rsidP="00D82AC2">
            <w:pPr>
              <w:jc w:val="center"/>
            </w:pPr>
          </w:p>
          <w:p w:rsidR="00F04CF1" w:rsidRPr="00CA6208" w:rsidRDefault="00F04CF1" w:rsidP="00D82AC2">
            <w:pPr>
              <w:jc w:val="center"/>
            </w:pPr>
            <w:r w:rsidRPr="009F2160">
              <w:t>Tab 7 Factor Summary</w:t>
            </w:r>
          </w:p>
        </w:tc>
        <w:tc>
          <w:tcPr>
            <w:tcW w:w="1170" w:type="dxa"/>
          </w:tcPr>
          <w:p w:rsidR="00F04CF1" w:rsidRPr="00CA6208" w:rsidRDefault="00F04CF1" w:rsidP="00D82AC2">
            <w:r>
              <w:t>2.1.</w:t>
            </w:r>
            <w:r w:rsidRPr="00CA6208">
              <w:t>2017</w:t>
            </w:r>
            <w:r>
              <w:t>/2.9.2017</w:t>
            </w:r>
          </w:p>
        </w:tc>
        <w:tc>
          <w:tcPr>
            <w:tcW w:w="2700" w:type="dxa"/>
          </w:tcPr>
          <w:p w:rsidR="00F04CF1" w:rsidRDefault="00F04CF1" w:rsidP="005B60F6">
            <w:pPr>
              <w:ind w:left="100"/>
            </w:pPr>
            <w:r>
              <w:t>Cells D27-31, E177, E47-49, E53, E55-56, E59, E116-117, G116-117 - Please provide documentation.</w:t>
            </w:r>
          </w:p>
          <w:p w:rsidR="00F04CF1" w:rsidRPr="009F2160" w:rsidRDefault="00F04CF1" w:rsidP="00B26D25">
            <w:pPr>
              <w:ind w:left="460"/>
            </w:pPr>
          </w:p>
        </w:tc>
        <w:tc>
          <w:tcPr>
            <w:tcW w:w="6660" w:type="dxa"/>
          </w:tcPr>
          <w:p w:rsidR="00F04CF1" w:rsidRDefault="00F04CF1" w:rsidP="00F04CF1">
            <w:pPr>
              <w:pStyle w:val="ListParagraph"/>
              <w:widowControl w:val="0"/>
              <w:numPr>
                <w:ilvl w:val="0"/>
                <w:numId w:val="47"/>
              </w:numPr>
              <w:contextualSpacing w:val="0"/>
            </w:pPr>
            <w:r>
              <w:t>Cells D27-31: Please see to the “Lines-</w:t>
            </w:r>
            <w:proofErr w:type="spellStart"/>
            <w:r>
              <w:t>GP</w:t>
            </w:r>
            <w:proofErr w:type="gramStart"/>
            <w:r>
              <w:t>,Accum</w:t>
            </w:r>
            <w:proofErr w:type="spellEnd"/>
            <w:proofErr w:type="gramEnd"/>
            <w:r>
              <w:t xml:space="preserve"> </w:t>
            </w:r>
            <w:proofErr w:type="spellStart"/>
            <w:r>
              <w:t>Dep,O&amp;M</w:t>
            </w:r>
            <w:proofErr w:type="spellEnd"/>
            <w:r>
              <w:t xml:space="preserve">” tab in </w:t>
            </w:r>
            <w:r w:rsidRPr="00055245">
              <w:t xml:space="preserve"> “Attachment 11a_7 Factor Olive and Lines.xlsx.”</w:t>
            </w:r>
          </w:p>
          <w:p w:rsidR="00F04CF1" w:rsidRDefault="00F04CF1" w:rsidP="00F04CF1">
            <w:pPr>
              <w:pStyle w:val="ListParagraph"/>
              <w:widowControl w:val="0"/>
              <w:numPr>
                <w:ilvl w:val="0"/>
                <w:numId w:val="47"/>
              </w:numPr>
              <w:contextualSpacing w:val="0"/>
            </w:pPr>
            <w:r>
              <w:t xml:space="preserve">Cell E177: </w:t>
            </w:r>
            <w:r w:rsidRPr="00DB7142">
              <w:t>Please</w:t>
            </w:r>
            <w:r>
              <w:t xml:space="preserve"> see “Attachment 11.c.1_Trans Assets Subject to Property Tax.xlsx.” </w:t>
            </w:r>
          </w:p>
          <w:p w:rsidR="00F04CF1" w:rsidRDefault="00F04CF1" w:rsidP="00F04CF1">
            <w:pPr>
              <w:pStyle w:val="ListParagraph"/>
              <w:widowControl w:val="0"/>
              <w:numPr>
                <w:ilvl w:val="0"/>
                <w:numId w:val="47"/>
              </w:numPr>
              <w:contextualSpacing w:val="0"/>
            </w:pPr>
            <w:r>
              <w:t>Cell E4</w:t>
            </w:r>
            <w:r w:rsidRPr="007A1162">
              <w:t xml:space="preserve">7-49:  Please see “Attachment </w:t>
            </w:r>
            <w:r>
              <w:t>11.</w:t>
            </w:r>
            <w:r w:rsidRPr="007A1162">
              <w:t>c</w:t>
            </w:r>
            <w:r>
              <w:t>.2</w:t>
            </w:r>
            <w:r w:rsidRPr="007A1162">
              <w:t>_</w:t>
            </w:r>
            <w:r>
              <w:t>Tra</w:t>
            </w:r>
            <w:r w:rsidRPr="007A1162">
              <w:t>n</w:t>
            </w:r>
            <w:r>
              <w:t>s</w:t>
            </w:r>
            <w:r w:rsidRPr="007A1162">
              <w:t>mission Miles.xlsx”</w:t>
            </w:r>
          </w:p>
          <w:p w:rsidR="00F04CF1" w:rsidRDefault="00F04CF1" w:rsidP="00F04CF1">
            <w:pPr>
              <w:pStyle w:val="ListParagraph"/>
              <w:widowControl w:val="0"/>
              <w:numPr>
                <w:ilvl w:val="0"/>
                <w:numId w:val="47"/>
              </w:numPr>
              <w:contextualSpacing w:val="0"/>
            </w:pPr>
            <w:r>
              <w:t xml:space="preserve">E53: </w:t>
            </w:r>
            <w:r w:rsidRPr="007A1162">
              <w:t xml:space="preserve">Please see “Attachment </w:t>
            </w:r>
            <w:r>
              <w:t>11.</w:t>
            </w:r>
            <w:r w:rsidRPr="007A1162">
              <w:t>c</w:t>
            </w:r>
            <w:r>
              <w:t>.2</w:t>
            </w:r>
            <w:r w:rsidRPr="007A1162">
              <w:t>_</w:t>
            </w:r>
            <w:r>
              <w:t>Tra</w:t>
            </w:r>
            <w:r w:rsidRPr="007A1162">
              <w:t>n</w:t>
            </w:r>
            <w:r>
              <w:t>s</w:t>
            </w:r>
            <w:r w:rsidRPr="007A1162">
              <w:t>mission Miles.xlsx”</w:t>
            </w:r>
          </w:p>
          <w:p w:rsidR="00F04CF1" w:rsidRDefault="00F04CF1" w:rsidP="00F04CF1">
            <w:pPr>
              <w:pStyle w:val="ListParagraph"/>
            </w:pPr>
          </w:p>
          <w:p w:rsidR="00F04CF1" w:rsidRPr="00A835C2" w:rsidRDefault="00F04CF1" w:rsidP="00F04CF1">
            <w:pPr>
              <w:pStyle w:val="ListParagraph"/>
              <w:widowControl w:val="0"/>
              <w:numPr>
                <w:ilvl w:val="0"/>
                <w:numId w:val="47"/>
              </w:numPr>
              <w:contextualSpacing w:val="0"/>
            </w:pPr>
            <w:r>
              <w:t>E55-56: Pending</w:t>
            </w:r>
          </w:p>
          <w:p w:rsidR="00F04CF1" w:rsidRDefault="00F04CF1" w:rsidP="00F04CF1">
            <w:pPr>
              <w:pStyle w:val="ListParagraph"/>
              <w:ind w:left="360"/>
            </w:pPr>
          </w:p>
          <w:p w:rsidR="00F04CF1" w:rsidRDefault="00F04CF1" w:rsidP="00F04CF1">
            <w:pPr>
              <w:pStyle w:val="ListParagraph"/>
              <w:widowControl w:val="0"/>
              <w:numPr>
                <w:ilvl w:val="0"/>
                <w:numId w:val="47"/>
              </w:numPr>
              <w:contextualSpacing w:val="0"/>
            </w:pPr>
            <w:r>
              <w:t>E59:</w:t>
            </w:r>
            <w:r w:rsidRPr="007A1162">
              <w:t xml:space="preserve"> Please see “Attachment </w:t>
            </w:r>
            <w:r>
              <w:t>11.</w:t>
            </w:r>
            <w:r w:rsidRPr="007A1162">
              <w:t>c</w:t>
            </w:r>
            <w:r>
              <w:t>.2</w:t>
            </w:r>
            <w:r w:rsidRPr="007A1162">
              <w:t>_</w:t>
            </w:r>
            <w:r>
              <w:t>Tra</w:t>
            </w:r>
            <w:r w:rsidRPr="007A1162">
              <w:t>n</w:t>
            </w:r>
            <w:r>
              <w:t>s</w:t>
            </w:r>
            <w:r w:rsidRPr="007A1162">
              <w:t>mission Miles.xlsx”</w:t>
            </w:r>
          </w:p>
          <w:p w:rsidR="00F04CF1" w:rsidRDefault="00F04CF1" w:rsidP="00F04CF1">
            <w:pPr>
              <w:pStyle w:val="ListParagraph"/>
            </w:pPr>
          </w:p>
          <w:p w:rsidR="00F04CF1" w:rsidRDefault="00F04CF1" w:rsidP="00F04CF1">
            <w:pPr>
              <w:pStyle w:val="ListParagraph"/>
              <w:widowControl w:val="0"/>
              <w:numPr>
                <w:ilvl w:val="0"/>
                <w:numId w:val="47"/>
              </w:numPr>
              <w:contextualSpacing w:val="0"/>
            </w:pPr>
            <w:r>
              <w:t xml:space="preserve">E116-117: See the “Olive Station Costs” tab </w:t>
            </w:r>
            <w:r w:rsidRPr="00055245">
              <w:t>in “Attachment 11a_7 Factor Olive and Lines.xlsx.”</w:t>
            </w:r>
            <w:r>
              <w:t xml:space="preserve"> </w:t>
            </w:r>
          </w:p>
          <w:p w:rsidR="00F04CF1" w:rsidRDefault="00F04CF1" w:rsidP="00F04CF1"/>
          <w:p w:rsidR="00F04CF1" w:rsidRPr="00CA6208" w:rsidRDefault="00F04CF1" w:rsidP="004A7475">
            <w:pPr>
              <w:pStyle w:val="ListParagraph"/>
              <w:widowControl w:val="0"/>
              <w:numPr>
                <w:ilvl w:val="0"/>
                <w:numId w:val="47"/>
              </w:numPr>
              <w:contextualSpacing w:val="0"/>
            </w:pPr>
            <w:r>
              <w:t xml:space="preserve">G116-117: See the “Olive Station Costs” tab </w:t>
            </w:r>
            <w:r w:rsidRPr="00055245">
              <w:t>in “Attachment 11a_7 Factor Olive and Lines.xlsx.”</w:t>
            </w:r>
            <w:r>
              <w:t xml:space="preserve"> </w:t>
            </w:r>
          </w:p>
        </w:tc>
      </w:tr>
      <w:tr w:rsidR="00F04CF1" w:rsidTr="00674E11">
        <w:tc>
          <w:tcPr>
            <w:tcW w:w="1350" w:type="dxa"/>
          </w:tcPr>
          <w:p w:rsidR="00F04CF1" w:rsidRDefault="00F04CF1">
            <w:r w:rsidRPr="000856E0">
              <w:lastRenderedPageBreak/>
              <w:t>Burbank</w:t>
            </w:r>
            <w:r w:rsidRPr="000856E0">
              <w:rPr>
                <w:spacing w:val="-3"/>
              </w:rPr>
              <w:t xml:space="preserve"> </w:t>
            </w:r>
            <w:r w:rsidRPr="000856E0">
              <w:t>and</w:t>
            </w:r>
            <w:r w:rsidRPr="000856E0">
              <w:rPr>
                <w:spacing w:val="-3"/>
              </w:rPr>
              <w:t xml:space="preserve"> </w:t>
            </w:r>
            <w:r w:rsidRPr="000856E0">
              <w:t>Glendale</w:t>
            </w:r>
          </w:p>
        </w:tc>
        <w:tc>
          <w:tcPr>
            <w:tcW w:w="900" w:type="dxa"/>
          </w:tcPr>
          <w:p w:rsidR="00F04CF1" w:rsidRPr="00CA6208" w:rsidRDefault="00F04CF1" w:rsidP="004A7475">
            <w:pPr>
              <w:jc w:val="center"/>
            </w:pPr>
            <w:r w:rsidRPr="00CA6208">
              <w:t>12</w:t>
            </w:r>
            <w:r>
              <w:t>a</w:t>
            </w:r>
          </w:p>
        </w:tc>
        <w:tc>
          <w:tcPr>
            <w:tcW w:w="1440" w:type="dxa"/>
          </w:tcPr>
          <w:p w:rsidR="00F04CF1" w:rsidRDefault="00F04CF1" w:rsidP="00406489">
            <w:pPr>
              <w:jc w:val="center"/>
            </w:pPr>
            <w:r w:rsidRPr="00CA6208">
              <w:t>Exhibit: DWP-104</w:t>
            </w:r>
          </w:p>
          <w:p w:rsidR="00F04CF1" w:rsidRDefault="00F04CF1" w:rsidP="00406489">
            <w:pPr>
              <w:jc w:val="center"/>
            </w:pPr>
          </w:p>
          <w:p w:rsidR="00F04CF1" w:rsidRPr="00CA6208" w:rsidRDefault="00F04CF1" w:rsidP="00406489">
            <w:pPr>
              <w:jc w:val="center"/>
            </w:pPr>
            <w:r w:rsidRPr="009F2160">
              <w:t>Tab Unit Data</w:t>
            </w:r>
          </w:p>
        </w:tc>
        <w:tc>
          <w:tcPr>
            <w:tcW w:w="1170" w:type="dxa"/>
          </w:tcPr>
          <w:p w:rsidR="00F04CF1" w:rsidRPr="00CA6208" w:rsidRDefault="00F04CF1">
            <w:r>
              <w:t>2.1.</w:t>
            </w:r>
            <w:r w:rsidRPr="00CA6208">
              <w:t>2017</w:t>
            </w:r>
          </w:p>
        </w:tc>
        <w:tc>
          <w:tcPr>
            <w:tcW w:w="2700" w:type="dxa"/>
          </w:tcPr>
          <w:p w:rsidR="00F04CF1" w:rsidRPr="009F2160" w:rsidRDefault="00F04CF1" w:rsidP="005B60F6">
            <w:pPr>
              <w:ind w:left="100"/>
            </w:pPr>
            <w:r w:rsidRPr="009F2160">
              <w:t>Cell B81 - Please provide data and documentation referenced in note [1].</w:t>
            </w:r>
          </w:p>
          <w:p w:rsidR="00F04CF1" w:rsidRPr="00CA6208" w:rsidRDefault="00F04CF1" w:rsidP="00FC6F21">
            <w:pPr>
              <w:ind w:left="460"/>
            </w:pPr>
          </w:p>
        </w:tc>
        <w:tc>
          <w:tcPr>
            <w:tcW w:w="6660" w:type="dxa"/>
          </w:tcPr>
          <w:p w:rsidR="00F04CF1" w:rsidRPr="00CA6208" w:rsidRDefault="00F04CF1" w:rsidP="004A7475"/>
        </w:tc>
      </w:tr>
      <w:tr w:rsidR="00F04CF1" w:rsidTr="00674E11">
        <w:tc>
          <w:tcPr>
            <w:tcW w:w="1350" w:type="dxa"/>
          </w:tcPr>
          <w:p w:rsidR="00F04CF1" w:rsidRDefault="00F04CF1" w:rsidP="00D82AC2">
            <w:r w:rsidRPr="000856E0">
              <w:t>Burbank</w:t>
            </w:r>
            <w:r w:rsidRPr="000856E0">
              <w:rPr>
                <w:spacing w:val="-3"/>
              </w:rPr>
              <w:t xml:space="preserve"> </w:t>
            </w:r>
            <w:r w:rsidRPr="000856E0">
              <w:t>and</w:t>
            </w:r>
            <w:r w:rsidRPr="000856E0">
              <w:rPr>
                <w:spacing w:val="-3"/>
              </w:rPr>
              <w:t xml:space="preserve"> </w:t>
            </w:r>
            <w:r w:rsidRPr="000856E0">
              <w:t>Glendale</w:t>
            </w:r>
          </w:p>
        </w:tc>
        <w:tc>
          <w:tcPr>
            <w:tcW w:w="900" w:type="dxa"/>
          </w:tcPr>
          <w:p w:rsidR="00F04CF1" w:rsidRPr="00CA6208" w:rsidRDefault="00F04CF1" w:rsidP="00D82AC2">
            <w:pPr>
              <w:jc w:val="center"/>
            </w:pPr>
            <w:r w:rsidRPr="00CA6208">
              <w:t>12</w:t>
            </w:r>
            <w:r>
              <w:t>b</w:t>
            </w:r>
          </w:p>
        </w:tc>
        <w:tc>
          <w:tcPr>
            <w:tcW w:w="1440" w:type="dxa"/>
          </w:tcPr>
          <w:p w:rsidR="00F04CF1" w:rsidRDefault="00F04CF1" w:rsidP="00D82AC2">
            <w:pPr>
              <w:jc w:val="center"/>
            </w:pPr>
            <w:r w:rsidRPr="00CA6208">
              <w:t>Exhibit: DWP-104</w:t>
            </w:r>
          </w:p>
          <w:p w:rsidR="00F04CF1" w:rsidRDefault="00F04CF1" w:rsidP="00D82AC2">
            <w:pPr>
              <w:jc w:val="center"/>
            </w:pPr>
          </w:p>
          <w:p w:rsidR="00F04CF1" w:rsidRPr="00CA6208" w:rsidRDefault="00F04CF1" w:rsidP="00D82AC2">
            <w:pPr>
              <w:jc w:val="center"/>
            </w:pPr>
            <w:r w:rsidRPr="009F2160">
              <w:t>Tab Unit Data</w:t>
            </w:r>
          </w:p>
        </w:tc>
        <w:tc>
          <w:tcPr>
            <w:tcW w:w="1170" w:type="dxa"/>
          </w:tcPr>
          <w:p w:rsidR="00F04CF1" w:rsidRPr="00CA6208" w:rsidRDefault="00F04CF1" w:rsidP="00D82AC2">
            <w:r>
              <w:t>2.1.</w:t>
            </w:r>
            <w:r w:rsidRPr="00CA6208">
              <w:t>2017</w:t>
            </w:r>
          </w:p>
        </w:tc>
        <w:tc>
          <w:tcPr>
            <w:tcW w:w="2700" w:type="dxa"/>
          </w:tcPr>
          <w:p w:rsidR="00F04CF1" w:rsidRPr="009F2160" w:rsidRDefault="00F04CF1" w:rsidP="005B60F6">
            <w:pPr>
              <w:ind w:left="100"/>
            </w:pPr>
            <w:r w:rsidRPr="009F2160">
              <w:t>Cell D94 - Please provide the basis for the estimate.</w:t>
            </w:r>
          </w:p>
          <w:p w:rsidR="00F04CF1" w:rsidRPr="009F2160" w:rsidRDefault="00F04CF1" w:rsidP="00FC6F21">
            <w:pPr>
              <w:ind w:left="460"/>
            </w:pPr>
          </w:p>
        </w:tc>
        <w:tc>
          <w:tcPr>
            <w:tcW w:w="6660" w:type="dxa"/>
          </w:tcPr>
          <w:p w:rsidR="00F04CF1" w:rsidRPr="00CA6208" w:rsidRDefault="00F04CF1" w:rsidP="004A7475"/>
        </w:tc>
      </w:tr>
      <w:tr w:rsidR="00F04CF1" w:rsidTr="00674E11">
        <w:tc>
          <w:tcPr>
            <w:tcW w:w="1350" w:type="dxa"/>
          </w:tcPr>
          <w:p w:rsidR="00F04CF1" w:rsidRDefault="00F04CF1">
            <w:r w:rsidRPr="000856E0">
              <w:t>Burbank</w:t>
            </w:r>
            <w:r w:rsidRPr="000856E0">
              <w:rPr>
                <w:spacing w:val="-3"/>
              </w:rPr>
              <w:t xml:space="preserve"> </w:t>
            </w:r>
            <w:r w:rsidRPr="000856E0">
              <w:t>and</w:t>
            </w:r>
            <w:r w:rsidRPr="000856E0">
              <w:rPr>
                <w:spacing w:val="-3"/>
              </w:rPr>
              <w:t xml:space="preserve"> </w:t>
            </w:r>
            <w:r w:rsidRPr="000856E0">
              <w:t>Glendale</w:t>
            </w:r>
          </w:p>
        </w:tc>
        <w:tc>
          <w:tcPr>
            <w:tcW w:w="900" w:type="dxa"/>
          </w:tcPr>
          <w:p w:rsidR="00F04CF1" w:rsidRPr="00CA6208" w:rsidRDefault="00F04CF1" w:rsidP="004A7475">
            <w:pPr>
              <w:jc w:val="center"/>
            </w:pPr>
            <w:r w:rsidRPr="00CA6208">
              <w:t>13</w:t>
            </w:r>
            <w:r>
              <w:t>a</w:t>
            </w:r>
          </w:p>
        </w:tc>
        <w:tc>
          <w:tcPr>
            <w:tcW w:w="1440" w:type="dxa"/>
          </w:tcPr>
          <w:p w:rsidR="00F04CF1" w:rsidRDefault="00F04CF1" w:rsidP="00406489">
            <w:pPr>
              <w:jc w:val="center"/>
            </w:pPr>
            <w:r w:rsidRPr="00CA6208">
              <w:t>Exhibit: DWP-104</w:t>
            </w:r>
          </w:p>
          <w:p w:rsidR="00F04CF1" w:rsidRDefault="00F04CF1" w:rsidP="00406489">
            <w:pPr>
              <w:jc w:val="center"/>
            </w:pPr>
          </w:p>
          <w:p w:rsidR="00F04CF1" w:rsidRPr="00CA6208" w:rsidRDefault="00F04CF1" w:rsidP="00406489">
            <w:pPr>
              <w:jc w:val="center"/>
            </w:pPr>
            <w:r w:rsidRPr="009F2160">
              <w:t xml:space="preserve">Tab Fixed Charge Rate &amp; VAR </w:t>
            </w:r>
            <w:proofErr w:type="spellStart"/>
            <w:r w:rsidRPr="009F2160">
              <w:t>Alloc</w:t>
            </w:r>
            <w:proofErr w:type="spellEnd"/>
            <w:r w:rsidRPr="009F2160">
              <w:t>.</w:t>
            </w:r>
          </w:p>
        </w:tc>
        <w:tc>
          <w:tcPr>
            <w:tcW w:w="1170" w:type="dxa"/>
          </w:tcPr>
          <w:p w:rsidR="00F04CF1" w:rsidRPr="00CA6208" w:rsidRDefault="00F04CF1">
            <w:r>
              <w:t>2.1.</w:t>
            </w:r>
            <w:r w:rsidRPr="00CA6208">
              <w:t>2017</w:t>
            </w:r>
          </w:p>
        </w:tc>
        <w:tc>
          <w:tcPr>
            <w:tcW w:w="2700" w:type="dxa"/>
          </w:tcPr>
          <w:p w:rsidR="00F04CF1" w:rsidRPr="009F2160" w:rsidRDefault="00F04CF1" w:rsidP="005B60F6">
            <w:pPr>
              <w:ind w:left="100"/>
            </w:pPr>
            <w:r w:rsidRPr="009F2160">
              <w:t>Cells C82-D83 - Please provide documentation.</w:t>
            </w:r>
          </w:p>
          <w:p w:rsidR="00F04CF1" w:rsidRPr="00CA6208" w:rsidRDefault="00F04CF1" w:rsidP="00FC6F21">
            <w:pPr>
              <w:ind w:left="460"/>
            </w:pPr>
          </w:p>
        </w:tc>
        <w:tc>
          <w:tcPr>
            <w:tcW w:w="6660" w:type="dxa"/>
          </w:tcPr>
          <w:p w:rsidR="00F04CF1" w:rsidRPr="00CA6208" w:rsidRDefault="00F04CF1" w:rsidP="004A7475"/>
        </w:tc>
      </w:tr>
      <w:tr w:rsidR="00F04CF1" w:rsidTr="00674E11">
        <w:tc>
          <w:tcPr>
            <w:tcW w:w="1350" w:type="dxa"/>
          </w:tcPr>
          <w:p w:rsidR="00F04CF1" w:rsidRDefault="00F04CF1" w:rsidP="00D82AC2">
            <w:r w:rsidRPr="000856E0">
              <w:lastRenderedPageBreak/>
              <w:t>Burbank</w:t>
            </w:r>
            <w:r w:rsidRPr="000856E0">
              <w:rPr>
                <w:spacing w:val="-3"/>
              </w:rPr>
              <w:t xml:space="preserve"> </w:t>
            </w:r>
            <w:r w:rsidRPr="000856E0">
              <w:t>and</w:t>
            </w:r>
            <w:r w:rsidRPr="000856E0">
              <w:rPr>
                <w:spacing w:val="-3"/>
              </w:rPr>
              <w:t xml:space="preserve"> </w:t>
            </w:r>
            <w:r w:rsidRPr="000856E0">
              <w:t>Glendale</w:t>
            </w:r>
          </w:p>
        </w:tc>
        <w:tc>
          <w:tcPr>
            <w:tcW w:w="900" w:type="dxa"/>
          </w:tcPr>
          <w:p w:rsidR="00F04CF1" w:rsidRPr="00CA6208" w:rsidRDefault="00F04CF1" w:rsidP="00D82AC2">
            <w:pPr>
              <w:jc w:val="center"/>
            </w:pPr>
            <w:r w:rsidRPr="00CA6208">
              <w:t>13</w:t>
            </w:r>
            <w:r>
              <w:t>b</w:t>
            </w:r>
          </w:p>
        </w:tc>
        <w:tc>
          <w:tcPr>
            <w:tcW w:w="1440" w:type="dxa"/>
          </w:tcPr>
          <w:p w:rsidR="00F04CF1" w:rsidRDefault="00F04CF1" w:rsidP="00D82AC2">
            <w:pPr>
              <w:jc w:val="center"/>
            </w:pPr>
            <w:r w:rsidRPr="00CA6208">
              <w:t>Exhibit: DWP-104</w:t>
            </w:r>
          </w:p>
          <w:p w:rsidR="00F04CF1" w:rsidRDefault="00F04CF1" w:rsidP="00D82AC2">
            <w:pPr>
              <w:jc w:val="center"/>
            </w:pPr>
          </w:p>
          <w:p w:rsidR="00F04CF1" w:rsidRPr="00CA6208" w:rsidRDefault="00F04CF1" w:rsidP="00D82AC2">
            <w:pPr>
              <w:jc w:val="center"/>
            </w:pPr>
            <w:r w:rsidRPr="009F2160">
              <w:t xml:space="preserve">Tab Fixed Charge Rate &amp; VAR </w:t>
            </w:r>
            <w:proofErr w:type="spellStart"/>
            <w:r w:rsidRPr="009F2160">
              <w:t>Alloc</w:t>
            </w:r>
            <w:proofErr w:type="spellEnd"/>
            <w:r w:rsidRPr="009F2160">
              <w:t>.</w:t>
            </w:r>
          </w:p>
        </w:tc>
        <w:tc>
          <w:tcPr>
            <w:tcW w:w="1170" w:type="dxa"/>
          </w:tcPr>
          <w:p w:rsidR="00F04CF1" w:rsidRPr="00CA6208" w:rsidRDefault="00F04CF1" w:rsidP="00D82AC2">
            <w:r>
              <w:t>2.1.</w:t>
            </w:r>
            <w:r w:rsidRPr="00CA6208">
              <w:t>2017</w:t>
            </w:r>
          </w:p>
        </w:tc>
        <w:tc>
          <w:tcPr>
            <w:tcW w:w="2700" w:type="dxa"/>
          </w:tcPr>
          <w:p w:rsidR="00F04CF1" w:rsidRPr="009F2160" w:rsidRDefault="00F04CF1" w:rsidP="005B60F6">
            <w:pPr>
              <w:ind w:left="100"/>
            </w:pPr>
            <w:r w:rsidRPr="009F2160">
              <w:t>Cells C87-D93 - Please provide documentation.</w:t>
            </w:r>
          </w:p>
          <w:p w:rsidR="00F04CF1" w:rsidRPr="009F2160" w:rsidRDefault="00F04CF1" w:rsidP="00FC6F21">
            <w:pPr>
              <w:ind w:left="460"/>
            </w:pPr>
          </w:p>
        </w:tc>
        <w:tc>
          <w:tcPr>
            <w:tcW w:w="6660" w:type="dxa"/>
          </w:tcPr>
          <w:p w:rsidR="00F04CF1" w:rsidRPr="00CA6208" w:rsidRDefault="00F04CF1" w:rsidP="004A7475"/>
        </w:tc>
      </w:tr>
      <w:tr w:rsidR="00F04CF1" w:rsidTr="00674E11">
        <w:tc>
          <w:tcPr>
            <w:tcW w:w="1350" w:type="dxa"/>
          </w:tcPr>
          <w:p w:rsidR="00F04CF1" w:rsidRDefault="00F04CF1">
            <w:r w:rsidRPr="00903CC4">
              <w:t>Burbank</w:t>
            </w:r>
            <w:r w:rsidRPr="00903CC4">
              <w:rPr>
                <w:spacing w:val="-3"/>
              </w:rPr>
              <w:t xml:space="preserve"> </w:t>
            </w:r>
            <w:r w:rsidRPr="00903CC4">
              <w:t>and</w:t>
            </w:r>
            <w:r w:rsidRPr="00903CC4">
              <w:rPr>
                <w:spacing w:val="-3"/>
              </w:rPr>
              <w:t xml:space="preserve"> </w:t>
            </w:r>
            <w:r w:rsidRPr="00903CC4">
              <w:t>Glendale</w:t>
            </w:r>
          </w:p>
        </w:tc>
        <w:tc>
          <w:tcPr>
            <w:tcW w:w="900" w:type="dxa"/>
          </w:tcPr>
          <w:p w:rsidR="00F04CF1" w:rsidRPr="00CA6208" w:rsidRDefault="00F04CF1" w:rsidP="004A7475">
            <w:pPr>
              <w:jc w:val="center"/>
            </w:pPr>
            <w:r w:rsidRPr="00CA6208">
              <w:t>14</w:t>
            </w:r>
            <w:r>
              <w:t>a</w:t>
            </w:r>
          </w:p>
        </w:tc>
        <w:tc>
          <w:tcPr>
            <w:tcW w:w="1440" w:type="dxa"/>
          </w:tcPr>
          <w:p w:rsidR="00F04CF1" w:rsidRDefault="00F04CF1" w:rsidP="00406489">
            <w:pPr>
              <w:jc w:val="center"/>
            </w:pPr>
            <w:r w:rsidRPr="00CA6208">
              <w:t>Exhibit: DWP-104</w:t>
            </w:r>
          </w:p>
          <w:p w:rsidR="00F04CF1" w:rsidRDefault="00F04CF1" w:rsidP="00406489">
            <w:pPr>
              <w:jc w:val="center"/>
            </w:pPr>
          </w:p>
          <w:p w:rsidR="00F04CF1" w:rsidRPr="00CA6208" w:rsidRDefault="00F04CF1" w:rsidP="00406489">
            <w:pPr>
              <w:jc w:val="center"/>
            </w:pPr>
            <w:r w:rsidRPr="009F2160">
              <w:t>Transmission Planning Standards</w:t>
            </w:r>
          </w:p>
        </w:tc>
        <w:tc>
          <w:tcPr>
            <w:tcW w:w="1170" w:type="dxa"/>
          </w:tcPr>
          <w:p w:rsidR="00F04CF1" w:rsidRPr="00CA6208" w:rsidRDefault="00F04CF1">
            <w:r>
              <w:t>2.1.</w:t>
            </w:r>
            <w:r w:rsidRPr="00CA6208">
              <w:t>2017</w:t>
            </w:r>
          </w:p>
        </w:tc>
        <w:tc>
          <w:tcPr>
            <w:tcW w:w="2700" w:type="dxa"/>
          </w:tcPr>
          <w:p w:rsidR="00F04CF1" w:rsidRPr="009F2160" w:rsidRDefault="00F04CF1" w:rsidP="005B60F6">
            <w:pPr>
              <w:ind w:left="100"/>
            </w:pPr>
            <w:r w:rsidRPr="009F2160">
              <w:t>Please provide LADWP’s most recent long-term transmission planning study.</w:t>
            </w:r>
          </w:p>
          <w:p w:rsidR="00F04CF1" w:rsidRPr="00CA6208" w:rsidRDefault="00F04CF1" w:rsidP="00FC6F21">
            <w:pPr>
              <w:ind w:left="460"/>
            </w:pPr>
          </w:p>
        </w:tc>
        <w:tc>
          <w:tcPr>
            <w:tcW w:w="6660" w:type="dxa"/>
          </w:tcPr>
          <w:p w:rsidR="00F04CF1" w:rsidRPr="00CA6208" w:rsidRDefault="00F04CF1" w:rsidP="004A7475">
            <w:r>
              <w:t>The cost of service study and proposed rates are based on historical fiscal year 2014-2015. The information requested was not used in a cost of service study or any analyses that produced the proposed rates.</w:t>
            </w:r>
          </w:p>
        </w:tc>
      </w:tr>
      <w:tr w:rsidR="00F04CF1" w:rsidTr="00674E11">
        <w:tc>
          <w:tcPr>
            <w:tcW w:w="1350" w:type="dxa"/>
          </w:tcPr>
          <w:p w:rsidR="00F04CF1" w:rsidRDefault="00F04CF1" w:rsidP="00D82AC2">
            <w:r w:rsidRPr="00903CC4">
              <w:t>Burbank</w:t>
            </w:r>
            <w:r w:rsidRPr="00903CC4">
              <w:rPr>
                <w:spacing w:val="-3"/>
              </w:rPr>
              <w:t xml:space="preserve"> </w:t>
            </w:r>
            <w:r w:rsidRPr="00903CC4">
              <w:t>and</w:t>
            </w:r>
            <w:r w:rsidRPr="00903CC4">
              <w:rPr>
                <w:spacing w:val="-3"/>
              </w:rPr>
              <w:t xml:space="preserve"> </w:t>
            </w:r>
            <w:r w:rsidRPr="00903CC4">
              <w:t>Glendale</w:t>
            </w:r>
          </w:p>
        </w:tc>
        <w:tc>
          <w:tcPr>
            <w:tcW w:w="900" w:type="dxa"/>
          </w:tcPr>
          <w:p w:rsidR="00F04CF1" w:rsidRPr="00CA6208" w:rsidRDefault="00F04CF1" w:rsidP="00D82AC2">
            <w:pPr>
              <w:jc w:val="center"/>
            </w:pPr>
            <w:r w:rsidRPr="00CA6208">
              <w:t>14</w:t>
            </w:r>
            <w:r>
              <w:t>b</w:t>
            </w:r>
          </w:p>
        </w:tc>
        <w:tc>
          <w:tcPr>
            <w:tcW w:w="1440" w:type="dxa"/>
          </w:tcPr>
          <w:p w:rsidR="00F04CF1" w:rsidRDefault="00F04CF1" w:rsidP="00D82AC2">
            <w:pPr>
              <w:jc w:val="center"/>
            </w:pPr>
            <w:r w:rsidRPr="00CA6208">
              <w:t>Exhibit: DWP-104</w:t>
            </w:r>
          </w:p>
          <w:p w:rsidR="00F04CF1" w:rsidRDefault="00F04CF1" w:rsidP="00D82AC2">
            <w:pPr>
              <w:jc w:val="center"/>
            </w:pPr>
          </w:p>
          <w:p w:rsidR="00F04CF1" w:rsidRPr="00CA6208" w:rsidRDefault="00F04CF1" w:rsidP="00D82AC2">
            <w:pPr>
              <w:jc w:val="center"/>
            </w:pPr>
            <w:r w:rsidRPr="009F2160">
              <w:t>Transmission Planning Standards</w:t>
            </w:r>
          </w:p>
        </w:tc>
        <w:tc>
          <w:tcPr>
            <w:tcW w:w="1170" w:type="dxa"/>
          </w:tcPr>
          <w:p w:rsidR="00F04CF1" w:rsidRPr="00CA6208" w:rsidRDefault="00F04CF1" w:rsidP="00D82AC2">
            <w:r>
              <w:t>2.1.</w:t>
            </w:r>
            <w:r w:rsidRPr="00CA6208">
              <w:t>2017</w:t>
            </w:r>
          </w:p>
        </w:tc>
        <w:tc>
          <w:tcPr>
            <w:tcW w:w="2700" w:type="dxa"/>
          </w:tcPr>
          <w:p w:rsidR="00F04CF1" w:rsidRPr="009F2160" w:rsidRDefault="00F04CF1" w:rsidP="005B60F6">
            <w:pPr>
              <w:ind w:left="100"/>
            </w:pPr>
            <w:r w:rsidRPr="009F2160">
              <w:t>Please include a statement of LADWP’s planning standards for transmission facilities.</w:t>
            </w:r>
          </w:p>
          <w:p w:rsidR="00F04CF1" w:rsidRPr="009F2160" w:rsidRDefault="00F04CF1" w:rsidP="00FC6F21">
            <w:pPr>
              <w:ind w:left="460"/>
            </w:pPr>
          </w:p>
        </w:tc>
        <w:tc>
          <w:tcPr>
            <w:tcW w:w="6660" w:type="dxa"/>
          </w:tcPr>
          <w:p w:rsidR="00F04CF1" w:rsidRPr="00CA6208" w:rsidRDefault="00F04CF1" w:rsidP="004A7475">
            <w:r>
              <w:t>The cost of service study and proposed rates are based on historical fiscal year 2014-2015. The information requested was not used in a cost of service study or any analyses that produced the proposed rates.</w:t>
            </w:r>
          </w:p>
        </w:tc>
      </w:tr>
      <w:tr w:rsidR="00F04CF1" w:rsidTr="00674E11">
        <w:tc>
          <w:tcPr>
            <w:tcW w:w="1350" w:type="dxa"/>
          </w:tcPr>
          <w:p w:rsidR="00F04CF1" w:rsidRDefault="00F04CF1" w:rsidP="00D82AC2">
            <w:r w:rsidRPr="00903CC4">
              <w:t>Burbank</w:t>
            </w:r>
            <w:r w:rsidRPr="00903CC4">
              <w:rPr>
                <w:spacing w:val="-3"/>
              </w:rPr>
              <w:t xml:space="preserve"> </w:t>
            </w:r>
            <w:r w:rsidRPr="00903CC4">
              <w:t>and</w:t>
            </w:r>
            <w:r w:rsidRPr="00903CC4">
              <w:rPr>
                <w:spacing w:val="-3"/>
              </w:rPr>
              <w:t xml:space="preserve"> </w:t>
            </w:r>
            <w:r w:rsidRPr="00903CC4">
              <w:t>Glendale</w:t>
            </w:r>
          </w:p>
        </w:tc>
        <w:tc>
          <w:tcPr>
            <w:tcW w:w="900" w:type="dxa"/>
          </w:tcPr>
          <w:p w:rsidR="00F04CF1" w:rsidRPr="00CA6208" w:rsidRDefault="00F04CF1" w:rsidP="00D82AC2">
            <w:pPr>
              <w:jc w:val="center"/>
            </w:pPr>
            <w:r w:rsidRPr="00CA6208">
              <w:t>14</w:t>
            </w:r>
            <w:r>
              <w:t>c</w:t>
            </w:r>
          </w:p>
        </w:tc>
        <w:tc>
          <w:tcPr>
            <w:tcW w:w="1440" w:type="dxa"/>
          </w:tcPr>
          <w:p w:rsidR="00F04CF1" w:rsidRDefault="00F04CF1" w:rsidP="00D82AC2">
            <w:pPr>
              <w:jc w:val="center"/>
            </w:pPr>
            <w:r w:rsidRPr="00CA6208">
              <w:t>Exhibit: DWP-104</w:t>
            </w:r>
          </w:p>
          <w:p w:rsidR="00F04CF1" w:rsidRDefault="00F04CF1" w:rsidP="00D82AC2">
            <w:pPr>
              <w:jc w:val="center"/>
            </w:pPr>
          </w:p>
          <w:p w:rsidR="00F04CF1" w:rsidRPr="00CA6208" w:rsidRDefault="00F04CF1" w:rsidP="00D82AC2">
            <w:pPr>
              <w:jc w:val="center"/>
            </w:pPr>
            <w:r w:rsidRPr="009F2160">
              <w:t>Transmission Planning Standards</w:t>
            </w:r>
          </w:p>
        </w:tc>
        <w:tc>
          <w:tcPr>
            <w:tcW w:w="1170" w:type="dxa"/>
          </w:tcPr>
          <w:p w:rsidR="00F04CF1" w:rsidRPr="00CA6208" w:rsidRDefault="00F04CF1" w:rsidP="00D82AC2">
            <w:r>
              <w:t>2.1.</w:t>
            </w:r>
            <w:r w:rsidRPr="00CA6208">
              <w:t>2017</w:t>
            </w:r>
          </w:p>
        </w:tc>
        <w:tc>
          <w:tcPr>
            <w:tcW w:w="2700" w:type="dxa"/>
          </w:tcPr>
          <w:p w:rsidR="00F04CF1" w:rsidRPr="009F2160" w:rsidRDefault="00F04CF1" w:rsidP="005B60F6">
            <w:pPr>
              <w:ind w:left="100"/>
            </w:pPr>
            <w:r w:rsidRPr="009F2160">
              <w:t>Please provide the most recent version of LADWP’s Long-Term Transmission Assessment.</w:t>
            </w:r>
          </w:p>
          <w:p w:rsidR="00F04CF1" w:rsidRPr="009F2160" w:rsidRDefault="00F04CF1" w:rsidP="00FC6F21">
            <w:pPr>
              <w:ind w:left="460"/>
            </w:pPr>
          </w:p>
        </w:tc>
        <w:tc>
          <w:tcPr>
            <w:tcW w:w="6660" w:type="dxa"/>
          </w:tcPr>
          <w:p w:rsidR="00F04CF1" w:rsidRDefault="00F04CF1" w:rsidP="004A7475">
            <w:r>
              <w:t>The cost of service study and proposed rates are based on historical fiscal year 2014-2015. The information requested was not used in a cost of service study or any analyses that produced the proposed rates.</w:t>
            </w:r>
          </w:p>
          <w:p w:rsidR="00B32CFB" w:rsidRDefault="00B32CFB" w:rsidP="004A7475"/>
          <w:p w:rsidR="00B32CFB" w:rsidRDefault="00B32CFB" w:rsidP="004A7475"/>
          <w:p w:rsidR="00B32CFB" w:rsidRDefault="00B32CFB" w:rsidP="004A7475"/>
          <w:p w:rsidR="00B32CFB" w:rsidRDefault="00B32CFB" w:rsidP="004A7475"/>
          <w:p w:rsidR="00B32CFB" w:rsidRPr="00CA6208" w:rsidRDefault="00B32CFB" w:rsidP="004A7475"/>
        </w:tc>
      </w:tr>
      <w:tr w:rsidR="00F04CF1" w:rsidTr="00674E11">
        <w:tc>
          <w:tcPr>
            <w:tcW w:w="1350" w:type="dxa"/>
          </w:tcPr>
          <w:p w:rsidR="00F04CF1" w:rsidRDefault="00F04CF1">
            <w:r w:rsidRPr="00903CC4">
              <w:lastRenderedPageBreak/>
              <w:t>Burbank</w:t>
            </w:r>
            <w:r w:rsidRPr="00903CC4">
              <w:rPr>
                <w:spacing w:val="-3"/>
              </w:rPr>
              <w:t xml:space="preserve"> </w:t>
            </w:r>
            <w:r w:rsidRPr="00903CC4">
              <w:t>and</w:t>
            </w:r>
            <w:r w:rsidRPr="00903CC4">
              <w:rPr>
                <w:spacing w:val="-3"/>
              </w:rPr>
              <w:t xml:space="preserve"> </w:t>
            </w:r>
            <w:r w:rsidRPr="00903CC4">
              <w:t>Glendale</w:t>
            </w:r>
          </w:p>
        </w:tc>
        <w:tc>
          <w:tcPr>
            <w:tcW w:w="900" w:type="dxa"/>
          </w:tcPr>
          <w:p w:rsidR="00F04CF1" w:rsidRPr="00CA6208" w:rsidRDefault="00F04CF1" w:rsidP="004A7475">
            <w:pPr>
              <w:jc w:val="center"/>
            </w:pPr>
            <w:r w:rsidRPr="00CA6208">
              <w:t>15</w:t>
            </w:r>
          </w:p>
        </w:tc>
        <w:tc>
          <w:tcPr>
            <w:tcW w:w="1440" w:type="dxa"/>
          </w:tcPr>
          <w:p w:rsidR="00F04CF1" w:rsidRPr="00CA6208" w:rsidRDefault="00F04CF1" w:rsidP="004A7475">
            <w:r w:rsidRPr="009F2160">
              <w:t>Exhibit 200</w:t>
            </w:r>
          </w:p>
        </w:tc>
        <w:tc>
          <w:tcPr>
            <w:tcW w:w="1170" w:type="dxa"/>
          </w:tcPr>
          <w:p w:rsidR="00F04CF1" w:rsidRDefault="00F04CF1">
            <w:r>
              <w:t>2.1.</w:t>
            </w:r>
            <w:r w:rsidRPr="00CA6208">
              <w:t>2017</w:t>
            </w:r>
            <w:r>
              <w:t>/</w:t>
            </w:r>
          </w:p>
          <w:p w:rsidR="00F04CF1" w:rsidRPr="00CA6208" w:rsidRDefault="00F04CF1">
            <w:r>
              <w:t>2.7.2017</w:t>
            </w:r>
          </w:p>
        </w:tc>
        <w:tc>
          <w:tcPr>
            <w:tcW w:w="2700" w:type="dxa"/>
          </w:tcPr>
          <w:p w:rsidR="00F04CF1" w:rsidRPr="009F2160" w:rsidRDefault="00F04CF1" w:rsidP="009F2160">
            <w:r w:rsidRPr="009F2160">
              <w:t>Please provide an explanation and supporting documentation for the use of a hypothetical capital structure.</w:t>
            </w:r>
          </w:p>
          <w:p w:rsidR="00F04CF1" w:rsidRPr="00CA6208" w:rsidRDefault="00F04CF1" w:rsidP="004A7475"/>
        </w:tc>
        <w:tc>
          <w:tcPr>
            <w:tcW w:w="6660" w:type="dxa"/>
          </w:tcPr>
          <w:p w:rsidR="00F04CF1" w:rsidRDefault="00F04CF1" w:rsidP="00366AE1">
            <w:r>
              <w:t xml:space="preserve">A complete explanation for the use of a hypothetical capital structure begins on page 6, line 14 and continues through page 9, line 4 of Dr. </w:t>
            </w:r>
            <w:proofErr w:type="spellStart"/>
            <w:r>
              <w:t>Habr’s</w:t>
            </w:r>
            <w:proofErr w:type="spellEnd"/>
            <w:r>
              <w:t xml:space="preserve"> direct testimony.</w:t>
            </w:r>
          </w:p>
          <w:p w:rsidR="00F04CF1" w:rsidRPr="00CA6208" w:rsidRDefault="00F04CF1" w:rsidP="004A7475"/>
        </w:tc>
      </w:tr>
      <w:tr w:rsidR="00F04CF1" w:rsidTr="00674E11">
        <w:tc>
          <w:tcPr>
            <w:tcW w:w="1350" w:type="dxa"/>
          </w:tcPr>
          <w:p w:rsidR="00F04CF1" w:rsidRPr="00CA6208" w:rsidRDefault="00F04CF1" w:rsidP="00D4367B">
            <w:pPr>
              <w:jc w:val="center"/>
            </w:pPr>
            <w:r>
              <w:t>Burbank</w:t>
            </w:r>
            <w:r>
              <w:rPr>
                <w:spacing w:val="-3"/>
              </w:rPr>
              <w:t xml:space="preserve"> </w:t>
            </w:r>
            <w:r>
              <w:t>and</w:t>
            </w:r>
            <w:r>
              <w:rPr>
                <w:spacing w:val="-3"/>
              </w:rPr>
              <w:t xml:space="preserve"> </w:t>
            </w:r>
            <w:r>
              <w:t>Glendale</w:t>
            </w:r>
          </w:p>
        </w:tc>
        <w:tc>
          <w:tcPr>
            <w:tcW w:w="900" w:type="dxa"/>
          </w:tcPr>
          <w:p w:rsidR="00F04CF1" w:rsidRPr="00CA6208" w:rsidRDefault="00F04CF1" w:rsidP="00D4367B">
            <w:pPr>
              <w:jc w:val="center"/>
            </w:pPr>
            <w:r>
              <w:t>16a</w:t>
            </w:r>
          </w:p>
        </w:tc>
        <w:tc>
          <w:tcPr>
            <w:tcW w:w="1440" w:type="dxa"/>
          </w:tcPr>
          <w:p w:rsidR="00F04CF1" w:rsidRPr="00CA6208" w:rsidRDefault="00F04CF1" w:rsidP="00D4367B">
            <w:r w:rsidRPr="009F2160">
              <w:t>Exhibits 300 and 400</w:t>
            </w:r>
          </w:p>
        </w:tc>
        <w:tc>
          <w:tcPr>
            <w:tcW w:w="1170" w:type="dxa"/>
          </w:tcPr>
          <w:p w:rsidR="00F04CF1" w:rsidRDefault="00F04CF1" w:rsidP="00D4367B">
            <w:r>
              <w:t>2.1.</w:t>
            </w:r>
            <w:r w:rsidRPr="00CA6208">
              <w:t>2017</w:t>
            </w:r>
            <w:r>
              <w:t>/</w:t>
            </w:r>
          </w:p>
          <w:p w:rsidR="00F04CF1" w:rsidRPr="00CA6208" w:rsidRDefault="00F04CF1" w:rsidP="00D4367B">
            <w:r>
              <w:t>2.8.2017</w:t>
            </w:r>
          </w:p>
        </w:tc>
        <w:tc>
          <w:tcPr>
            <w:tcW w:w="2700" w:type="dxa"/>
          </w:tcPr>
          <w:p w:rsidR="00F04CF1" w:rsidRPr="009F2160" w:rsidRDefault="00F04CF1" w:rsidP="005B60F6">
            <w:pPr>
              <w:ind w:left="100"/>
            </w:pPr>
            <w:r w:rsidRPr="009F2160">
              <w:t>Please provide explanations for all differences in depreciation rates between Exhibit 404 and Exhibit 302, page 6, Table 1-1.</w:t>
            </w:r>
          </w:p>
          <w:p w:rsidR="00F04CF1" w:rsidRPr="00CA6208" w:rsidRDefault="00F04CF1" w:rsidP="00FC6F21">
            <w:pPr>
              <w:ind w:left="460"/>
            </w:pPr>
          </w:p>
        </w:tc>
        <w:tc>
          <w:tcPr>
            <w:tcW w:w="6660" w:type="dxa"/>
          </w:tcPr>
          <w:p w:rsidR="00F04CF1" w:rsidRPr="00366AE1" w:rsidRDefault="00F04CF1" w:rsidP="005B60F6">
            <w:r w:rsidRPr="00366AE1">
              <w:t xml:space="preserve">Exhibit 404 is offered to demonstrate the recommended changes in depreciation rates based upon the </w:t>
            </w:r>
            <w:proofErr w:type="spellStart"/>
            <w:r w:rsidRPr="00366AE1">
              <w:t>NewGen</w:t>
            </w:r>
            <w:proofErr w:type="spellEnd"/>
            <w:r w:rsidRPr="00366AE1">
              <w:t xml:space="preserve"> Depreciation Study, as compared to the depreciation rates that were recommended in the 2003 Depreciation Study.  The first column in Exhibit 404 shows the rates that were recommended in the 2003 Depreciation Study performed by Deloitte.  </w:t>
            </w:r>
          </w:p>
          <w:p w:rsidR="00F04CF1" w:rsidRPr="00366AE1" w:rsidRDefault="00F04CF1" w:rsidP="00366AE1"/>
          <w:p w:rsidR="00F04CF1" w:rsidRPr="00CA6208" w:rsidRDefault="00F04CF1" w:rsidP="00B32CFB">
            <w:r w:rsidRPr="00366AE1">
              <w:t>The existing rates shown in Exhibit 302, page 6, Table 1-1 are composite rates which are calculated in Exhibit 302, pages 79-90, Schedule 3.  The existing depreciation rates shown in Exhibit 302, Schedule 3 were calculated based on the actual depreciation accruals recorded by LADWP expressed as a percentage of gross plant in service for fiscal year ended June 30, 2015.    These rates may differ from the depreciation rates recommended in the 2003 Depreciation Study because 1) LADWP did not adopt all of the recommendations in the 2003 Depreciation Study (e.g., the 2003 Depreciation Study recommended negative net salvage rates for production plant which LADWP did not implement), and 2) the existing depreciation rates shown in Exhibit 302, page 6, Table 1-1 reflect new plant assets installed since the 2003 Depreciation Study.</w:t>
            </w:r>
          </w:p>
        </w:tc>
      </w:tr>
      <w:tr w:rsidR="00F04CF1" w:rsidTr="00674E11">
        <w:tc>
          <w:tcPr>
            <w:tcW w:w="1350" w:type="dxa"/>
          </w:tcPr>
          <w:p w:rsidR="00F04CF1" w:rsidRPr="00CA6208" w:rsidRDefault="00F04CF1" w:rsidP="00D82AC2">
            <w:pPr>
              <w:jc w:val="center"/>
            </w:pPr>
            <w:r>
              <w:lastRenderedPageBreak/>
              <w:t>Burbank</w:t>
            </w:r>
            <w:r>
              <w:rPr>
                <w:spacing w:val="-3"/>
              </w:rPr>
              <w:t xml:space="preserve"> </w:t>
            </w:r>
            <w:r>
              <w:t>and</w:t>
            </w:r>
            <w:r>
              <w:rPr>
                <w:spacing w:val="-3"/>
              </w:rPr>
              <w:t xml:space="preserve"> </w:t>
            </w:r>
            <w:r>
              <w:t>Glendale</w:t>
            </w:r>
          </w:p>
        </w:tc>
        <w:tc>
          <w:tcPr>
            <w:tcW w:w="900" w:type="dxa"/>
          </w:tcPr>
          <w:p w:rsidR="00F04CF1" w:rsidRPr="00CA6208" w:rsidRDefault="00F04CF1" w:rsidP="00D82AC2">
            <w:pPr>
              <w:jc w:val="center"/>
            </w:pPr>
            <w:r>
              <w:t>16b</w:t>
            </w:r>
          </w:p>
        </w:tc>
        <w:tc>
          <w:tcPr>
            <w:tcW w:w="1440" w:type="dxa"/>
          </w:tcPr>
          <w:p w:rsidR="00F04CF1" w:rsidRPr="00CA6208" w:rsidRDefault="00F04CF1" w:rsidP="00D82AC2">
            <w:r w:rsidRPr="009F2160">
              <w:t>Exhibits 300 and 400</w:t>
            </w:r>
          </w:p>
        </w:tc>
        <w:tc>
          <w:tcPr>
            <w:tcW w:w="1170" w:type="dxa"/>
          </w:tcPr>
          <w:p w:rsidR="00F04CF1" w:rsidRDefault="00F04CF1" w:rsidP="00D82AC2">
            <w:r>
              <w:t>2.1.</w:t>
            </w:r>
            <w:r w:rsidRPr="00CA6208">
              <w:t>2017</w:t>
            </w:r>
            <w:r>
              <w:t>/</w:t>
            </w:r>
          </w:p>
          <w:p w:rsidR="00F04CF1" w:rsidRPr="00CA6208" w:rsidRDefault="00F04CF1" w:rsidP="00D82AC2">
            <w:r>
              <w:t>2.8.2017</w:t>
            </w:r>
          </w:p>
        </w:tc>
        <w:tc>
          <w:tcPr>
            <w:tcW w:w="2700" w:type="dxa"/>
          </w:tcPr>
          <w:p w:rsidR="00F04CF1" w:rsidRPr="009F2160" w:rsidRDefault="00F04CF1" w:rsidP="005B60F6">
            <w:pPr>
              <w:ind w:left="100"/>
            </w:pPr>
            <w:r w:rsidRPr="009F2160">
              <w:t xml:space="preserve">Please provide all workbooks, documentation, </w:t>
            </w:r>
            <w:proofErr w:type="spellStart"/>
            <w:r w:rsidRPr="009F2160">
              <w:t>workpapers</w:t>
            </w:r>
            <w:proofErr w:type="spellEnd"/>
            <w:r w:rsidRPr="009F2160">
              <w:t>, and studies not already made public.</w:t>
            </w:r>
          </w:p>
          <w:p w:rsidR="00F04CF1" w:rsidRPr="009F2160" w:rsidRDefault="00F04CF1" w:rsidP="00FC6F21">
            <w:pPr>
              <w:ind w:left="460"/>
            </w:pPr>
          </w:p>
        </w:tc>
        <w:tc>
          <w:tcPr>
            <w:tcW w:w="6660" w:type="dxa"/>
          </w:tcPr>
          <w:p w:rsidR="00F04CF1" w:rsidRPr="00366AE1" w:rsidRDefault="00F04CF1" w:rsidP="005B60F6">
            <w:proofErr w:type="spellStart"/>
            <w:r w:rsidRPr="00366AE1">
              <w:t>Workpapers</w:t>
            </w:r>
            <w:proofErr w:type="spellEnd"/>
            <w:r w:rsidRPr="00366AE1">
              <w:t xml:space="preserve"> for the 2016 Depreciation Study (Exhibit 302) are attached.  A copy of the 2003 Depreciation Study is also attached.</w:t>
            </w:r>
          </w:p>
          <w:p w:rsidR="00F04CF1" w:rsidRPr="00366AE1" w:rsidRDefault="00F04CF1" w:rsidP="00FC6F21">
            <w:pPr>
              <w:ind w:left="360"/>
            </w:pPr>
          </w:p>
        </w:tc>
      </w:tr>
      <w:tr w:rsidR="00F04CF1" w:rsidTr="00674E11">
        <w:tc>
          <w:tcPr>
            <w:tcW w:w="1350" w:type="dxa"/>
          </w:tcPr>
          <w:p w:rsidR="00F04CF1" w:rsidRDefault="00F04CF1">
            <w:r w:rsidRPr="00445DBD">
              <w:t>Burbank</w:t>
            </w:r>
            <w:r w:rsidRPr="00445DBD">
              <w:rPr>
                <w:spacing w:val="-3"/>
              </w:rPr>
              <w:t xml:space="preserve"> </w:t>
            </w:r>
            <w:r w:rsidRPr="00445DBD">
              <w:t>and</w:t>
            </w:r>
            <w:r w:rsidRPr="00445DBD">
              <w:rPr>
                <w:spacing w:val="-3"/>
              </w:rPr>
              <w:t xml:space="preserve"> </w:t>
            </w:r>
            <w:r w:rsidRPr="00445DBD">
              <w:t>Glendale</w:t>
            </w:r>
          </w:p>
        </w:tc>
        <w:tc>
          <w:tcPr>
            <w:tcW w:w="900" w:type="dxa"/>
          </w:tcPr>
          <w:p w:rsidR="00F04CF1" w:rsidRPr="00CA6208" w:rsidRDefault="00F04CF1" w:rsidP="004A7475">
            <w:pPr>
              <w:jc w:val="center"/>
            </w:pPr>
            <w:r w:rsidRPr="00CA6208">
              <w:t>17</w:t>
            </w:r>
          </w:p>
        </w:tc>
        <w:tc>
          <w:tcPr>
            <w:tcW w:w="1440" w:type="dxa"/>
          </w:tcPr>
          <w:p w:rsidR="00F04CF1" w:rsidRPr="00CA6208" w:rsidRDefault="00F04CF1" w:rsidP="004A7475">
            <w:r w:rsidRPr="002C2C53">
              <w:t>Exhibit 400</w:t>
            </w:r>
          </w:p>
        </w:tc>
        <w:tc>
          <w:tcPr>
            <w:tcW w:w="1170" w:type="dxa"/>
          </w:tcPr>
          <w:p w:rsidR="00F04CF1" w:rsidRDefault="00F04CF1">
            <w:r>
              <w:t>2.1.</w:t>
            </w:r>
            <w:r w:rsidRPr="00CA6208">
              <w:t>2017</w:t>
            </w:r>
            <w:r>
              <w:t>/</w:t>
            </w:r>
          </w:p>
          <w:p w:rsidR="00F04CF1" w:rsidRPr="00CA6208" w:rsidRDefault="00F04CF1">
            <w:r>
              <w:t>2.8.2017</w:t>
            </w:r>
          </w:p>
        </w:tc>
        <w:tc>
          <w:tcPr>
            <w:tcW w:w="2700" w:type="dxa"/>
          </w:tcPr>
          <w:p w:rsidR="00F04CF1" w:rsidRPr="00CA6208" w:rsidRDefault="00F04CF1" w:rsidP="002C2C53">
            <w:r w:rsidRPr="002C2C53">
              <w:t>Please provide the equivalent of Exhibit 403 for transmission facilities.</w:t>
            </w:r>
          </w:p>
        </w:tc>
        <w:tc>
          <w:tcPr>
            <w:tcW w:w="6660" w:type="dxa"/>
          </w:tcPr>
          <w:p w:rsidR="00F04CF1" w:rsidRPr="00366AE1" w:rsidRDefault="00F04CF1" w:rsidP="00366AE1">
            <w:r w:rsidRPr="00366AE1">
              <w:t xml:space="preserve">Provided below is a similar graph to Exhibit 403 for transmission facilities.  </w:t>
            </w:r>
          </w:p>
          <w:p w:rsidR="00F04CF1" w:rsidRPr="00366AE1" w:rsidRDefault="00F04CF1" w:rsidP="00366AE1"/>
          <w:p w:rsidR="00F04CF1" w:rsidRPr="00366AE1" w:rsidRDefault="00F04CF1" w:rsidP="00366AE1">
            <w:r w:rsidRPr="00366AE1">
              <w:rPr>
                <w:noProof/>
              </w:rPr>
              <w:drawing>
                <wp:inline distT="0" distB="0" distL="0" distR="0" wp14:anchorId="53871437" wp14:editId="001F64D1">
                  <wp:extent cx="1866900" cy="102391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69443" cy="1025313"/>
                          </a:xfrm>
                          <a:prstGeom prst="rect">
                            <a:avLst/>
                          </a:prstGeom>
                          <a:noFill/>
                        </pic:spPr>
                      </pic:pic>
                    </a:graphicData>
                  </a:graphic>
                </wp:inline>
              </w:drawing>
            </w:r>
          </w:p>
          <w:p w:rsidR="00F04CF1" w:rsidRDefault="00F04CF1" w:rsidP="004A7475"/>
          <w:p w:rsidR="00F04CF1" w:rsidRDefault="00F04CF1" w:rsidP="00366AE1">
            <w:r>
              <w:t>Please see attachment “IR17” for complete answer.</w:t>
            </w:r>
          </w:p>
          <w:p w:rsidR="00F04CF1" w:rsidRPr="00CA6208" w:rsidRDefault="00F04CF1" w:rsidP="004A7475"/>
        </w:tc>
      </w:tr>
      <w:tr w:rsidR="00F04CF1" w:rsidTr="00674E11">
        <w:tc>
          <w:tcPr>
            <w:tcW w:w="1350" w:type="dxa"/>
          </w:tcPr>
          <w:p w:rsidR="00F04CF1" w:rsidRDefault="00F04CF1">
            <w:r w:rsidRPr="00445DBD">
              <w:t>Burbank</w:t>
            </w:r>
            <w:r w:rsidRPr="00445DBD">
              <w:rPr>
                <w:spacing w:val="-3"/>
              </w:rPr>
              <w:t xml:space="preserve"> </w:t>
            </w:r>
            <w:r w:rsidRPr="00445DBD">
              <w:t>and</w:t>
            </w:r>
            <w:r w:rsidRPr="00445DBD">
              <w:rPr>
                <w:spacing w:val="-3"/>
              </w:rPr>
              <w:t xml:space="preserve"> </w:t>
            </w:r>
            <w:r w:rsidRPr="00445DBD">
              <w:t>Glendale</w:t>
            </w:r>
          </w:p>
        </w:tc>
        <w:tc>
          <w:tcPr>
            <w:tcW w:w="900" w:type="dxa"/>
          </w:tcPr>
          <w:p w:rsidR="00F04CF1" w:rsidRPr="00CA6208" w:rsidRDefault="00F04CF1" w:rsidP="004A7475">
            <w:pPr>
              <w:jc w:val="center"/>
            </w:pPr>
            <w:r w:rsidRPr="00CA6208">
              <w:t>18</w:t>
            </w:r>
            <w:r>
              <w:t>a</w:t>
            </w:r>
          </w:p>
        </w:tc>
        <w:tc>
          <w:tcPr>
            <w:tcW w:w="1440" w:type="dxa"/>
          </w:tcPr>
          <w:p w:rsidR="00F04CF1" w:rsidRPr="00CA6208" w:rsidRDefault="00F04CF1" w:rsidP="004A7475">
            <w:r w:rsidRPr="002C2C53">
              <w:t>Exhibit 500</w:t>
            </w:r>
          </w:p>
        </w:tc>
        <w:tc>
          <w:tcPr>
            <w:tcW w:w="1170" w:type="dxa"/>
          </w:tcPr>
          <w:p w:rsidR="00F04CF1" w:rsidRDefault="00F04CF1">
            <w:r>
              <w:t>2.1.</w:t>
            </w:r>
            <w:r w:rsidRPr="00CA6208">
              <w:t>2017</w:t>
            </w:r>
            <w:r>
              <w:t>/</w:t>
            </w:r>
          </w:p>
          <w:p w:rsidR="00F04CF1" w:rsidRPr="00CA6208" w:rsidRDefault="00F04CF1">
            <w:r>
              <w:t>2.2.2017</w:t>
            </w:r>
          </w:p>
        </w:tc>
        <w:tc>
          <w:tcPr>
            <w:tcW w:w="2700" w:type="dxa"/>
          </w:tcPr>
          <w:p w:rsidR="00F04CF1" w:rsidRDefault="00F04CF1" w:rsidP="005B60F6">
            <w:pPr>
              <w:ind w:left="100"/>
            </w:pPr>
            <w:r w:rsidRPr="007B40F3">
              <w:t xml:space="preserve">Please provide an explanation for any differences between LADWP’s Receiving Station Study and FERC’s 7-Factor and Mansfield tests. </w:t>
            </w:r>
          </w:p>
          <w:p w:rsidR="00F04CF1" w:rsidRPr="00CA6208" w:rsidRDefault="00F04CF1" w:rsidP="00F741A0"/>
        </w:tc>
        <w:tc>
          <w:tcPr>
            <w:tcW w:w="6660" w:type="dxa"/>
          </w:tcPr>
          <w:p w:rsidR="00F04CF1" w:rsidRDefault="00F04CF1" w:rsidP="005B60F6">
            <w:pPr>
              <w:spacing w:after="160" w:line="259" w:lineRule="auto"/>
              <w:ind w:left="100"/>
            </w:pPr>
            <w:r w:rsidRPr="00B26FE8">
              <w:t xml:space="preserve">[There are no differences between </w:t>
            </w:r>
            <w:r w:rsidRPr="00446C23">
              <w:t>IR1b RS Study_Final_12202016</w:t>
            </w:r>
            <w:r w:rsidRPr="00B26FE8">
              <w:t xml:space="preserve"> and the results of the FERC 7-Factor and Mansfield tests.]</w:t>
            </w:r>
          </w:p>
          <w:p w:rsidR="00F04CF1" w:rsidRDefault="00F04CF1" w:rsidP="00B26FE8">
            <w:pPr>
              <w:spacing w:after="160" w:line="259" w:lineRule="auto"/>
            </w:pPr>
          </w:p>
          <w:p w:rsidR="00F04CF1" w:rsidRPr="00CA6208" w:rsidRDefault="00F04CF1" w:rsidP="00B26FE8">
            <w:pPr>
              <w:pStyle w:val="ListParagraph"/>
            </w:pPr>
          </w:p>
        </w:tc>
      </w:tr>
      <w:tr w:rsidR="00F04CF1" w:rsidTr="00674E11">
        <w:tc>
          <w:tcPr>
            <w:tcW w:w="1350" w:type="dxa"/>
          </w:tcPr>
          <w:p w:rsidR="00F04CF1" w:rsidRDefault="00F04CF1" w:rsidP="00D82AC2">
            <w:r w:rsidRPr="00445DBD">
              <w:lastRenderedPageBreak/>
              <w:t>Burbank</w:t>
            </w:r>
            <w:r w:rsidRPr="00445DBD">
              <w:rPr>
                <w:spacing w:val="-3"/>
              </w:rPr>
              <w:t xml:space="preserve"> </w:t>
            </w:r>
            <w:r w:rsidRPr="00445DBD">
              <w:t>and</w:t>
            </w:r>
            <w:r w:rsidRPr="00445DBD">
              <w:rPr>
                <w:spacing w:val="-3"/>
              </w:rPr>
              <w:t xml:space="preserve"> </w:t>
            </w:r>
            <w:r w:rsidRPr="00445DBD">
              <w:t>Glendale</w:t>
            </w:r>
          </w:p>
        </w:tc>
        <w:tc>
          <w:tcPr>
            <w:tcW w:w="900" w:type="dxa"/>
          </w:tcPr>
          <w:p w:rsidR="00F04CF1" w:rsidRPr="00CA6208" w:rsidRDefault="00F04CF1" w:rsidP="00D82AC2">
            <w:pPr>
              <w:jc w:val="center"/>
            </w:pPr>
            <w:r w:rsidRPr="00CA6208">
              <w:t>18</w:t>
            </w:r>
            <w:r>
              <w:t>b</w:t>
            </w:r>
          </w:p>
        </w:tc>
        <w:tc>
          <w:tcPr>
            <w:tcW w:w="1440" w:type="dxa"/>
          </w:tcPr>
          <w:p w:rsidR="00F04CF1" w:rsidRPr="00CA6208" w:rsidRDefault="00F04CF1" w:rsidP="00D82AC2">
            <w:r w:rsidRPr="002C2C53">
              <w:t>Exhibit 500</w:t>
            </w:r>
          </w:p>
        </w:tc>
        <w:tc>
          <w:tcPr>
            <w:tcW w:w="1170" w:type="dxa"/>
          </w:tcPr>
          <w:p w:rsidR="00F04CF1" w:rsidRDefault="00F04CF1" w:rsidP="00D82AC2">
            <w:r>
              <w:t>2.1.</w:t>
            </w:r>
            <w:r w:rsidRPr="00CA6208">
              <w:t>2017</w:t>
            </w:r>
            <w:r>
              <w:t>/</w:t>
            </w:r>
          </w:p>
          <w:p w:rsidR="00F04CF1" w:rsidRPr="00CA6208" w:rsidRDefault="00F04CF1" w:rsidP="00D82AC2">
            <w:r>
              <w:t>2.2.2017</w:t>
            </w:r>
          </w:p>
        </w:tc>
        <w:tc>
          <w:tcPr>
            <w:tcW w:w="2700" w:type="dxa"/>
          </w:tcPr>
          <w:p w:rsidR="00F04CF1" w:rsidRPr="007B40F3" w:rsidRDefault="00F04CF1" w:rsidP="005B60F6">
            <w:pPr>
              <w:ind w:left="100"/>
            </w:pPr>
            <w:r w:rsidRPr="007B40F3">
              <w:t xml:space="preserve">Page 15, lines 10-12: Please provide information that “LADWP represented to </w:t>
            </w:r>
            <w:proofErr w:type="spellStart"/>
            <w:r w:rsidRPr="007B40F3">
              <w:t>nFront</w:t>
            </w:r>
            <w:proofErr w:type="spellEnd"/>
            <w:r w:rsidRPr="007B40F3">
              <w:t>”.</w:t>
            </w:r>
          </w:p>
        </w:tc>
        <w:tc>
          <w:tcPr>
            <w:tcW w:w="6660" w:type="dxa"/>
          </w:tcPr>
          <w:p w:rsidR="00F04CF1" w:rsidRPr="00B26FE8" w:rsidRDefault="00F04CF1" w:rsidP="005B60F6">
            <w:pPr>
              <w:spacing w:after="160" w:line="259" w:lineRule="auto"/>
              <w:ind w:left="100"/>
            </w:pPr>
            <w:r w:rsidRPr="00B26FE8">
              <w:t xml:space="preserve">[After </w:t>
            </w:r>
            <w:proofErr w:type="spellStart"/>
            <w:r w:rsidRPr="00B26FE8">
              <w:t>nFront</w:t>
            </w:r>
            <w:proofErr w:type="spellEnd"/>
            <w:r w:rsidRPr="00B26FE8">
              <w:t xml:space="preserve"> performed the OASIS query of transmission service offerings, </w:t>
            </w:r>
            <w:proofErr w:type="spellStart"/>
            <w:r w:rsidRPr="00B26FE8">
              <w:t>nFront</w:t>
            </w:r>
            <w:proofErr w:type="spellEnd"/>
            <w:r w:rsidRPr="00B26FE8">
              <w:t xml:space="preserve"> provided the list to LADWP and via a phone call LADWP told </w:t>
            </w:r>
            <w:proofErr w:type="spellStart"/>
            <w:r w:rsidRPr="00B26FE8">
              <w:t>nFront</w:t>
            </w:r>
            <w:proofErr w:type="spellEnd"/>
            <w:r w:rsidRPr="00B26FE8">
              <w:t xml:space="preserve"> that transmission service was offered over the same facilities in FY14/15. </w:t>
            </w:r>
            <w:proofErr w:type="spellStart"/>
            <w:r w:rsidRPr="00B26FE8">
              <w:t>nFront</w:t>
            </w:r>
            <w:proofErr w:type="spellEnd"/>
            <w:r w:rsidRPr="00B26FE8">
              <w:t xml:space="preserve"> has no add</w:t>
            </w:r>
            <w:r>
              <w:t>itional documentation.</w:t>
            </w:r>
            <w:r w:rsidRPr="00B26FE8">
              <w:t>]</w:t>
            </w:r>
          </w:p>
        </w:tc>
      </w:tr>
      <w:tr w:rsidR="00F04CF1" w:rsidTr="00674E11">
        <w:tc>
          <w:tcPr>
            <w:tcW w:w="1350" w:type="dxa"/>
          </w:tcPr>
          <w:p w:rsidR="00F04CF1" w:rsidRDefault="00F04CF1" w:rsidP="00D82AC2">
            <w:r w:rsidRPr="00445DBD">
              <w:t>Burbank</w:t>
            </w:r>
            <w:r w:rsidRPr="00445DBD">
              <w:rPr>
                <w:spacing w:val="-3"/>
              </w:rPr>
              <w:t xml:space="preserve"> </w:t>
            </w:r>
            <w:r w:rsidRPr="00445DBD">
              <w:t>and</w:t>
            </w:r>
            <w:r w:rsidRPr="00445DBD">
              <w:rPr>
                <w:spacing w:val="-3"/>
              </w:rPr>
              <w:t xml:space="preserve"> </w:t>
            </w:r>
            <w:r w:rsidRPr="00445DBD">
              <w:t>Glendale</w:t>
            </w:r>
          </w:p>
        </w:tc>
        <w:tc>
          <w:tcPr>
            <w:tcW w:w="900" w:type="dxa"/>
          </w:tcPr>
          <w:p w:rsidR="00F04CF1" w:rsidRPr="00CA6208" w:rsidRDefault="00F04CF1" w:rsidP="00D82AC2">
            <w:pPr>
              <w:jc w:val="center"/>
            </w:pPr>
            <w:r w:rsidRPr="00CA6208">
              <w:t>18</w:t>
            </w:r>
            <w:r>
              <w:t>c</w:t>
            </w:r>
          </w:p>
        </w:tc>
        <w:tc>
          <w:tcPr>
            <w:tcW w:w="1440" w:type="dxa"/>
          </w:tcPr>
          <w:p w:rsidR="00F04CF1" w:rsidRPr="00CA6208" w:rsidRDefault="00F04CF1" w:rsidP="00D82AC2">
            <w:r w:rsidRPr="002C2C53">
              <w:t>Exhibit 500</w:t>
            </w:r>
          </w:p>
        </w:tc>
        <w:tc>
          <w:tcPr>
            <w:tcW w:w="1170" w:type="dxa"/>
          </w:tcPr>
          <w:p w:rsidR="00F04CF1" w:rsidRDefault="00F04CF1" w:rsidP="00D82AC2">
            <w:r>
              <w:t>2.1.</w:t>
            </w:r>
            <w:r w:rsidRPr="00CA6208">
              <w:t>2017</w:t>
            </w:r>
            <w:r>
              <w:t>/</w:t>
            </w:r>
          </w:p>
          <w:p w:rsidR="00F04CF1" w:rsidRPr="00CA6208" w:rsidRDefault="00F04CF1" w:rsidP="00D82AC2">
            <w:r>
              <w:t>2.2.2017</w:t>
            </w:r>
          </w:p>
        </w:tc>
        <w:tc>
          <w:tcPr>
            <w:tcW w:w="2700" w:type="dxa"/>
          </w:tcPr>
          <w:p w:rsidR="00F04CF1" w:rsidRPr="007B40F3" w:rsidRDefault="00F04CF1" w:rsidP="005B60F6">
            <w:pPr>
              <w:ind w:left="100"/>
            </w:pPr>
            <w:r w:rsidRPr="007B40F3">
              <w:t xml:space="preserve">Page 20, lines 13, 15: Please provide copies of the 2000 RS Reallocation and Updated RS Reallocation studies. </w:t>
            </w:r>
          </w:p>
          <w:p w:rsidR="00F04CF1" w:rsidRPr="007B40F3" w:rsidRDefault="00F04CF1" w:rsidP="00F741A0">
            <w:pPr>
              <w:ind w:left="460"/>
            </w:pPr>
          </w:p>
        </w:tc>
        <w:tc>
          <w:tcPr>
            <w:tcW w:w="6660" w:type="dxa"/>
          </w:tcPr>
          <w:p w:rsidR="00F04CF1" w:rsidRDefault="00F04CF1" w:rsidP="005B60F6">
            <w:pPr>
              <w:spacing w:after="160" w:line="259" w:lineRule="auto"/>
              <w:ind w:left="100"/>
            </w:pPr>
            <w:r w:rsidRPr="00B26FE8">
              <w:t>[See response to IR1. The studies are provided as IR1_a and IR1_b]</w:t>
            </w:r>
          </w:p>
          <w:p w:rsidR="00F04CF1" w:rsidRPr="00B26FE8" w:rsidRDefault="00F04CF1" w:rsidP="00F741A0">
            <w:pPr>
              <w:ind w:left="460"/>
            </w:pPr>
          </w:p>
        </w:tc>
      </w:tr>
      <w:tr w:rsidR="00F04CF1" w:rsidTr="00674E11">
        <w:tc>
          <w:tcPr>
            <w:tcW w:w="1350" w:type="dxa"/>
          </w:tcPr>
          <w:p w:rsidR="00F04CF1" w:rsidRDefault="00F04CF1" w:rsidP="00D82AC2">
            <w:r w:rsidRPr="00445DBD">
              <w:t>Burbank</w:t>
            </w:r>
            <w:r w:rsidRPr="00445DBD">
              <w:rPr>
                <w:spacing w:val="-3"/>
              </w:rPr>
              <w:t xml:space="preserve"> </w:t>
            </w:r>
            <w:r w:rsidRPr="00445DBD">
              <w:t>and</w:t>
            </w:r>
            <w:r w:rsidRPr="00445DBD">
              <w:rPr>
                <w:spacing w:val="-3"/>
              </w:rPr>
              <w:t xml:space="preserve"> </w:t>
            </w:r>
            <w:r w:rsidRPr="00445DBD">
              <w:t>Glendale</w:t>
            </w:r>
          </w:p>
        </w:tc>
        <w:tc>
          <w:tcPr>
            <w:tcW w:w="900" w:type="dxa"/>
          </w:tcPr>
          <w:p w:rsidR="00F04CF1" w:rsidRPr="00CA6208" w:rsidRDefault="00F04CF1" w:rsidP="00D82AC2">
            <w:pPr>
              <w:jc w:val="center"/>
            </w:pPr>
            <w:r w:rsidRPr="00CA6208">
              <w:t>18</w:t>
            </w:r>
            <w:r>
              <w:t>d</w:t>
            </w:r>
          </w:p>
        </w:tc>
        <w:tc>
          <w:tcPr>
            <w:tcW w:w="1440" w:type="dxa"/>
          </w:tcPr>
          <w:p w:rsidR="00F04CF1" w:rsidRPr="00CA6208" w:rsidRDefault="00F04CF1" w:rsidP="00D82AC2">
            <w:r w:rsidRPr="002C2C53">
              <w:t>Exhibit 500</w:t>
            </w:r>
          </w:p>
        </w:tc>
        <w:tc>
          <w:tcPr>
            <w:tcW w:w="1170" w:type="dxa"/>
          </w:tcPr>
          <w:p w:rsidR="00F04CF1" w:rsidRDefault="00F04CF1" w:rsidP="00D82AC2">
            <w:r>
              <w:t>2.1.</w:t>
            </w:r>
            <w:r w:rsidRPr="00CA6208">
              <w:t>2017</w:t>
            </w:r>
            <w:r>
              <w:t>/</w:t>
            </w:r>
          </w:p>
          <w:p w:rsidR="00F04CF1" w:rsidRPr="00CA6208" w:rsidRDefault="00F04CF1" w:rsidP="00D82AC2">
            <w:r>
              <w:t>2.2.2017</w:t>
            </w:r>
          </w:p>
        </w:tc>
        <w:tc>
          <w:tcPr>
            <w:tcW w:w="2700" w:type="dxa"/>
          </w:tcPr>
          <w:p w:rsidR="00F04CF1" w:rsidRPr="007B40F3" w:rsidRDefault="00F04CF1" w:rsidP="005B60F6">
            <w:pPr>
              <w:ind w:left="100"/>
            </w:pPr>
            <w:r w:rsidRPr="007B40F3">
              <w:t xml:space="preserve">Page 22, line 15: Please provide a copy of </w:t>
            </w:r>
            <w:proofErr w:type="spellStart"/>
            <w:r w:rsidRPr="007B40F3">
              <w:t>nFront’s</w:t>
            </w:r>
            <w:proofErr w:type="spellEnd"/>
            <w:r w:rsidRPr="007B40F3">
              <w:t xml:space="preserve"> Transmission Facility Determination. </w:t>
            </w:r>
          </w:p>
          <w:p w:rsidR="00F04CF1" w:rsidRPr="007B40F3" w:rsidRDefault="00F04CF1" w:rsidP="00F741A0">
            <w:pPr>
              <w:ind w:left="460"/>
            </w:pPr>
          </w:p>
        </w:tc>
        <w:tc>
          <w:tcPr>
            <w:tcW w:w="6660" w:type="dxa"/>
          </w:tcPr>
          <w:p w:rsidR="00F04CF1" w:rsidRDefault="00F04CF1" w:rsidP="005B60F6">
            <w:pPr>
              <w:spacing w:after="160" w:line="259" w:lineRule="auto"/>
              <w:ind w:left="100"/>
            </w:pPr>
            <w:r w:rsidRPr="00B26FE8">
              <w:t>[See page 4 lines 6-9 of Exhibit DWP-500.]</w:t>
            </w:r>
            <w:r>
              <w:t xml:space="preserve"> Study is available subject to NDA.</w:t>
            </w:r>
          </w:p>
          <w:p w:rsidR="00F04CF1" w:rsidRPr="00B26FE8" w:rsidRDefault="00F04CF1" w:rsidP="00F741A0">
            <w:pPr>
              <w:ind w:left="460"/>
            </w:pPr>
          </w:p>
        </w:tc>
      </w:tr>
      <w:tr w:rsidR="00F04CF1" w:rsidTr="00674E11">
        <w:tc>
          <w:tcPr>
            <w:tcW w:w="1350" w:type="dxa"/>
          </w:tcPr>
          <w:p w:rsidR="00F04CF1" w:rsidRDefault="00F04CF1" w:rsidP="00D82AC2">
            <w:r w:rsidRPr="00445DBD">
              <w:t>Burbank</w:t>
            </w:r>
            <w:r w:rsidRPr="00445DBD">
              <w:rPr>
                <w:spacing w:val="-3"/>
              </w:rPr>
              <w:t xml:space="preserve"> </w:t>
            </w:r>
            <w:r w:rsidRPr="00445DBD">
              <w:t>and</w:t>
            </w:r>
            <w:r w:rsidRPr="00445DBD">
              <w:rPr>
                <w:spacing w:val="-3"/>
              </w:rPr>
              <w:t xml:space="preserve"> </w:t>
            </w:r>
            <w:r w:rsidRPr="00445DBD">
              <w:t>Glendale</w:t>
            </w:r>
          </w:p>
        </w:tc>
        <w:tc>
          <w:tcPr>
            <w:tcW w:w="900" w:type="dxa"/>
          </w:tcPr>
          <w:p w:rsidR="00F04CF1" w:rsidRPr="00CA6208" w:rsidRDefault="00F04CF1" w:rsidP="00D82AC2">
            <w:pPr>
              <w:jc w:val="center"/>
            </w:pPr>
            <w:r w:rsidRPr="00CA6208">
              <w:t>18</w:t>
            </w:r>
            <w:r>
              <w:t>e</w:t>
            </w:r>
          </w:p>
        </w:tc>
        <w:tc>
          <w:tcPr>
            <w:tcW w:w="1440" w:type="dxa"/>
          </w:tcPr>
          <w:p w:rsidR="00F04CF1" w:rsidRPr="00CA6208" w:rsidRDefault="00F04CF1" w:rsidP="00D82AC2">
            <w:r w:rsidRPr="002C2C53">
              <w:t>Exhibit 500</w:t>
            </w:r>
          </w:p>
        </w:tc>
        <w:tc>
          <w:tcPr>
            <w:tcW w:w="1170" w:type="dxa"/>
          </w:tcPr>
          <w:p w:rsidR="00F04CF1" w:rsidRDefault="00F04CF1" w:rsidP="00D82AC2">
            <w:r>
              <w:t>2.1.</w:t>
            </w:r>
            <w:r w:rsidRPr="00CA6208">
              <w:t>2017</w:t>
            </w:r>
            <w:r>
              <w:t>/</w:t>
            </w:r>
          </w:p>
          <w:p w:rsidR="00F04CF1" w:rsidRPr="00CA6208" w:rsidRDefault="00F04CF1" w:rsidP="00D82AC2">
            <w:r>
              <w:t>2.2.2017</w:t>
            </w:r>
          </w:p>
        </w:tc>
        <w:tc>
          <w:tcPr>
            <w:tcW w:w="2700" w:type="dxa"/>
          </w:tcPr>
          <w:p w:rsidR="00F04CF1" w:rsidRPr="007B40F3" w:rsidRDefault="00F04CF1" w:rsidP="005B60F6">
            <w:pPr>
              <w:ind w:left="100"/>
            </w:pPr>
            <w:r w:rsidRPr="007B40F3">
              <w:t xml:space="preserve">Page 27, lines 9-10: Please provide documentation for the reclassification of “ANPP” facilities from production to transmission. </w:t>
            </w:r>
          </w:p>
          <w:p w:rsidR="00F04CF1" w:rsidRPr="007B40F3" w:rsidRDefault="00F04CF1" w:rsidP="00F741A0">
            <w:pPr>
              <w:ind w:left="460"/>
            </w:pPr>
          </w:p>
        </w:tc>
        <w:tc>
          <w:tcPr>
            <w:tcW w:w="6660" w:type="dxa"/>
          </w:tcPr>
          <w:p w:rsidR="00F04CF1" w:rsidRPr="00B26FE8" w:rsidRDefault="00F04CF1" w:rsidP="00B32CFB">
            <w:pPr>
              <w:spacing w:after="160" w:line="259" w:lineRule="auto"/>
              <w:ind w:left="100"/>
            </w:pPr>
            <w:r w:rsidRPr="00B26FE8">
              <w:t xml:space="preserve">[Table S-1 of Exhibit DWP-503 lists the physical facilities associated with ANPP and </w:t>
            </w:r>
            <w:proofErr w:type="spellStart"/>
            <w:r w:rsidRPr="00B26FE8">
              <w:t>nFront’s</w:t>
            </w:r>
            <w:proofErr w:type="spellEnd"/>
            <w:r w:rsidRPr="00B26FE8">
              <w:t xml:space="preserve"> determination that the ANPP facilities are integrated supported by the results of the power flow analyses and the related Seven Factor and the Mansfield Tests.</w:t>
            </w:r>
            <w:r w:rsidRPr="00B26FE8">
              <w:br/>
            </w:r>
          </w:p>
        </w:tc>
      </w:tr>
      <w:tr w:rsidR="00F04CF1" w:rsidTr="00674E11">
        <w:tc>
          <w:tcPr>
            <w:tcW w:w="1350" w:type="dxa"/>
          </w:tcPr>
          <w:p w:rsidR="00F04CF1" w:rsidRDefault="00F04CF1" w:rsidP="00D82AC2">
            <w:r w:rsidRPr="00445DBD">
              <w:t>Burbank</w:t>
            </w:r>
            <w:r w:rsidRPr="00445DBD">
              <w:rPr>
                <w:spacing w:val="-3"/>
              </w:rPr>
              <w:t xml:space="preserve"> </w:t>
            </w:r>
            <w:r w:rsidRPr="00445DBD">
              <w:t>and</w:t>
            </w:r>
            <w:r w:rsidRPr="00445DBD">
              <w:rPr>
                <w:spacing w:val="-3"/>
              </w:rPr>
              <w:t xml:space="preserve"> </w:t>
            </w:r>
            <w:r w:rsidRPr="00445DBD">
              <w:t>Glendale</w:t>
            </w:r>
          </w:p>
        </w:tc>
        <w:tc>
          <w:tcPr>
            <w:tcW w:w="900" w:type="dxa"/>
          </w:tcPr>
          <w:p w:rsidR="00F04CF1" w:rsidRPr="00CA6208" w:rsidRDefault="00F04CF1" w:rsidP="00D82AC2">
            <w:pPr>
              <w:jc w:val="center"/>
            </w:pPr>
            <w:r w:rsidRPr="00CA6208">
              <w:t>18</w:t>
            </w:r>
            <w:r>
              <w:t>f</w:t>
            </w:r>
          </w:p>
        </w:tc>
        <w:tc>
          <w:tcPr>
            <w:tcW w:w="1440" w:type="dxa"/>
          </w:tcPr>
          <w:p w:rsidR="00F04CF1" w:rsidRPr="00CA6208" w:rsidRDefault="00F04CF1" w:rsidP="00D82AC2">
            <w:r w:rsidRPr="002C2C53">
              <w:t>Exhibit 500</w:t>
            </w:r>
          </w:p>
        </w:tc>
        <w:tc>
          <w:tcPr>
            <w:tcW w:w="1170" w:type="dxa"/>
          </w:tcPr>
          <w:p w:rsidR="00F04CF1" w:rsidRDefault="00F04CF1" w:rsidP="00D82AC2">
            <w:r>
              <w:t>2.1.</w:t>
            </w:r>
            <w:r w:rsidRPr="00CA6208">
              <w:t>2017</w:t>
            </w:r>
            <w:r>
              <w:t>/</w:t>
            </w:r>
          </w:p>
          <w:p w:rsidR="00F04CF1" w:rsidRPr="00CA6208" w:rsidRDefault="00F04CF1" w:rsidP="00D82AC2">
            <w:r>
              <w:t>2.2.2017</w:t>
            </w:r>
          </w:p>
        </w:tc>
        <w:tc>
          <w:tcPr>
            <w:tcW w:w="2700" w:type="dxa"/>
          </w:tcPr>
          <w:p w:rsidR="00F04CF1" w:rsidRPr="007B40F3" w:rsidRDefault="00F04CF1" w:rsidP="00B32CFB">
            <w:pPr>
              <w:ind w:left="100"/>
            </w:pPr>
            <w:r w:rsidRPr="007B40F3">
              <w:t>Pl</w:t>
            </w:r>
            <w:r>
              <w:t xml:space="preserve">ease provide Exhibit DWP-503. </w:t>
            </w:r>
          </w:p>
        </w:tc>
        <w:tc>
          <w:tcPr>
            <w:tcW w:w="6660" w:type="dxa"/>
          </w:tcPr>
          <w:p w:rsidR="00B32CFB" w:rsidRPr="00B26FE8" w:rsidRDefault="00F04CF1" w:rsidP="00B32CFB">
            <w:pPr>
              <w:spacing w:after="160" w:line="259" w:lineRule="auto"/>
              <w:ind w:left="100"/>
            </w:pPr>
            <w:r w:rsidRPr="00B26FE8">
              <w:t>[See response to IR18 (d)]</w:t>
            </w:r>
            <w:bookmarkStart w:id="0" w:name="_GoBack"/>
            <w:bookmarkEnd w:id="0"/>
          </w:p>
        </w:tc>
      </w:tr>
      <w:tr w:rsidR="00F04CF1" w:rsidTr="00674E11">
        <w:tc>
          <w:tcPr>
            <w:tcW w:w="1350" w:type="dxa"/>
          </w:tcPr>
          <w:p w:rsidR="00F04CF1" w:rsidRDefault="00F04CF1" w:rsidP="00D82AC2">
            <w:r w:rsidRPr="00445DBD">
              <w:t>Burbank</w:t>
            </w:r>
            <w:r w:rsidRPr="00445DBD">
              <w:rPr>
                <w:spacing w:val="-3"/>
              </w:rPr>
              <w:t xml:space="preserve"> </w:t>
            </w:r>
            <w:r w:rsidRPr="00445DBD">
              <w:t>and</w:t>
            </w:r>
            <w:r w:rsidRPr="00445DBD">
              <w:rPr>
                <w:spacing w:val="-3"/>
              </w:rPr>
              <w:t xml:space="preserve"> </w:t>
            </w:r>
            <w:r w:rsidRPr="00445DBD">
              <w:lastRenderedPageBreak/>
              <w:t>Glendale</w:t>
            </w:r>
          </w:p>
        </w:tc>
        <w:tc>
          <w:tcPr>
            <w:tcW w:w="900" w:type="dxa"/>
          </w:tcPr>
          <w:p w:rsidR="00F04CF1" w:rsidRPr="00CA6208" w:rsidRDefault="00F04CF1" w:rsidP="00D82AC2">
            <w:pPr>
              <w:jc w:val="center"/>
            </w:pPr>
            <w:r w:rsidRPr="00CA6208">
              <w:lastRenderedPageBreak/>
              <w:t>18</w:t>
            </w:r>
            <w:r>
              <w:t>g</w:t>
            </w:r>
          </w:p>
        </w:tc>
        <w:tc>
          <w:tcPr>
            <w:tcW w:w="1440" w:type="dxa"/>
          </w:tcPr>
          <w:p w:rsidR="00F04CF1" w:rsidRPr="00CA6208" w:rsidRDefault="00F04CF1" w:rsidP="00D82AC2">
            <w:r w:rsidRPr="002C2C53">
              <w:t>Exhibit 500</w:t>
            </w:r>
          </w:p>
        </w:tc>
        <w:tc>
          <w:tcPr>
            <w:tcW w:w="1170" w:type="dxa"/>
          </w:tcPr>
          <w:p w:rsidR="00F04CF1" w:rsidRDefault="00F04CF1" w:rsidP="00D82AC2">
            <w:r>
              <w:t>2.1.</w:t>
            </w:r>
            <w:r w:rsidRPr="00CA6208">
              <w:t>2017</w:t>
            </w:r>
            <w:r>
              <w:t>/</w:t>
            </w:r>
          </w:p>
          <w:p w:rsidR="00F04CF1" w:rsidRPr="00CA6208" w:rsidRDefault="00F04CF1" w:rsidP="00D82AC2">
            <w:r>
              <w:lastRenderedPageBreak/>
              <w:t>2.2.2017</w:t>
            </w:r>
          </w:p>
        </w:tc>
        <w:tc>
          <w:tcPr>
            <w:tcW w:w="2700" w:type="dxa"/>
          </w:tcPr>
          <w:p w:rsidR="00F04CF1" w:rsidRPr="00B71268" w:rsidRDefault="00F04CF1" w:rsidP="005B60F6">
            <w:pPr>
              <w:ind w:left="100"/>
            </w:pPr>
            <w:r w:rsidRPr="00B71268">
              <w:lastRenderedPageBreak/>
              <w:t xml:space="preserve">In the OATT Transmission </w:t>
            </w:r>
            <w:r w:rsidRPr="00B71268">
              <w:lastRenderedPageBreak/>
              <w:t xml:space="preserve">and Ancillary Services Rate Model (specifically, Tab AH of Exhibit DWP-104), LADWP reclassifies certain facilities based on the application of the 7-Factor and Mansfield tests.  The costs of such reclassified facilities are shown in Tab AH.  Burbank and Glendale seek the same level of granularity regarding gross and net plant values that LADWP used in Exhibit DWP-104 to reclassify certain costs, for all distribution, transmission and production facilities. Please provide this information, in Excel format, for the test period, both gross and net of accumulated depreciation.  Please </w:t>
            </w:r>
            <w:r w:rsidRPr="00B71268">
              <w:lastRenderedPageBreak/>
              <w:t>provide documentation that non-LA facilities have been properly excluded (e.g., Burbank’s and Glendale’s shares of the PDCI).</w:t>
            </w:r>
          </w:p>
          <w:p w:rsidR="00F04CF1" w:rsidRPr="007B40F3" w:rsidRDefault="00F04CF1" w:rsidP="00F741A0">
            <w:pPr>
              <w:ind w:left="460"/>
            </w:pPr>
          </w:p>
        </w:tc>
        <w:tc>
          <w:tcPr>
            <w:tcW w:w="6660" w:type="dxa"/>
          </w:tcPr>
          <w:p w:rsidR="00F04CF1" w:rsidRPr="00B26FE8" w:rsidRDefault="00F04CF1" w:rsidP="005B60F6">
            <w:pPr>
              <w:ind w:left="100"/>
            </w:pPr>
          </w:p>
        </w:tc>
      </w:tr>
      <w:tr w:rsidR="00F04CF1" w:rsidTr="00674E11">
        <w:tc>
          <w:tcPr>
            <w:tcW w:w="1350" w:type="dxa"/>
          </w:tcPr>
          <w:p w:rsidR="00F04CF1" w:rsidRDefault="00F04CF1" w:rsidP="00D82AC2">
            <w:r w:rsidRPr="00445DBD">
              <w:lastRenderedPageBreak/>
              <w:t>Burbank</w:t>
            </w:r>
            <w:r w:rsidRPr="00445DBD">
              <w:rPr>
                <w:spacing w:val="-3"/>
              </w:rPr>
              <w:t xml:space="preserve"> </w:t>
            </w:r>
            <w:r w:rsidRPr="00445DBD">
              <w:t>and</w:t>
            </w:r>
            <w:r w:rsidRPr="00445DBD">
              <w:rPr>
                <w:spacing w:val="-3"/>
              </w:rPr>
              <w:t xml:space="preserve"> </w:t>
            </w:r>
            <w:r w:rsidRPr="00445DBD">
              <w:t>Glendale</w:t>
            </w:r>
          </w:p>
        </w:tc>
        <w:tc>
          <w:tcPr>
            <w:tcW w:w="900" w:type="dxa"/>
          </w:tcPr>
          <w:p w:rsidR="00F04CF1" w:rsidRPr="00CA6208" w:rsidRDefault="00F04CF1" w:rsidP="00D82AC2">
            <w:pPr>
              <w:jc w:val="center"/>
            </w:pPr>
            <w:r w:rsidRPr="00CA6208">
              <w:t>18</w:t>
            </w:r>
            <w:r>
              <w:t>h</w:t>
            </w:r>
          </w:p>
        </w:tc>
        <w:tc>
          <w:tcPr>
            <w:tcW w:w="1440" w:type="dxa"/>
          </w:tcPr>
          <w:p w:rsidR="00F04CF1" w:rsidRPr="00CA6208" w:rsidRDefault="00F04CF1" w:rsidP="00D82AC2">
            <w:r w:rsidRPr="002C2C53">
              <w:t>Exhibit 500</w:t>
            </w:r>
          </w:p>
        </w:tc>
        <w:tc>
          <w:tcPr>
            <w:tcW w:w="1170" w:type="dxa"/>
          </w:tcPr>
          <w:p w:rsidR="00F04CF1" w:rsidRDefault="00F04CF1" w:rsidP="00D82AC2">
            <w:r>
              <w:t>2.1.</w:t>
            </w:r>
            <w:r w:rsidRPr="00CA6208">
              <w:t>2017</w:t>
            </w:r>
            <w:r>
              <w:t>/</w:t>
            </w:r>
          </w:p>
          <w:p w:rsidR="00F04CF1" w:rsidRPr="00CA6208" w:rsidRDefault="00F04CF1" w:rsidP="00D82AC2">
            <w:r>
              <w:t>2.2.2017</w:t>
            </w:r>
          </w:p>
        </w:tc>
        <w:tc>
          <w:tcPr>
            <w:tcW w:w="2700" w:type="dxa"/>
          </w:tcPr>
          <w:p w:rsidR="00F04CF1" w:rsidRPr="007B40F3" w:rsidRDefault="00F04CF1" w:rsidP="005B60F6">
            <w:pPr>
              <w:ind w:left="100"/>
            </w:pPr>
            <w:r w:rsidRPr="007B40F3">
              <w:t xml:space="preserve">Please provide the in-service dates of the Haskell Switching Station and the second Barren Ridge-Haskell Line. </w:t>
            </w:r>
          </w:p>
          <w:p w:rsidR="00F04CF1" w:rsidRPr="007B40F3" w:rsidRDefault="00F04CF1" w:rsidP="00F741A0">
            <w:pPr>
              <w:ind w:left="460"/>
            </w:pPr>
          </w:p>
        </w:tc>
        <w:tc>
          <w:tcPr>
            <w:tcW w:w="6660" w:type="dxa"/>
          </w:tcPr>
          <w:p w:rsidR="00F04CF1" w:rsidRDefault="00F04CF1" w:rsidP="005B60F6">
            <w:pPr>
              <w:ind w:left="100"/>
            </w:pPr>
            <w:r>
              <w:t>Haskell Switching Station – September 2016</w:t>
            </w:r>
          </w:p>
          <w:p w:rsidR="00F04CF1" w:rsidRPr="00B26FE8" w:rsidRDefault="00F04CF1" w:rsidP="00C70376">
            <w:pPr>
              <w:ind w:left="460"/>
            </w:pPr>
            <w:r>
              <w:t>Barren Ride-Haskell Line – October 2016</w:t>
            </w:r>
          </w:p>
        </w:tc>
      </w:tr>
      <w:tr w:rsidR="00F04CF1" w:rsidTr="00674E11">
        <w:tc>
          <w:tcPr>
            <w:tcW w:w="1350" w:type="dxa"/>
          </w:tcPr>
          <w:p w:rsidR="00F04CF1" w:rsidRDefault="00F04CF1" w:rsidP="00D82AC2">
            <w:r w:rsidRPr="00445DBD">
              <w:t>Burbank</w:t>
            </w:r>
            <w:r w:rsidRPr="00445DBD">
              <w:rPr>
                <w:spacing w:val="-3"/>
              </w:rPr>
              <w:t xml:space="preserve"> </w:t>
            </w:r>
            <w:r w:rsidRPr="00445DBD">
              <w:t>and</w:t>
            </w:r>
            <w:r w:rsidRPr="00445DBD">
              <w:rPr>
                <w:spacing w:val="-3"/>
              </w:rPr>
              <w:t xml:space="preserve"> </w:t>
            </w:r>
            <w:r w:rsidRPr="00445DBD">
              <w:t>Glendale</w:t>
            </w:r>
          </w:p>
        </w:tc>
        <w:tc>
          <w:tcPr>
            <w:tcW w:w="900" w:type="dxa"/>
          </w:tcPr>
          <w:p w:rsidR="00F04CF1" w:rsidRPr="00CA6208" w:rsidRDefault="00F04CF1" w:rsidP="00D82AC2">
            <w:pPr>
              <w:jc w:val="center"/>
            </w:pPr>
            <w:r w:rsidRPr="00CA6208">
              <w:t>18</w:t>
            </w:r>
            <w:r>
              <w:t>i</w:t>
            </w:r>
          </w:p>
        </w:tc>
        <w:tc>
          <w:tcPr>
            <w:tcW w:w="1440" w:type="dxa"/>
          </w:tcPr>
          <w:p w:rsidR="00F04CF1" w:rsidRPr="00CA6208" w:rsidRDefault="00F04CF1" w:rsidP="00D82AC2">
            <w:r w:rsidRPr="002C2C53">
              <w:t>Exhibit 500</w:t>
            </w:r>
          </w:p>
        </w:tc>
        <w:tc>
          <w:tcPr>
            <w:tcW w:w="1170" w:type="dxa"/>
          </w:tcPr>
          <w:p w:rsidR="00F04CF1" w:rsidRDefault="00F04CF1" w:rsidP="00D82AC2">
            <w:r>
              <w:t>2.1.</w:t>
            </w:r>
            <w:r w:rsidRPr="00CA6208">
              <w:t>2017</w:t>
            </w:r>
            <w:r>
              <w:t>/</w:t>
            </w:r>
          </w:p>
          <w:p w:rsidR="00F04CF1" w:rsidRPr="00CA6208" w:rsidRDefault="00F04CF1" w:rsidP="00D82AC2">
            <w:r>
              <w:t>2.2.2017</w:t>
            </w:r>
          </w:p>
        </w:tc>
        <w:tc>
          <w:tcPr>
            <w:tcW w:w="2700" w:type="dxa"/>
          </w:tcPr>
          <w:p w:rsidR="00F04CF1" w:rsidRPr="007B40F3" w:rsidRDefault="00F04CF1" w:rsidP="005B60F6">
            <w:pPr>
              <w:ind w:left="100"/>
            </w:pPr>
            <w:r w:rsidRPr="007B40F3">
              <w:t>Please provide all power flow studies used in</w:t>
            </w:r>
            <w:r>
              <w:t xml:space="preserve"> the classification exercise. </w:t>
            </w:r>
          </w:p>
          <w:p w:rsidR="00F04CF1" w:rsidRPr="007B40F3" w:rsidRDefault="00F04CF1" w:rsidP="00F741A0">
            <w:pPr>
              <w:ind w:left="460"/>
            </w:pPr>
          </w:p>
        </w:tc>
        <w:tc>
          <w:tcPr>
            <w:tcW w:w="6660" w:type="dxa"/>
          </w:tcPr>
          <w:p w:rsidR="00F04CF1" w:rsidRDefault="00F04CF1" w:rsidP="005B60F6">
            <w:pPr>
              <w:spacing w:after="160" w:line="259" w:lineRule="auto"/>
              <w:ind w:left="100"/>
            </w:pPr>
            <w:r w:rsidRPr="00B26FE8">
              <w:t xml:space="preserve">[The base and the fifteen power flow cases are provided in </w:t>
            </w:r>
            <w:proofErr w:type="spellStart"/>
            <w:r w:rsidRPr="00B26FE8">
              <w:t>epc</w:t>
            </w:r>
            <w:proofErr w:type="spellEnd"/>
            <w:r w:rsidRPr="00B26FE8">
              <w:t xml:space="preserve"> format</w:t>
            </w:r>
            <w:r>
              <w:t>.</w:t>
            </w:r>
            <w:r w:rsidRPr="00B26FE8">
              <w:t xml:space="preserve"> </w:t>
            </w:r>
            <w:r>
              <w:t>The results are also provided as well. This information is subject to NDA.</w:t>
            </w:r>
          </w:p>
          <w:p w:rsidR="00F04CF1" w:rsidRPr="00B26FE8" w:rsidRDefault="00F04CF1" w:rsidP="00F741A0">
            <w:pPr>
              <w:ind w:left="460"/>
            </w:pPr>
          </w:p>
        </w:tc>
      </w:tr>
      <w:tr w:rsidR="00F04CF1" w:rsidTr="00674E11">
        <w:tc>
          <w:tcPr>
            <w:tcW w:w="1350" w:type="dxa"/>
          </w:tcPr>
          <w:p w:rsidR="00F04CF1" w:rsidRDefault="00F04CF1" w:rsidP="00D82AC2">
            <w:r w:rsidRPr="00445DBD">
              <w:t>Burbank</w:t>
            </w:r>
            <w:r w:rsidRPr="00445DBD">
              <w:rPr>
                <w:spacing w:val="-3"/>
              </w:rPr>
              <w:t xml:space="preserve"> </w:t>
            </w:r>
            <w:r w:rsidRPr="00445DBD">
              <w:t>and</w:t>
            </w:r>
            <w:r w:rsidRPr="00445DBD">
              <w:rPr>
                <w:spacing w:val="-3"/>
              </w:rPr>
              <w:t xml:space="preserve"> </w:t>
            </w:r>
            <w:r w:rsidRPr="00445DBD">
              <w:t>Glendale</w:t>
            </w:r>
          </w:p>
        </w:tc>
        <w:tc>
          <w:tcPr>
            <w:tcW w:w="900" w:type="dxa"/>
          </w:tcPr>
          <w:p w:rsidR="00F04CF1" w:rsidRPr="00CA6208" w:rsidRDefault="00F04CF1" w:rsidP="00D82AC2">
            <w:pPr>
              <w:jc w:val="center"/>
            </w:pPr>
            <w:r w:rsidRPr="00CA6208">
              <w:t>18</w:t>
            </w:r>
            <w:r>
              <w:t>j</w:t>
            </w:r>
          </w:p>
        </w:tc>
        <w:tc>
          <w:tcPr>
            <w:tcW w:w="1440" w:type="dxa"/>
          </w:tcPr>
          <w:p w:rsidR="00F04CF1" w:rsidRPr="00CA6208" w:rsidRDefault="00F04CF1" w:rsidP="00D82AC2">
            <w:r w:rsidRPr="002C2C53">
              <w:t>Exhibit 500</w:t>
            </w:r>
          </w:p>
        </w:tc>
        <w:tc>
          <w:tcPr>
            <w:tcW w:w="1170" w:type="dxa"/>
          </w:tcPr>
          <w:p w:rsidR="00F04CF1" w:rsidRDefault="00F04CF1" w:rsidP="00D82AC2">
            <w:r>
              <w:t>2.1.</w:t>
            </w:r>
            <w:r w:rsidRPr="00CA6208">
              <w:t>2017</w:t>
            </w:r>
            <w:r>
              <w:t>/</w:t>
            </w:r>
          </w:p>
          <w:p w:rsidR="00F04CF1" w:rsidRPr="00CA6208" w:rsidRDefault="00F04CF1" w:rsidP="00D82AC2">
            <w:r>
              <w:t>2.2.2017</w:t>
            </w:r>
          </w:p>
        </w:tc>
        <w:tc>
          <w:tcPr>
            <w:tcW w:w="2700" w:type="dxa"/>
          </w:tcPr>
          <w:p w:rsidR="00F04CF1" w:rsidRPr="007B40F3" w:rsidRDefault="00F04CF1" w:rsidP="005B60F6">
            <w:pPr>
              <w:ind w:left="100"/>
            </w:pPr>
            <w:r w:rsidRPr="007B40F3">
              <w:t xml:space="preserve">Please provide copies of any maps, diagrams, or similar materials provided by LADWP and relied on in the preparation of this testimony, included but not limited to: LADWP’s transmission system map </w:t>
            </w:r>
            <w:r w:rsidRPr="007B40F3">
              <w:lastRenderedPageBreak/>
              <w:t xml:space="preserve">(34.5 kV and above) and LADWP’s </w:t>
            </w:r>
            <w:proofErr w:type="spellStart"/>
            <w:r w:rsidRPr="007B40F3">
              <w:t>Blackstart</w:t>
            </w:r>
            <w:proofErr w:type="spellEnd"/>
            <w:r w:rsidRPr="007B40F3">
              <w:t xml:space="preserve"> Print (BS-1). </w:t>
            </w:r>
          </w:p>
          <w:p w:rsidR="00F04CF1" w:rsidRPr="007B40F3" w:rsidRDefault="00F04CF1" w:rsidP="00F741A0">
            <w:pPr>
              <w:ind w:left="460"/>
            </w:pPr>
          </w:p>
        </w:tc>
        <w:tc>
          <w:tcPr>
            <w:tcW w:w="6660" w:type="dxa"/>
          </w:tcPr>
          <w:p w:rsidR="00F04CF1" w:rsidRDefault="00F04CF1" w:rsidP="005B60F6">
            <w:pPr>
              <w:spacing w:after="160" w:line="259" w:lineRule="auto"/>
              <w:ind w:left="100"/>
            </w:pPr>
            <w:r w:rsidRPr="00B26FE8">
              <w:lastRenderedPageBreak/>
              <w:t xml:space="preserve">The map provided by LADWP and used in the Transmission Facility Determination Assessment is </w:t>
            </w:r>
            <w:r>
              <w:t>subject to NDA for release.</w:t>
            </w:r>
          </w:p>
          <w:p w:rsidR="00F04CF1" w:rsidRPr="00B26FE8" w:rsidRDefault="00F04CF1" w:rsidP="00F741A0">
            <w:pPr>
              <w:ind w:left="460"/>
            </w:pPr>
          </w:p>
        </w:tc>
      </w:tr>
      <w:tr w:rsidR="00F04CF1" w:rsidTr="00674E11">
        <w:tc>
          <w:tcPr>
            <w:tcW w:w="1350" w:type="dxa"/>
          </w:tcPr>
          <w:p w:rsidR="00F04CF1" w:rsidRPr="00CA6208" w:rsidRDefault="00F04CF1" w:rsidP="004A7475">
            <w:pPr>
              <w:jc w:val="center"/>
            </w:pPr>
            <w:r>
              <w:lastRenderedPageBreak/>
              <w:t>Burbank</w:t>
            </w:r>
            <w:r>
              <w:rPr>
                <w:spacing w:val="-3"/>
              </w:rPr>
              <w:t xml:space="preserve"> </w:t>
            </w:r>
            <w:r>
              <w:t>and</w:t>
            </w:r>
            <w:r>
              <w:rPr>
                <w:spacing w:val="-3"/>
              </w:rPr>
              <w:t xml:space="preserve"> </w:t>
            </w:r>
            <w:r>
              <w:t>Glendale</w:t>
            </w:r>
          </w:p>
        </w:tc>
        <w:tc>
          <w:tcPr>
            <w:tcW w:w="900" w:type="dxa"/>
          </w:tcPr>
          <w:p w:rsidR="00F04CF1" w:rsidRPr="00CA6208" w:rsidRDefault="00F04CF1" w:rsidP="004A7475">
            <w:pPr>
              <w:jc w:val="center"/>
            </w:pPr>
            <w:r w:rsidRPr="00CA6208">
              <w:t>19</w:t>
            </w:r>
            <w:r>
              <w:t>a</w:t>
            </w:r>
          </w:p>
        </w:tc>
        <w:tc>
          <w:tcPr>
            <w:tcW w:w="1440" w:type="dxa"/>
          </w:tcPr>
          <w:p w:rsidR="00F04CF1" w:rsidRPr="00CA6208" w:rsidRDefault="00F04CF1" w:rsidP="004A7475">
            <w:r w:rsidRPr="00D13CD6">
              <w:t>LADWP Proposed Tariff Section 13.5</w:t>
            </w:r>
          </w:p>
        </w:tc>
        <w:tc>
          <w:tcPr>
            <w:tcW w:w="1170" w:type="dxa"/>
          </w:tcPr>
          <w:p w:rsidR="00F04CF1" w:rsidRDefault="00F04CF1">
            <w:r>
              <w:t>2.1.</w:t>
            </w:r>
            <w:r w:rsidRPr="00CA6208">
              <w:t>2017</w:t>
            </w:r>
            <w:r>
              <w:t>/</w:t>
            </w:r>
          </w:p>
          <w:p w:rsidR="00F04CF1" w:rsidRPr="00CA6208" w:rsidRDefault="00F04CF1">
            <w:r>
              <w:t>2.8.2017</w:t>
            </w:r>
          </w:p>
        </w:tc>
        <w:tc>
          <w:tcPr>
            <w:tcW w:w="2700" w:type="dxa"/>
          </w:tcPr>
          <w:p w:rsidR="00F04CF1" w:rsidRPr="00D13CD6" w:rsidRDefault="00F04CF1" w:rsidP="005B60F6">
            <w:pPr>
              <w:ind w:left="100"/>
            </w:pPr>
            <w:r w:rsidRPr="00D13CD6">
              <w:t xml:space="preserve">Please explain why LADWP has excluded the following language from the </w:t>
            </w:r>
            <w:r w:rsidRPr="00D13CD6">
              <w:rPr>
                <w:i/>
              </w:rPr>
              <w:t xml:space="preserve">pro forma </w:t>
            </w:r>
            <w:r w:rsidRPr="00D13CD6">
              <w:t xml:space="preserve">OATT in the proposed LADWP OATT Section 13.5: “To the extent the Transmission Provider can relieve any system constraint by </w:t>
            </w:r>
            <w:proofErr w:type="spellStart"/>
            <w:r w:rsidRPr="00D13CD6">
              <w:t>redispatching</w:t>
            </w:r>
            <w:proofErr w:type="spellEnd"/>
            <w:r w:rsidRPr="00D13CD6">
              <w:t xml:space="preserve"> the Transmission Provider's resources, it shall do so.”</w:t>
            </w:r>
          </w:p>
          <w:p w:rsidR="00F04CF1" w:rsidRPr="00CA6208" w:rsidRDefault="00F04CF1" w:rsidP="00F741A0">
            <w:pPr>
              <w:ind w:left="460"/>
            </w:pPr>
          </w:p>
        </w:tc>
        <w:tc>
          <w:tcPr>
            <w:tcW w:w="6660" w:type="dxa"/>
          </w:tcPr>
          <w:p w:rsidR="00F04CF1" w:rsidRPr="00CA6208" w:rsidRDefault="00F04CF1" w:rsidP="004A7475">
            <w:r w:rsidRPr="00EB5FEE">
              <w:t xml:space="preserve">Generation </w:t>
            </w:r>
            <w:proofErr w:type="spellStart"/>
            <w:r w:rsidRPr="00EB5FEE">
              <w:t>redispatch</w:t>
            </w:r>
            <w:proofErr w:type="spellEnd"/>
            <w:r w:rsidRPr="00EB5FEE">
              <w:t xml:space="preserve"> will be address with the February 21, 2017 tariff posting.  </w:t>
            </w:r>
          </w:p>
        </w:tc>
      </w:tr>
      <w:tr w:rsidR="00F04CF1" w:rsidTr="00674E11">
        <w:tc>
          <w:tcPr>
            <w:tcW w:w="1350" w:type="dxa"/>
          </w:tcPr>
          <w:p w:rsidR="00F04CF1" w:rsidRPr="00CA6208" w:rsidRDefault="00F04CF1" w:rsidP="00D82AC2">
            <w:pPr>
              <w:jc w:val="center"/>
            </w:pPr>
            <w:r>
              <w:t>Burbank</w:t>
            </w:r>
            <w:r>
              <w:rPr>
                <w:spacing w:val="-3"/>
              </w:rPr>
              <w:t xml:space="preserve"> </w:t>
            </w:r>
            <w:r>
              <w:t>and</w:t>
            </w:r>
            <w:r>
              <w:rPr>
                <w:spacing w:val="-3"/>
              </w:rPr>
              <w:t xml:space="preserve"> </w:t>
            </w:r>
            <w:r>
              <w:t>Glendale</w:t>
            </w:r>
          </w:p>
        </w:tc>
        <w:tc>
          <w:tcPr>
            <w:tcW w:w="900" w:type="dxa"/>
          </w:tcPr>
          <w:p w:rsidR="00F04CF1" w:rsidRPr="00CA6208" w:rsidRDefault="00F04CF1" w:rsidP="00D82AC2">
            <w:pPr>
              <w:jc w:val="center"/>
            </w:pPr>
            <w:r w:rsidRPr="00CA6208">
              <w:t>19</w:t>
            </w:r>
            <w:r>
              <w:t>b</w:t>
            </w:r>
          </w:p>
        </w:tc>
        <w:tc>
          <w:tcPr>
            <w:tcW w:w="1440" w:type="dxa"/>
          </w:tcPr>
          <w:p w:rsidR="00F04CF1" w:rsidRPr="00CA6208" w:rsidRDefault="00F04CF1" w:rsidP="00D82AC2">
            <w:r w:rsidRPr="00D13CD6">
              <w:t>LADWP Proposed Tariff Section 13.5</w:t>
            </w:r>
          </w:p>
        </w:tc>
        <w:tc>
          <w:tcPr>
            <w:tcW w:w="1170" w:type="dxa"/>
          </w:tcPr>
          <w:p w:rsidR="00F04CF1" w:rsidRDefault="00F04CF1" w:rsidP="00D82AC2">
            <w:r>
              <w:t>2.1.</w:t>
            </w:r>
            <w:r w:rsidRPr="00CA6208">
              <w:t>2017</w:t>
            </w:r>
            <w:r>
              <w:t>/</w:t>
            </w:r>
          </w:p>
          <w:p w:rsidR="00F04CF1" w:rsidRPr="00CA6208" w:rsidRDefault="00F04CF1" w:rsidP="00D82AC2">
            <w:r>
              <w:t>2.8.2017</w:t>
            </w:r>
          </w:p>
        </w:tc>
        <w:tc>
          <w:tcPr>
            <w:tcW w:w="2700" w:type="dxa"/>
          </w:tcPr>
          <w:p w:rsidR="00F04CF1" w:rsidRPr="00D13CD6" w:rsidRDefault="00F04CF1" w:rsidP="005B60F6">
            <w:pPr>
              <w:ind w:left="100"/>
            </w:pPr>
            <w:r w:rsidRPr="00D13CD6">
              <w:t xml:space="preserve">Will LADWP </w:t>
            </w:r>
            <w:proofErr w:type="spellStart"/>
            <w:r w:rsidRPr="00D13CD6">
              <w:t>redispatch</w:t>
            </w:r>
            <w:proofErr w:type="spellEnd"/>
            <w:r w:rsidRPr="00D13CD6">
              <w:t xml:space="preserve"> its resources to relieve system constraints? Will </w:t>
            </w:r>
            <w:proofErr w:type="spellStart"/>
            <w:r w:rsidRPr="00D13CD6">
              <w:t>redispatch</w:t>
            </w:r>
            <w:proofErr w:type="spellEnd"/>
            <w:r w:rsidRPr="00D13CD6">
              <w:t xml:space="preserve"> be </w:t>
            </w:r>
            <w:proofErr w:type="gramStart"/>
            <w:r w:rsidRPr="00D13CD6">
              <w:t>provide</w:t>
            </w:r>
            <w:proofErr w:type="gramEnd"/>
            <w:r w:rsidRPr="00D13CD6">
              <w:t xml:space="preserve"> to some or all customers and/or loads? Please explain your answers and provide </w:t>
            </w:r>
            <w:proofErr w:type="spellStart"/>
            <w:r w:rsidRPr="00D13CD6">
              <w:t>redispatch</w:t>
            </w:r>
            <w:proofErr w:type="spellEnd"/>
            <w:r w:rsidRPr="00D13CD6">
              <w:t xml:space="preserve"> plans, formulas, studies, and </w:t>
            </w:r>
            <w:r w:rsidRPr="00D13CD6">
              <w:lastRenderedPageBreak/>
              <w:t>related documentation.</w:t>
            </w:r>
          </w:p>
          <w:p w:rsidR="00F04CF1" w:rsidRPr="00D13CD6" w:rsidRDefault="00F04CF1" w:rsidP="00F741A0">
            <w:pPr>
              <w:ind w:left="460"/>
            </w:pPr>
          </w:p>
        </w:tc>
        <w:tc>
          <w:tcPr>
            <w:tcW w:w="6660" w:type="dxa"/>
          </w:tcPr>
          <w:p w:rsidR="00F04CF1" w:rsidRPr="00EB5FEE" w:rsidRDefault="00F04CF1" w:rsidP="004A7475">
            <w:r w:rsidRPr="00EB5FEE">
              <w:lastRenderedPageBreak/>
              <w:t xml:space="preserve">Generation </w:t>
            </w:r>
            <w:proofErr w:type="spellStart"/>
            <w:r w:rsidRPr="00EB5FEE">
              <w:t>redispatch</w:t>
            </w:r>
            <w:proofErr w:type="spellEnd"/>
            <w:r w:rsidRPr="00EB5FEE">
              <w:t xml:space="preserve"> will be address with the February 21, 2017 tariff posting.  </w:t>
            </w:r>
          </w:p>
        </w:tc>
      </w:tr>
      <w:tr w:rsidR="00F04CF1" w:rsidTr="00674E11">
        <w:tc>
          <w:tcPr>
            <w:tcW w:w="1350" w:type="dxa"/>
          </w:tcPr>
          <w:p w:rsidR="00F04CF1" w:rsidRPr="00CA6208" w:rsidRDefault="00F04CF1" w:rsidP="00D82AC2">
            <w:pPr>
              <w:jc w:val="center"/>
            </w:pPr>
            <w:r>
              <w:lastRenderedPageBreak/>
              <w:t>Burbank</w:t>
            </w:r>
            <w:r>
              <w:rPr>
                <w:spacing w:val="-3"/>
              </w:rPr>
              <w:t xml:space="preserve"> </w:t>
            </w:r>
            <w:r>
              <w:t>and</w:t>
            </w:r>
            <w:r>
              <w:rPr>
                <w:spacing w:val="-3"/>
              </w:rPr>
              <w:t xml:space="preserve"> </w:t>
            </w:r>
            <w:r>
              <w:t>Glendale</w:t>
            </w:r>
          </w:p>
        </w:tc>
        <w:tc>
          <w:tcPr>
            <w:tcW w:w="900" w:type="dxa"/>
          </w:tcPr>
          <w:p w:rsidR="00F04CF1" w:rsidRPr="00CA6208" w:rsidRDefault="00F04CF1" w:rsidP="00D82AC2">
            <w:pPr>
              <w:jc w:val="center"/>
            </w:pPr>
            <w:r w:rsidRPr="00CA6208">
              <w:t>19</w:t>
            </w:r>
            <w:r>
              <w:t>c</w:t>
            </w:r>
          </w:p>
        </w:tc>
        <w:tc>
          <w:tcPr>
            <w:tcW w:w="1440" w:type="dxa"/>
          </w:tcPr>
          <w:p w:rsidR="00F04CF1" w:rsidRPr="00CA6208" w:rsidRDefault="00F04CF1" w:rsidP="00D82AC2">
            <w:r w:rsidRPr="00D13CD6">
              <w:t>LADWP Proposed Tariff Section 13.5</w:t>
            </w:r>
          </w:p>
        </w:tc>
        <w:tc>
          <w:tcPr>
            <w:tcW w:w="1170" w:type="dxa"/>
          </w:tcPr>
          <w:p w:rsidR="00F04CF1" w:rsidRDefault="00F04CF1" w:rsidP="00D82AC2">
            <w:r>
              <w:t>2.1.</w:t>
            </w:r>
            <w:r w:rsidRPr="00CA6208">
              <w:t>2017</w:t>
            </w:r>
            <w:r>
              <w:t>/</w:t>
            </w:r>
          </w:p>
          <w:p w:rsidR="00F04CF1" w:rsidRPr="00CA6208" w:rsidRDefault="00F04CF1" w:rsidP="00D82AC2">
            <w:r>
              <w:t>2.8.2017</w:t>
            </w:r>
          </w:p>
        </w:tc>
        <w:tc>
          <w:tcPr>
            <w:tcW w:w="2700" w:type="dxa"/>
          </w:tcPr>
          <w:p w:rsidR="00F04CF1" w:rsidRPr="00D13CD6" w:rsidRDefault="00F04CF1" w:rsidP="005B60F6">
            <w:pPr>
              <w:ind w:left="100"/>
            </w:pPr>
            <w:r w:rsidRPr="00D13CD6">
              <w:t xml:space="preserve">Does LADWP </w:t>
            </w:r>
            <w:proofErr w:type="spellStart"/>
            <w:r w:rsidRPr="00D13CD6">
              <w:t>redispatch</w:t>
            </w:r>
            <w:proofErr w:type="spellEnd"/>
            <w:r w:rsidRPr="00D13CD6">
              <w:t xml:space="preserve"> its resources in any way to relieve system constraints for the benefit of its loads? Please explain your answer and provide </w:t>
            </w:r>
            <w:proofErr w:type="spellStart"/>
            <w:r w:rsidRPr="00D13CD6">
              <w:t>redispatch</w:t>
            </w:r>
            <w:proofErr w:type="spellEnd"/>
            <w:r w:rsidRPr="00D13CD6">
              <w:t xml:space="preserve"> plans, formulas, studies, and related documentation.</w:t>
            </w:r>
          </w:p>
          <w:p w:rsidR="00F04CF1" w:rsidRPr="00D13CD6" w:rsidRDefault="00F04CF1" w:rsidP="00F741A0">
            <w:pPr>
              <w:ind w:left="460"/>
            </w:pPr>
          </w:p>
        </w:tc>
        <w:tc>
          <w:tcPr>
            <w:tcW w:w="6660" w:type="dxa"/>
          </w:tcPr>
          <w:p w:rsidR="00F04CF1" w:rsidRPr="00EB5FEE" w:rsidRDefault="00F04CF1" w:rsidP="004A7475">
            <w:r w:rsidRPr="00EB5FEE">
              <w:t xml:space="preserve">Generation </w:t>
            </w:r>
            <w:proofErr w:type="spellStart"/>
            <w:r w:rsidRPr="00EB5FEE">
              <w:t>redispatch</w:t>
            </w:r>
            <w:proofErr w:type="spellEnd"/>
            <w:r w:rsidRPr="00EB5FEE">
              <w:t xml:space="preserve"> will be address with the February 21, 2017 tariff posting.  </w:t>
            </w:r>
          </w:p>
        </w:tc>
      </w:tr>
      <w:tr w:rsidR="00F04CF1" w:rsidTr="00674E11">
        <w:tc>
          <w:tcPr>
            <w:tcW w:w="1350" w:type="dxa"/>
          </w:tcPr>
          <w:p w:rsidR="00F04CF1" w:rsidRPr="00CA6208" w:rsidRDefault="00F04CF1" w:rsidP="004A7475">
            <w:pPr>
              <w:jc w:val="center"/>
            </w:pPr>
            <w:r>
              <w:t>Burbank</w:t>
            </w:r>
            <w:r>
              <w:rPr>
                <w:spacing w:val="-3"/>
              </w:rPr>
              <w:t xml:space="preserve"> </w:t>
            </w:r>
            <w:r>
              <w:t>and</w:t>
            </w:r>
            <w:r>
              <w:rPr>
                <w:spacing w:val="-3"/>
              </w:rPr>
              <w:t xml:space="preserve"> </w:t>
            </w:r>
            <w:r>
              <w:t>Glendale</w:t>
            </w:r>
          </w:p>
        </w:tc>
        <w:tc>
          <w:tcPr>
            <w:tcW w:w="900" w:type="dxa"/>
          </w:tcPr>
          <w:p w:rsidR="00F04CF1" w:rsidRPr="00CA6208" w:rsidRDefault="00F04CF1" w:rsidP="004A7475">
            <w:pPr>
              <w:jc w:val="center"/>
            </w:pPr>
            <w:r w:rsidRPr="00CA6208">
              <w:t>20</w:t>
            </w:r>
            <w:r>
              <w:t>a</w:t>
            </w:r>
          </w:p>
        </w:tc>
        <w:tc>
          <w:tcPr>
            <w:tcW w:w="1440" w:type="dxa"/>
          </w:tcPr>
          <w:p w:rsidR="00F04CF1" w:rsidRPr="00CA6208" w:rsidRDefault="00F04CF1" w:rsidP="004A7475">
            <w:r w:rsidRPr="00D13CD6">
              <w:t>LADWP Proposed Tariff Section 15.4</w:t>
            </w:r>
          </w:p>
        </w:tc>
        <w:tc>
          <w:tcPr>
            <w:tcW w:w="1170" w:type="dxa"/>
          </w:tcPr>
          <w:p w:rsidR="00F04CF1" w:rsidRDefault="00F04CF1" w:rsidP="00F0025B">
            <w:r>
              <w:t>2.1.</w:t>
            </w:r>
            <w:r w:rsidRPr="00CA6208">
              <w:t>2017</w:t>
            </w:r>
            <w:r>
              <w:t>/</w:t>
            </w:r>
          </w:p>
          <w:p w:rsidR="00F04CF1" w:rsidRPr="00CA6208" w:rsidRDefault="00F04CF1" w:rsidP="00F0025B">
            <w:r>
              <w:t>2.8.2017</w:t>
            </w:r>
          </w:p>
        </w:tc>
        <w:tc>
          <w:tcPr>
            <w:tcW w:w="2700" w:type="dxa"/>
          </w:tcPr>
          <w:p w:rsidR="00F04CF1" w:rsidRPr="00D13CD6" w:rsidRDefault="00F04CF1" w:rsidP="005B60F6">
            <w:pPr>
              <w:ind w:left="100"/>
            </w:pPr>
            <w:r w:rsidRPr="00D13CD6">
              <w:t xml:space="preserve">Please explain why LADWP has exclude the following language from the </w:t>
            </w:r>
            <w:r w:rsidRPr="005B60F6">
              <w:rPr>
                <w:i/>
              </w:rPr>
              <w:t xml:space="preserve">pro forma </w:t>
            </w:r>
            <w:r w:rsidRPr="00D13CD6">
              <w:t>OATT in the proposed LADWP OATT, Section 15.4:</w:t>
            </w:r>
            <w:r>
              <w:t xml:space="preserve"> </w:t>
            </w:r>
            <w:r w:rsidRPr="00D13CD6">
              <w:t xml:space="preserve">“If the Transmission Provider determines that it cannot accommodate a Completed Application for Long-Term Firm Point-To-Point Transmission Service because of insufficient capability on its </w:t>
            </w:r>
            <w:r w:rsidRPr="00D13CD6">
              <w:lastRenderedPageBreak/>
              <w:t xml:space="preserve">Transmission System, the Transmission Provider will use due diligence to provide </w:t>
            </w:r>
            <w:proofErr w:type="spellStart"/>
            <w:r w:rsidRPr="00D13CD6">
              <w:t>redispatch</w:t>
            </w:r>
            <w:proofErr w:type="spellEnd"/>
            <w:r w:rsidRPr="00D13CD6">
              <w:t xml:space="preserve"> from its own resources until (</w:t>
            </w:r>
            <w:proofErr w:type="spellStart"/>
            <w:r w:rsidRPr="00D13CD6">
              <w:t>i</w:t>
            </w:r>
            <w:proofErr w:type="spellEnd"/>
            <w:r w:rsidRPr="00D13CD6">
              <w:t xml:space="preserve">) Network Upgrades are completed for the Transmission Customer, (ii) the Transmission Provider determines through a biennial reassessment that it can no longer reliably provide the </w:t>
            </w:r>
            <w:proofErr w:type="spellStart"/>
            <w:r w:rsidRPr="00D13CD6">
              <w:t>redispatch</w:t>
            </w:r>
            <w:proofErr w:type="spellEnd"/>
            <w:r w:rsidRPr="00D13CD6">
              <w:t xml:space="preserve">, or (iii) the Transmission Customer terminates the service because of </w:t>
            </w:r>
            <w:proofErr w:type="spellStart"/>
            <w:r w:rsidRPr="00D13CD6">
              <w:t>redispatch</w:t>
            </w:r>
            <w:proofErr w:type="spellEnd"/>
            <w:r w:rsidRPr="00D13CD6">
              <w:t xml:space="preserve"> changes resulting from the reassessment. A Transmission Provider shall not unreasonably deny self-provided </w:t>
            </w:r>
            <w:proofErr w:type="spellStart"/>
            <w:r w:rsidRPr="00D13CD6">
              <w:t>redispatch</w:t>
            </w:r>
            <w:proofErr w:type="spellEnd"/>
            <w:r w:rsidRPr="00D13CD6">
              <w:t xml:space="preserve"> or </w:t>
            </w:r>
            <w:proofErr w:type="spellStart"/>
            <w:r w:rsidRPr="00D13CD6">
              <w:t>redispatch</w:t>
            </w:r>
            <w:proofErr w:type="spellEnd"/>
            <w:r w:rsidRPr="00D13CD6">
              <w:t xml:space="preserve"> arranged by the Transmission Customer from a third party </w:t>
            </w:r>
            <w:r w:rsidRPr="00D13CD6">
              <w:lastRenderedPageBreak/>
              <w:t xml:space="preserve">resource.(c) If the Transmission Provider determines that it cannot accommodate a Completed Application for Long-Term Firm Point-To-Point Transmission Service because of insufficient capability on its Transmission System, the Transmission Provider will offer the Firm Transmission Service with the condition that the Transmission Provider may curtail the service prior to the curtailment of other Firm Transmission Service for a specified number of hours per year or during System Condition(s). If the Transmission Customer accepts the service, the Transmission Provider will use due diligence to </w:t>
            </w:r>
            <w:r w:rsidRPr="00D13CD6">
              <w:lastRenderedPageBreak/>
              <w:t>provide the service  until  (</w:t>
            </w:r>
            <w:proofErr w:type="spellStart"/>
            <w:r w:rsidRPr="00D13CD6">
              <w:t>i</w:t>
            </w:r>
            <w:proofErr w:type="spellEnd"/>
            <w:r w:rsidRPr="00D13CD6">
              <w:t>)  Network  Upgrades  are  completed  for  the  Transmission</w:t>
            </w:r>
            <w:r>
              <w:t xml:space="preserve"> </w:t>
            </w:r>
            <w:r w:rsidRPr="00D13CD6">
              <w:t>Customer, (ii) the Transmission Provider determines through a biennial reassessment that it can no longer reliably provide such service, or (iii) the Transmission Customer terminates the service because the reassessment increased the number of hours per year of conditional curtailment or changed the System Conditions.”</w:t>
            </w:r>
          </w:p>
          <w:p w:rsidR="00F04CF1" w:rsidRPr="00CA6208" w:rsidRDefault="00F04CF1" w:rsidP="00F741A0">
            <w:pPr>
              <w:pStyle w:val="ListParagraph"/>
              <w:ind w:left="460"/>
            </w:pPr>
          </w:p>
        </w:tc>
        <w:tc>
          <w:tcPr>
            <w:tcW w:w="6660" w:type="dxa"/>
          </w:tcPr>
          <w:p w:rsidR="00F04CF1" w:rsidRPr="00CA6208" w:rsidRDefault="00F04CF1" w:rsidP="004A7475">
            <w:r w:rsidRPr="00EB5FEE">
              <w:lastRenderedPageBreak/>
              <w:t xml:space="preserve">Generation </w:t>
            </w:r>
            <w:proofErr w:type="spellStart"/>
            <w:r w:rsidRPr="00EB5FEE">
              <w:t>redispatch</w:t>
            </w:r>
            <w:proofErr w:type="spellEnd"/>
            <w:r w:rsidRPr="00EB5FEE">
              <w:t xml:space="preserve"> will be address with the February 21, 2017 tariff posting.</w:t>
            </w:r>
          </w:p>
        </w:tc>
      </w:tr>
      <w:tr w:rsidR="00F04CF1" w:rsidTr="00674E11">
        <w:tc>
          <w:tcPr>
            <w:tcW w:w="1350" w:type="dxa"/>
          </w:tcPr>
          <w:p w:rsidR="00F04CF1" w:rsidRPr="00CA6208" w:rsidRDefault="00F04CF1" w:rsidP="00D82AC2">
            <w:pPr>
              <w:jc w:val="center"/>
            </w:pPr>
            <w:r>
              <w:lastRenderedPageBreak/>
              <w:t>Burbank</w:t>
            </w:r>
            <w:r>
              <w:rPr>
                <w:spacing w:val="-3"/>
              </w:rPr>
              <w:t xml:space="preserve"> </w:t>
            </w:r>
            <w:r>
              <w:t>and</w:t>
            </w:r>
            <w:r>
              <w:rPr>
                <w:spacing w:val="-3"/>
              </w:rPr>
              <w:t xml:space="preserve"> </w:t>
            </w:r>
            <w:r>
              <w:t>Glendale</w:t>
            </w:r>
          </w:p>
        </w:tc>
        <w:tc>
          <w:tcPr>
            <w:tcW w:w="900" w:type="dxa"/>
          </w:tcPr>
          <w:p w:rsidR="00F04CF1" w:rsidRPr="00CA6208" w:rsidRDefault="00F04CF1" w:rsidP="00D82AC2">
            <w:pPr>
              <w:jc w:val="center"/>
            </w:pPr>
            <w:r w:rsidRPr="00CA6208">
              <w:t>20</w:t>
            </w:r>
            <w:r>
              <w:t>b</w:t>
            </w:r>
          </w:p>
        </w:tc>
        <w:tc>
          <w:tcPr>
            <w:tcW w:w="1440" w:type="dxa"/>
          </w:tcPr>
          <w:p w:rsidR="00F04CF1" w:rsidRPr="00CA6208" w:rsidRDefault="00F04CF1" w:rsidP="00D82AC2">
            <w:r w:rsidRPr="00D13CD6">
              <w:t>LADWP Proposed Tariff Section 15.4</w:t>
            </w:r>
          </w:p>
        </w:tc>
        <w:tc>
          <w:tcPr>
            <w:tcW w:w="1170" w:type="dxa"/>
          </w:tcPr>
          <w:p w:rsidR="00F04CF1" w:rsidRDefault="00F04CF1" w:rsidP="00D82AC2">
            <w:r>
              <w:t>2.1.</w:t>
            </w:r>
            <w:r w:rsidRPr="00CA6208">
              <w:t>2017</w:t>
            </w:r>
            <w:r>
              <w:t>/</w:t>
            </w:r>
          </w:p>
          <w:p w:rsidR="00F04CF1" w:rsidRPr="00CA6208" w:rsidRDefault="00F04CF1" w:rsidP="00D82AC2">
            <w:r>
              <w:t>2.8.2017</w:t>
            </w:r>
          </w:p>
        </w:tc>
        <w:tc>
          <w:tcPr>
            <w:tcW w:w="2700" w:type="dxa"/>
          </w:tcPr>
          <w:p w:rsidR="00F04CF1" w:rsidRDefault="00F04CF1" w:rsidP="005B60F6">
            <w:pPr>
              <w:ind w:left="100"/>
            </w:pPr>
            <w:r w:rsidRPr="00D13CD6">
              <w:t xml:space="preserve">Please provide and explain any established protocols or published Business Practices showing how LADWP will incorporate self-supplies of </w:t>
            </w:r>
            <w:proofErr w:type="spellStart"/>
            <w:r w:rsidRPr="00D13CD6">
              <w:t>redispatch</w:t>
            </w:r>
            <w:proofErr w:type="spellEnd"/>
            <w:r w:rsidRPr="00D13CD6">
              <w:t xml:space="preserve"> or </w:t>
            </w:r>
            <w:proofErr w:type="spellStart"/>
            <w:r w:rsidRPr="00D13CD6">
              <w:lastRenderedPageBreak/>
              <w:t>redispatch</w:t>
            </w:r>
            <w:proofErr w:type="spellEnd"/>
            <w:r w:rsidRPr="00D13CD6">
              <w:t xml:space="preserve"> arranged by the Transmission Customer from a third party resource. If no such protocols or Business Practices exist, please so state.</w:t>
            </w:r>
          </w:p>
          <w:p w:rsidR="00F04CF1" w:rsidRPr="00D13CD6" w:rsidRDefault="00F04CF1" w:rsidP="00F741A0">
            <w:pPr>
              <w:pStyle w:val="ListParagraph"/>
              <w:ind w:left="460"/>
            </w:pPr>
          </w:p>
        </w:tc>
        <w:tc>
          <w:tcPr>
            <w:tcW w:w="6660" w:type="dxa"/>
          </w:tcPr>
          <w:p w:rsidR="00F04CF1" w:rsidRPr="00EB5FEE" w:rsidRDefault="00F04CF1" w:rsidP="004A7475">
            <w:r w:rsidRPr="00EB5FEE">
              <w:lastRenderedPageBreak/>
              <w:t xml:space="preserve">Generation </w:t>
            </w:r>
            <w:proofErr w:type="spellStart"/>
            <w:r w:rsidRPr="00EB5FEE">
              <w:t>redispatch</w:t>
            </w:r>
            <w:proofErr w:type="spellEnd"/>
            <w:r w:rsidRPr="00EB5FEE">
              <w:t xml:space="preserve"> will be address with the February 21, 2017 tariff posting.</w:t>
            </w:r>
          </w:p>
        </w:tc>
      </w:tr>
      <w:tr w:rsidR="00F04CF1" w:rsidTr="00674E11">
        <w:tc>
          <w:tcPr>
            <w:tcW w:w="1350" w:type="dxa"/>
          </w:tcPr>
          <w:p w:rsidR="00F04CF1" w:rsidRPr="00CA6208" w:rsidRDefault="00F04CF1" w:rsidP="004A7475">
            <w:pPr>
              <w:jc w:val="center"/>
            </w:pPr>
            <w:r>
              <w:lastRenderedPageBreak/>
              <w:t>Burbank</w:t>
            </w:r>
            <w:r>
              <w:rPr>
                <w:spacing w:val="-3"/>
              </w:rPr>
              <w:t xml:space="preserve"> </w:t>
            </w:r>
            <w:r>
              <w:t>and</w:t>
            </w:r>
            <w:r>
              <w:rPr>
                <w:spacing w:val="-3"/>
              </w:rPr>
              <w:t xml:space="preserve"> </w:t>
            </w:r>
            <w:r>
              <w:t>Glendale</w:t>
            </w:r>
          </w:p>
        </w:tc>
        <w:tc>
          <w:tcPr>
            <w:tcW w:w="900" w:type="dxa"/>
          </w:tcPr>
          <w:p w:rsidR="00F04CF1" w:rsidRPr="00CA6208" w:rsidRDefault="00F04CF1" w:rsidP="004A7475">
            <w:pPr>
              <w:jc w:val="center"/>
            </w:pPr>
            <w:r w:rsidRPr="00CA6208">
              <w:t>21</w:t>
            </w:r>
            <w:r>
              <w:t>a</w:t>
            </w:r>
          </w:p>
        </w:tc>
        <w:tc>
          <w:tcPr>
            <w:tcW w:w="1440" w:type="dxa"/>
          </w:tcPr>
          <w:p w:rsidR="00F04CF1" w:rsidRPr="00CA6208" w:rsidRDefault="00F04CF1" w:rsidP="004A7475">
            <w:r w:rsidRPr="00D13CD6">
              <w:t>LADWP Proposed Tariff Section 19</w:t>
            </w:r>
          </w:p>
        </w:tc>
        <w:tc>
          <w:tcPr>
            <w:tcW w:w="1170" w:type="dxa"/>
          </w:tcPr>
          <w:p w:rsidR="00F04CF1" w:rsidRDefault="00F04CF1" w:rsidP="00F0025B">
            <w:r>
              <w:t>2.1.</w:t>
            </w:r>
            <w:r w:rsidRPr="00CA6208">
              <w:t>2017</w:t>
            </w:r>
            <w:r>
              <w:t>/</w:t>
            </w:r>
          </w:p>
          <w:p w:rsidR="00F04CF1" w:rsidRPr="00CA6208" w:rsidRDefault="00F04CF1" w:rsidP="00F0025B">
            <w:r>
              <w:t>2.8.2017</w:t>
            </w:r>
          </w:p>
        </w:tc>
        <w:tc>
          <w:tcPr>
            <w:tcW w:w="2700" w:type="dxa"/>
          </w:tcPr>
          <w:p w:rsidR="00F04CF1" w:rsidRPr="00D13CD6" w:rsidRDefault="00F04CF1" w:rsidP="005B60F6">
            <w:pPr>
              <w:ind w:left="100"/>
            </w:pPr>
            <w:r w:rsidRPr="00D13CD6">
              <w:t xml:space="preserve">Please explain why LADWP has excluded the following language from the </w:t>
            </w:r>
            <w:r w:rsidRPr="00D13CD6">
              <w:rPr>
                <w:i/>
              </w:rPr>
              <w:t xml:space="preserve">pro forma </w:t>
            </w:r>
            <w:r w:rsidRPr="00D13CD6">
              <w:t xml:space="preserve">OATT in the proposed LADWP OATT Section 19: “Once informed, the Eligible Customer shall timely notify the Transmission Provider if it elects to have the Transmission Provider study </w:t>
            </w:r>
            <w:proofErr w:type="spellStart"/>
            <w:r w:rsidRPr="00D13CD6">
              <w:t>redispatch</w:t>
            </w:r>
            <w:proofErr w:type="spellEnd"/>
            <w:r w:rsidRPr="00D13CD6">
              <w:t xml:space="preserve"> or conditional curtailment as part of the System Impact Study.”</w:t>
            </w:r>
          </w:p>
          <w:p w:rsidR="00F04CF1" w:rsidRPr="00CA6208" w:rsidRDefault="00F04CF1" w:rsidP="00F741A0">
            <w:pPr>
              <w:ind w:left="460"/>
            </w:pPr>
          </w:p>
        </w:tc>
        <w:tc>
          <w:tcPr>
            <w:tcW w:w="6660" w:type="dxa"/>
          </w:tcPr>
          <w:p w:rsidR="00F04CF1" w:rsidRPr="00CA6208" w:rsidRDefault="00F04CF1" w:rsidP="004A7475">
            <w:r w:rsidRPr="00EB5FEE">
              <w:t xml:space="preserve">Generation </w:t>
            </w:r>
            <w:proofErr w:type="spellStart"/>
            <w:r w:rsidRPr="00EB5FEE">
              <w:t>redispatch</w:t>
            </w:r>
            <w:proofErr w:type="spellEnd"/>
            <w:r w:rsidRPr="00EB5FEE">
              <w:t xml:space="preserve"> will be address with the February 21, 2017 tariff posting.</w:t>
            </w:r>
          </w:p>
        </w:tc>
      </w:tr>
      <w:tr w:rsidR="00F04CF1" w:rsidTr="00674E11">
        <w:tc>
          <w:tcPr>
            <w:tcW w:w="1350" w:type="dxa"/>
          </w:tcPr>
          <w:p w:rsidR="00F04CF1" w:rsidRPr="00CA6208" w:rsidRDefault="00F04CF1" w:rsidP="00D82AC2">
            <w:pPr>
              <w:jc w:val="center"/>
            </w:pPr>
            <w:r>
              <w:t>Burbank</w:t>
            </w:r>
            <w:r>
              <w:rPr>
                <w:spacing w:val="-3"/>
              </w:rPr>
              <w:t xml:space="preserve"> </w:t>
            </w:r>
            <w:r>
              <w:t>and</w:t>
            </w:r>
            <w:r>
              <w:rPr>
                <w:spacing w:val="-3"/>
              </w:rPr>
              <w:t xml:space="preserve"> </w:t>
            </w:r>
            <w:r>
              <w:t>Glendale</w:t>
            </w:r>
          </w:p>
        </w:tc>
        <w:tc>
          <w:tcPr>
            <w:tcW w:w="900" w:type="dxa"/>
          </w:tcPr>
          <w:p w:rsidR="00F04CF1" w:rsidRPr="00CA6208" w:rsidRDefault="00F04CF1" w:rsidP="00D82AC2">
            <w:pPr>
              <w:jc w:val="center"/>
            </w:pPr>
            <w:r w:rsidRPr="00CA6208">
              <w:t>21</w:t>
            </w:r>
            <w:r>
              <w:t>b</w:t>
            </w:r>
          </w:p>
        </w:tc>
        <w:tc>
          <w:tcPr>
            <w:tcW w:w="1440" w:type="dxa"/>
          </w:tcPr>
          <w:p w:rsidR="00F04CF1" w:rsidRPr="00CA6208" w:rsidRDefault="00F04CF1" w:rsidP="00D82AC2">
            <w:r w:rsidRPr="00D13CD6">
              <w:t xml:space="preserve">LADWP Proposed </w:t>
            </w:r>
            <w:r w:rsidRPr="00D13CD6">
              <w:lastRenderedPageBreak/>
              <w:t>Tariff Section 19</w:t>
            </w:r>
          </w:p>
        </w:tc>
        <w:tc>
          <w:tcPr>
            <w:tcW w:w="1170" w:type="dxa"/>
          </w:tcPr>
          <w:p w:rsidR="00F04CF1" w:rsidRDefault="00F04CF1" w:rsidP="00D82AC2">
            <w:r>
              <w:lastRenderedPageBreak/>
              <w:t>2.1.</w:t>
            </w:r>
            <w:r w:rsidRPr="00CA6208">
              <w:t>2017</w:t>
            </w:r>
            <w:r>
              <w:t>/</w:t>
            </w:r>
          </w:p>
          <w:p w:rsidR="00F04CF1" w:rsidRPr="00CA6208" w:rsidRDefault="00F04CF1" w:rsidP="00D82AC2">
            <w:r>
              <w:t>2.8.2017</w:t>
            </w:r>
          </w:p>
        </w:tc>
        <w:tc>
          <w:tcPr>
            <w:tcW w:w="2700" w:type="dxa"/>
          </w:tcPr>
          <w:p w:rsidR="00F04CF1" w:rsidRPr="00D13CD6" w:rsidRDefault="00F04CF1" w:rsidP="005B60F6">
            <w:pPr>
              <w:ind w:left="100"/>
            </w:pPr>
            <w:r w:rsidRPr="00D13CD6">
              <w:t xml:space="preserve">Will LADWP allow an Eligible Customer to </w:t>
            </w:r>
            <w:r w:rsidRPr="00D13CD6">
              <w:lastRenderedPageBreak/>
              <w:t xml:space="preserve">request that LADWP study </w:t>
            </w:r>
            <w:proofErr w:type="spellStart"/>
            <w:r w:rsidRPr="00D13CD6">
              <w:t>redispatch</w:t>
            </w:r>
            <w:proofErr w:type="spellEnd"/>
            <w:r w:rsidRPr="00D13CD6">
              <w:t xml:space="preserve"> and conditional curtailment as part of the System Impact Study? If not, please so state, and please provide documentation or justification for this position.</w:t>
            </w:r>
          </w:p>
          <w:p w:rsidR="00F04CF1" w:rsidRPr="00D13CD6" w:rsidRDefault="00F04CF1" w:rsidP="00F741A0">
            <w:pPr>
              <w:ind w:left="460"/>
            </w:pPr>
          </w:p>
        </w:tc>
        <w:tc>
          <w:tcPr>
            <w:tcW w:w="6660" w:type="dxa"/>
          </w:tcPr>
          <w:p w:rsidR="00F04CF1" w:rsidRPr="00EB5FEE" w:rsidRDefault="00F04CF1" w:rsidP="004A7475">
            <w:r w:rsidRPr="00EB5FEE">
              <w:lastRenderedPageBreak/>
              <w:t xml:space="preserve">Generation </w:t>
            </w:r>
            <w:proofErr w:type="spellStart"/>
            <w:r w:rsidRPr="00EB5FEE">
              <w:t>redispatch</w:t>
            </w:r>
            <w:proofErr w:type="spellEnd"/>
            <w:r w:rsidRPr="00EB5FEE">
              <w:t xml:space="preserve"> will be address with the February 21, 2017 tariff posting.</w:t>
            </w:r>
          </w:p>
        </w:tc>
      </w:tr>
      <w:tr w:rsidR="00F04CF1" w:rsidTr="00674E11">
        <w:tc>
          <w:tcPr>
            <w:tcW w:w="1350" w:type="dxa"/>
          </w:tcPr>
          <w:p w:rsidR="00F04CF1" w:rsidRPr="00CA6208" w:rsidRDefault="00F04CF1" w:rsidP="004A7475">
            <w:pPr>
              <w:jc w:val="center"/>
            </w:pPr>
            <w:r>
              <w:lastRenderedPageBreak/>
              <w:t>Burbank</w:t>
            </w:r>
            <w:r>
              <w:rPr>
                <w:spacing w:val="-3"/>
              </w:rPr>
              <w:t xml:space="preserve"> </w:t>
            </w:r>
            <w:r>
              <w:t>and</w:t>
            </w:r>
            <w:r>
              <w:rPr>
                <w:spacing w:val="-3"/>
              </w:rPr>
              <w:t xml:space="preserve"> </w:t>
            </w:r>
            <w:r>
              <w:t>Glendale</w:t>
            </w:r>
          </w:p>
        </w:tc>
        <w:tc>
          <w:tcPr>
            <w:tcW w:w="900" w:type="dxa"/>
          </w:tcPr>
          <w:p w:rsidR="00F04CF1" w:rsidRPr="00CA6208" w:rsidRDefault="00F04CF1" w:rsidP="004A7475">
            <w:pPr>
              <w:jc w:val="center"/>
            </w:pPr>
            <w:r w:rsidRPr="00CA6208">
              <w:t>22</w:t>
            </w:r>
            <w:r>
              <w:t>a</w:t>
            </w:r>
          </w:p>
        </w:tc>
        <w:tc>
          <w:tcPr>
            <w:tcW w:w="1440" w:type="dxa"/>
          </w:tcPr>
          <w:p w:rsidR="00F04CF1" w:rsidRPr="00CA6208" w:rsidRDefault="00F04CF1" w:rsidP="004A7475">
            <w:r w:rsidRPr="00D13CD6">
              <w:t>LADWP Proposed Tariff Section 19.3</w:t>
            </w:r>
          </w:p>
        </w:tc>
        <w:tc>
          <w:tcPr>
            <w:tcW w:w="1170" w:type="dxa"/>
          </w:tcPr>
          <w:p w:rsidR="00F04CF1" w:rsidRDefault="00F04CF1" w:rsidP="00F0025B">
            <w:r>
              <w:t>2.1.</w:t>
            </w:r>
            <w:r w:rsidRPr="00CA6208">
              <w:t>2017</w:t>
            </w:r>
            <w:r>
              <w:t>/</w:t>
            </w:r>
          </w:p>
          <w:p w:rsidR="00F04CF1" w:rsidRPr="00CA6208" w:rsidRDefault="00F04CF1" w:rsidP="00F0025B">
            <w:r>
              <w:t>2.8.2017</w:t>
            </w:r>
          </w:p>
        </w:tc>
        <w:tc>
          <w:tcPr>
            <w:tcW w:w="2700" w:type="dxa"/>
          </w:tcPr>
          <w:p w:rsidR="00F04CF1" w:rsidRPr="00D13CD6" w:rsidRDefault="00F04CF1" w:rsidP="005B60F6">
            <w:pPr>
              <w:ind w:left="100"/>
            </w:pPr>
            <w:r w:rsidRPr="00D13CD6">
              <w:t xml:space="preserve">Please explain why LADWP has excluded the following language from the </w:t>
            </w:r>
            <w:r w:rsidRPr="00D13CD6">
              <w:rPr>
                <w:i/>
              </w:rPr>
              <w:t xml:space="preserve">pro forma </w:t>
            </w:r>
            <w:r w:rsidRPr="00D13CD6">
              <w:t xml:space="preserve">OATT in the proposed LADWP OATT Section 19.3: “The System Impact Study shall identify (1) any system constraints, identified with specificity by transmission element or </w:t>
            </w:r>
            <w:proofErr w:type="spellStart"/>
            <w:r w:rsidRPr="00D13CD6">
              <w:t>flowgate</w:t>
            </w:r>
            <w:proofErr w:type="spellEnd"/>
            <w:r w:rsidRPr="00D13CD6">
              <w:t xml:space="preserve">, (2) </w:t>
            </w:r>
            <w:proofErr w:type="spellStart"/>
            <w:r w:rsidRPr="00D13CD6">
              <w:t>redispatch</w:t>
            </w:r>
            <w:proofErr w:type="spellEnd"/>
            <w:r w:rsidRPr="00D13CD6">
              <w:t xml:space="preserve"> options (when requested by an Eligible Customer) including an estimate of the cost of </w:t>
            </w:r>
            <w:proofErr w:type="spellStart"/>
            <w:r w:rsidRPr="00D13CD6">
              <w:t>redispatch</w:t>
            </w:r>
            <w:proofErr w:type="spellEnd"/>
            <w:r w:rsidRPr="00D13CD6">
              <w:t xml:space="preserve">. . . </w:t>
            </w:r>
            <w:r w:rsidRPr="00D13CD6">
              <w:lastRenderedPageBreak/>
              <w:t>.”</w:t>
            </w:r>
          </w:p>
          <w:p w:rsidR="00F04CF1" w:rsidRPr="00CA6208" w:rsidRDefault="00F04CF1" w:rsidP="00F741A0">
            <w:pPr>
              <w:ind w:left="460"/>
            </w:pPr>
          </w:p>
        </w:tc>
        <w:tc>
          <w:tcPr>
            <w:tcW w:w="6660" w:type="dxa"/>
          </w:tcPr>
          <w:p w:rsidR="00F04CF1" w:rsidRPr="00CA6208" w:rsidRDefault="00F04CF1" w:rsidP="004A7475">
            <w:r w:rsidRPr="00EB5FEE">
              <w:lastRenderedPageBreak/>
              <w:t xml:space="preserve">Generation </w:t>
            </w:r>
            <w:proofErr w:type="spellStart"/>
            <w:r w:rsidRPr="00EB5FEE">
              <w:t>redispatch</w:t>
            </w:r>
            <w:proofErr w:type="spellEnd"/>
            <w:r w:rsidRPr="00EB5FEE">
              <w:t xml:space="preserve"> will be address with the February 21, 2017 tariff posting.</w:t>
            </w:r>
          </w:p>
        </w:tc>
      </w:tr>
      <w:tr w:rsidR="00F04CF1" w:rsidTr="00674E11">
        <w:tc>
          <w:tcPr>
            <w:tcW w:w="1350" w:type="dxa"/>
          </w:tcPr>
          <w:p w:rsidR="00F04CF1" w:rsidRPr="00CA6208" w:rsidRDefault="00F04CF1" w:rsidP="00D82AC2">
            <w:pPr>
              <w:jc w:val="center"/>
            </w:pPr>
            <w:r>
              <w:lastRenderedPageBreak/>
              <w:t>Burbank</w:t>
            </w:r>
            <w:r>
              <w:rPr>
                <w:spacing w:val="-3"/>
              </w:rPr>
              <w:t xml:space="preserve"> </w:t>
            </w:r>
            <w:r>
              <w:t>and</w:t>
            </w:r>
            <w:r>
              <w:rPr>
                <w:spacing w:val="-3"/>
              </w:rPr>
              <w:t xml:space="preserve"> </w:t>
            </w:r>
            <w:r>
              <w:t>Glendale</w:t>
            </w:r>
          </w:p>
        </w:tc>
        <w:tc>
          <w:tcPr>
            <w:tcW w:w="900" w:type="dxa"/>
          </w:tcPr>
          <w:p w:rsidR="00F04CF1" w:rsidRPr="00CA6208" w:rsidRDefault="00F04CF1" w:rsidP="00D82AC2">
            <w:pPr>
              <w:jc w:val="center"/>
            </w:pPr>
            <w:r w:rsidRPr="00CA6208">
              <w:t>22</w:t>
            </w:r>
            <w:r>
              <w:t>b</w:t>
            </w:r>
          </w:p>
        </w:tc>
        <w:tc>
          <w:tcPr>
            <w:tcW w:w="1440" w:type="dxa"/>
          </w:tcPr>
          <w:p w:rsidR="00F04CF1" w:rsidRPr="00CA6208" w:rsidRDefault="00F04CF1" w:rsidP="00D82AC2">
            <w:r w:rsidRPr="00D13CD6">
              <w:t>LADWP Proposed Tariff Section 19.3</w:t>
            </w:r>
          </w:p>
        </w:tc>
        <w:tc>
          <w:tcPr>
            <w:tcW w:w="1170" w:type="dxa"/>
          </w:tcPr>
          <w:p w:rsidR="00F04CF1" w:rsidRDefault="00F04CF1" w:rsidP="00D82AC2">
            <w:r>
              <w:t>2.1.</w:t>
            </w:r>
            <w:r w:rsidRPr="00CA6208">
              <w:t>2017</w:t>
            </w:r>
            <w:r>
              <w:t>/</w:t>
            </w:r>
          </w:p>
          <w:p w:rsidR="00F04CF1" w:rsidRPr="00CA6208" w:rsidRDefault="00F04CF1" w:rsidP="00D82AC2">
            <w:r>
              <w:t>2.8.2017</w:t>
            </w:r>
          </w:p>
        </w:tc>
        <w:tc>
          <w:tcPr>
            <w:tcW w:w="2700" w:type="dxa"/>
          </w:tcPr>
          <w:p w:rsidR="00F04CF1" w:rsidRPr="00D13CD6" w:rsidRDefault="00F04CF1" w:rsidP="005B60F6">
            <w:pPr>
              <w:ind w:left="100"/>
            </w:pPr>
            <w:r w:rsidRPr="00D13CD6">
              <w:t xml:space="preserve">Will LADWP identify system constraints by transmission element or </w:t>
            </w:r>
            <w:proofErr w:type="spellStart"/>
            <w:r w:rsidRPr="00D13CD6">
              <w:t>flowgate</w:t>
            </w:r>
            <w:proofErr w:type="spellEnd"/>
            <w:r w:rsidRPr="00D13CD6">
              <w:t xml:space="preserve"> in its System Impact Study? Please explain why or why not.</w:t>
            </w:r>
          </w:p>
          <w:p w:rsidR="00F04CF1" w:rsidRPr="00D13CD6" w:rsidRDefault="00F04CF1" w:rsidP="00F741A0">
            <w:pPr>
              <w:ind w:left="460"/>
            </w:pPr>
          </w:p>
        </w:tc>
        <w:tc>
          <w:tcPr>
            <w:tcW w:w="6660" w:type="dxa"/>
          </w:tcPr>
          <w:p w:rsidR="00F04CF1" w:rsidRDefault="00F04CF1">
            <w:r w:rsidRPr="008203AB">
              <w:t xml:space="preserve">Generation </w:t>
            </w:r>
            <w:proofErr w:type="spellStart"/>
            <w:r w:rsidRPr="008203AB">
              <w:t>redispatch</w:t>
            </w:r>
            <w:proofErr w:type="spellEnd"/>
            <w:r w:rsidRPr="008203AB">
              <w:t xml:space="preserve"> will be address with the February 21, 2017 tariff posting.</w:t>
            </w:r>
          </w:p>
        </w:tc>
      </w:tr>
      <w:tr w:rsidR="00F04CF1" w:rsidTr="00674E11">
        <w:tc>
          <w:tcPr>
            <w:tcW w:w="1350" w:type="dxa"/>
          </w:tcPr>
          <w:p w:rsidR="00F04CF1" w:rsidRPr="00CA6208" w:rsidRDefault="00F04CF1" w:rsidP="00D82AC2">
            <w:pPr>
              <w:jc w:val="center"/>
            </w:pPr>
            <w:r>
              <w:t>Burbank</w:t>
            </w:r>
            <w:r>
              <w:rPr>
                <w:spacing w:val="-3"/>
              </w:rPr>
              <w:t xml:space="preserve"> </w:t>
            </w:r>
            <w:r>
              <w:t>and</w:t>
            </w:r>
            <w:r>
              <w:rPr>
                <w:spacing w:val="-3"/>
              </w:rPr>
              <w:t xml:space="preserve"> </w:t>
            </w:r>
            <w:r>
              <w:t>Glendale</w:t>
            </w:r>
          </w:p>
        </w:tc>
        <w:tc>
          <w:tcPr>
            <w:tcW w:w="900" w:type="dxa"/>
          </w:tcPr>
          <w:p w:rsidR="00F04CF1" w:rsidRPr="00CA6208" w:rsidRDefault="00F04CF1" w:rsidP="00D82AC2">
            <w:pPr>
              <w:jc w:val="center"/>
            </w:pPr>
            <w:r w:rsidRPr="00CA6208">
              <w:t>22</w:t>
            </w:r>
            <w:r>
              <w:t>c</w:t>
            </w:r>
          </w:p>
        </w:tc>
        <w:tc>
          <w:tcPr>
            <w:tcW w:w="1440" w:type="dxa"/>
          </w:tcPr>
          <w:p w:rsidR="00F04CF1" w:rsidRPr="00CA6208" w:rsidRDefault="00F04CF1" w:rsidP="00D82AC2">
            <w:r w:rsidRPr="00D13CD6">
              <w:t>LADWP Proposed Tariff Section 19.3</w:t>
            </w:r>
          </w:p>
        </w:tc>
        <w:tc>
          <w:tcPr>
            <w:tcW w:w="1170" w:type="dxa"/>
          </w:tcPr>
          <w:p w:rsidR="00F04CF1" w:rsidRDefault="00F04CF1" w:rsidP="00D82AC2">
            <w:r>
              <w:t>2.1.</w:t>
            </w:r>
            <w:r w:rsidRPr="00CA6208">
              <w:t>2017</w:t>
            </w:r>
            <w:r>
              <w:t>/</w:t>
            </w:r>
          </w:p>
          <w:p w:rsidR="00F04CF1" w:rsidRPr="00CA6208" w:rsidRDefault="00F04CF1" w:rsidP="00D82AC2">
            <w:r>
              <w:t>2.8.2017</w:t>
            </w:r>
          </w:p>
        </w:tc>
        <w:tc>
          <w:tcPr>
            <w:tcW w:w="2700" w:type="dxa"/>
          </w:tcPr>
          <w:p w:rsidR="00F04CF1" w:rsidRPr="00D13CD6" w:rsidRDefault="00F04CF1" w:rsidP="005B60F6">
            <w:pPr>
              <w:ind w:left="100"/>
            </w:pPr>
            <w:r w:rsidRPr="00D13CD6">
              <w:t xml:space="preserve">If LADWP offers </w:t>
            </w:r>
            <w:proofErr w:type="spellStart"/>
            <w:r w:rsidRPr="00D13CD6">
              <w:t>redispatch</w:t>
            </w:r>
            <w:proofErr w:type="spellEnd"/>
            <w:r w:rsidRPr="00D13CD6">
              <w:t xml:space="preserve"> options will it include an estimate of the cost of </w:t>
            </w:r>
            <w:proofErr w:type="spellStart"/>
            <w:r w:rsidRPr="00D13CD6">
              <w:t>redispatch</w:t>
            </w:r>
            <w:proofErr w:type="spellEnd"/>
            <w:r w:rsidRPr="00D13CD6">
              <w:t xml:space="preserve"> in its System Impact Study? Please explain why or why not.</w:t>
            </w:r>
          </w:p>
          <w:p w:rsidR="00F04CF1" w:rsidRPr="00D13CD6" w:rsidRDefault="00F04CF1" w:rsidP="00F741A0">
            <w:pPr>
              <w:ind w:left="460"/>
            </w:pPr>
          </w:p>
        </w:tc>
        <w:tc>
          <w:tcPr>
            <w:tcW w:w="6660" w:type="dxa"/>
          </w:tcPr>
          <w:p w:rsidR="00F04CF1" w:rsidRDefault="00F04CF1">
            <w:r w:rsidRPr="008203AB">
              <w:t xml:space="preserve">Generation </w:t>
            </w:r>
            <w:proofErr w:type="spellStart"/>
            <w:r w:rsidRPr="008203AB">
              <w:t>redispatch</w:t>
            </w:r>
            <w:proofErr w:type="spellEnd"/>
            <w:r w:rsidRPr="008203AB">
              <w:t xml:space="preserve"> will be address with the February 21, 2017 tariff posting.</w:t>
            </w:r>
          </w:p>
        </w:tc>
      </w:tr>
      <w:tr w:rsidR="00F04CF1" w:rsidTr="00674E11">
        <w:tc>
          <w:tcPr>
            <w:tcW w:w="1350" w:type="dxa"/>
          </w:tcPr>
          <w:p w:rsidR="00F04CF1" w:rsidRPr="00CA6208" w:rsidRDefault="00F04CF1" w:rsidP="00D23C21">
            <w:pPr>
              <w:jc w:val="center"/>
            </w:pPr>
            <w:r>
              <w:t>Burbank</w:t>
            </w:r>
            <w:r>
              <w:rPr>
                <w:spacing w:val="-3"/>
              </w:rPr>
              <w:t xml:space="preserve"> </w:t>
            </w:r>
            <w:r>
              <w:t>and</w:t>
            </w:r>
            <w:r>
              <w:rPr>
                <w:spacing w:val="-3"/>
              </w:rPr>
              <w:t xml:space="preserve"> </w:t>
            </w:r>
            <w:r>
              <w:t>Glendale</w:t>
            </w:r>
          </w:p>
        </w:tc>
        <w:tc>
          <w:tcPr>
            <w:tcW w:w="900" w:type="dxa"/>
          </w:tcPr>
          <w:p w:rsidR="00F04CF1" w:rsidRPr="00CA6208" w:rsidRDefault="00F04CF1" w:rsidP="00D23C21">
            <w:pPr>
              <w:jc w:val="center"/>
            </w:pPr>
            <w:r w:rsidRPr="00CA6208">
              <w:t>23</w:t>
            </w:r>
          </w:p>
        </w:tc>
        <w:tc>
          <w:tcPr>
            <w:tcW w:w="1440" w:type="dxa"/>
          </w:tcPr>
          <w:p w:rsidR="00F04CF1" w:rsidRPr="00CA6208" w:rsidRDefault="00F04CF1" w:rsidP="00D23C21">
            <w:r w:rsidRPr="00D13CD6">
              <w:t>LADWP Proposed Tariff Section 19.7</w:t>
            </w:r>
          </w:p>
        </w:tc>
        <w:tc>
          <w:tcPr>
            <w:tcW w:w="1170" w:type="dxa"/>
          </w:tcPr>
          <w:p w:rsidR="00F04CF1" w:rsidRDefault="00F04CF1" w:rsidP="00F0025B">
            <w:r>
              <w:t>2.1.</w:t>
            </w:r>
            <w:r w:rsidRPr="00CA6208">
              <w:t>2017</w:t>
            </w:r>
            <w:r>
              <w:t>/</w:t>
            </w:r>
          </w:p>
          <w:p w:rsidR="00F04CF1" w:rsidRPr="00CA6208" w:rsidRDefault="00F04CF1" w:rsidP="00F0025B">
            <w:r>
              <w:t>2.8.2017</w:t>
            </w:r>
          </w:p>
        </w:tc>
        <w:tc>
          <w:tcPr>
            <w:tcW w:w="2700" w:type="dxa"/>
          </w:tcPr>
          <w:p w:rsidR="00F04CF1" w:rsidRPr="00D13CD6" w:rsidRDefault="00F04CF1" w:rsidP="00D13CD6">
            <w:r w:rsidRPr="00D13CD6">
              <w:t xml:space="preserve">Please explain why LADWP has excluded the following italicized language from the pro forma OATT in the proposed LADWP OATT Section 19.7: “If the Transmission Provider determines that it will not have adequate transfer </w:t>
            </w:r>
            <w:r w:rsidRPr="00D13CD6">
              <w:lastRenderedPageBreak/>
              <w:t xml:space="preserve">capability to satisfy the full amount of a Completed Application for Firm Point-To-Point Transmission Service, the Transmission Provider nonetheless shall be obligated to offer and provide the portion of the requested Firm Point- To- Point Transmission Service that can be accommodated without addition of any facilities </w:t>
            </w:r>
            <w:r w:rsidRPr="00D13CD6">
              <w:rPr>
                <w:b/>
                <w:bCs/>
                <w:i/>
              </w:rPr>
              <w:t xml:space="preserve">and through </w:t>
            </w:r>
            <w:proofErr w:type="spellStart"/>
            <w:r w:rsidRPr="00D13CD6">
              <w:rPr>
                <w:b/>
                <w:bCs/>
                <w:i/>
              </w:rPr>
              <w:t>redispatch</w:t>
            </w:r>
            <w:proofErr w:type="spellEnd"/>
            <w:r w:rsidRPr="00D13CD6">
              <w:rPr>
                <w:b/>
                <w:bCs/>
                <w:i/>
              </w:rPr>
              <w:t>.</w:t>
            </w:r>
            <w:r w:rsidRPr="00D13CD6">
              <w:t>”</w:t>
            </w:r>
          </w:p>
          <w:p w:rsidR="00F04CF1" w:rsidRPr="00CA6208" w:rsidRDefault="00F04CF1" w:rsidP="00D23C21"/>
        </w:tc>
        <w:tc>
          <w:tcPr>
            <w:tcW w:w="6660" w:type="dxa"/>
          </w:tcPr>
          <w:p w:rsidR="00F04CF1" w:rsidRPr="00CA6208" w:rsidRDefault="00F04CF1" w:rsidP="00D23C21">
            <w:r w:rsidRPr="00EB5FEE">
              <w:lastRenderedPageBreak/>
              <w:t xml:space="preserve">Generation </w:t>
            </w:r>
            <w:proofErr w:type="spellStart"/>
            <w:r w:rsidRPr="00EB5FEE">
              <w:t>redispatch</w:t>
            </w:r>
            <w:proofErr w:type="spellEnd"/>
            <w:r w:rsidRPr="00EB5FEE">
              <w:t xml:space="preserve"> will be address with the February 21, 2017 tariff posting.</w:t>
            </w:r>
          </w:p>
        </w:tc>
      </w:tr>
      <w:tr w:rsidR="00F04CF1" w:rsidTr="00674E11">
        <w:tc>
          <w:tcPr>
            <w:tcW w:w="1350" w:type="dxa"/>
          </w:tcPr>
          <w:p w:rsidR="00F04CF1" w:rsidRPr="00CA6208" w:rsidRDefault="00F04CF1" w:rsidP="00D23C21">
            <w:pPr>
              <w:jc w:val="center"/>
            </w:pPr>
            <w:r>
              <w:lastRenderedPageBreak/>
              <w:t>Burbank</w:t>
            </w:r>
            <w:r>
              <w:rPr>
                <w:spacing w:val="-3"/>
              </w:rPr>
              <w:t xml:space="preserve"> </w:t>
            </w:r>
            <w:r>
              <w:t>and</w:t>
            </w:r>
            <w:r>
              <w:rPr>
                <w:spacing w:val="-3"/>
              </w:rPr>
              <w:t xml:space="preserve"> </w:t>
            </w:r>
            <w:r>
              <w:t>Glendale</w:t>
            </w:r>
          </w:p>
        </w:tc>
        <w:tc>
          <w:tcPr>
            <w:tcW w:w="900" w:type="dxa"/>
          </w:tcPr>
          <w:p w:rsidR="00F04CF1" w:rsidRPr="00CA6208" w:rsidRDefault="00F04CF1" w:rsidP="00D23C21">
            <w:pPr>
              <w:jc w:val="center"/>
            </w:pPr>
            <w:r w:rsidRPr="00CA6208">
              <w:t>24</w:t>
            </w:r>
          </w:p>
        </w:tc>
        <w:tc>
          <w:tcPr>
            <w:tcW w:w="1440" w:type="dxa"/>
          </w:tcPr>
          <w:p w:rsidR="00F04CF1" w:rsidRPr="00CA6208" w:rsidRDefault="00F04CF1" w:rsidP="00D23C21">
            <w:r w:rsidRPr="00D13CD6">
              <w:t>LADWP Proposed Tariff Section 5.2</w:t>
            </w:r>
          </w:p>
        </w:tc>
        <w:tc>
          <w:tcPr>
            <w:tcW w:w="1170" w:type="dxa"/>
          </w:tcPr>
          <w:p w:rsidR="00F04CF1" w:rsidRDefault="00F04CF1" w:rsidP="00F0025B">
            <w:r>
              <w:t>2.1.</w:t>
            </w:r>
            <w:r w:rsidRPr="00CA6208">
              <w:t>2017</w:t>
            </w:r>
            <w:r>
              <w:t>/</w:t>
            </w:r>
          </w:p>
          <w:p w:rsidR="00F04CF1" w:rsidRPr="00CA6208" w:rsidRDefault="00F04CF1" w:rsidP="00F0025B">
            <w:r>
              <w:t>2.8.2017</w:t>
            </w:r>
          </w:p>
        </w:tc>
        <w:tc>
          <w:tcPr>
            <w:tcW w:w="2700" w:type="dxa"/>
          </w:tcPr>
          <w:p w:rsidR="00F04CF1" w:rsidRPr="002C53B1" w:rsidRDefault="00F04CF1" w:rsidP="002C53B1">
            <w:r w:rsidRPr="002C53B1">
              <w:t xml:space="preserve">Please explain why LADWP has excluded the following language from the </w:t>
            </w:r>
            <w:r w:rsidRPr="002C53B1">
              <w:rPr>
                <w:i/>
              </w:rPr>
              <w:t xml:space="preserve">pro forma </w:t>
            </w:r>
            <w:r w:rsidRPr="002C53B1">
              <w:t>OATT in the proposed LADWP OATT Section 5.2:</w:t>
            </w:r>
          </w:p>
          <w:p w:rsidR="00F04CF1" w:rsidRDefault="00F04CF1" w:rsidP="002C53B1">
            <w:r w:rsidRPr="002C53B1">
              <w:t>“5.2 Alternative Procedures for Requesting Transmission Service:</w:t>
            </w:r>
          </w:p>
          <w:p w:rsidR="00F04CF1" w:rsidRDefault="00F04CF1" w:rsidP="002C53B1">
            <w:pPr>
              <w:pStyle w:val="ListParagraph"/>
              <w:numPr>
                <w:ilvl w:val="0"/>
                <w:numId w:val="30"/>
              </w:numPr>
            </w:pPr>
            <w:r>
              <w:t xml:space="preserve">If the Transmission Provider </w:t>
            </w:r>
            <w:r>
              <w:lastRenderedPageBreak/>
              <w:t>determines that the provision of transmission service requested by an Eligible Customer would jeopardize the tax-exempt status of any local furnishing bond(s) used to finance its facilities that would be used in providing such transmission service, it shall advise the Eligible Customer within thirty (30) days of receipt of the Completed Application.</w:t>
            </w:r>
          </w:p>
          <w:p w:rsidR="00F04CF1" w:rsidRPr="002C53B1" w:rsidRDefault="00F04CF1" w:rsidP="002C53B1">
            <w:pPr>
              <w:pStyle w:val="ListParagraph"/>
              <w:numPr>
                <w:ilvl w:val="0"/>
                <w:numId w:val="30"/>
              </w:numPr>
            </w:pPr>
            <w:r w:rsidRPr="002C53B1">
              <w:t xml:space="preserve">If the Eligible Customer thereafter renews its request for the same transmission </w:t>
            </w:r>
            <w:r w:rsidRPr="002C53B1">
              <w:lastRenderedPageBreak/>
              <w:t>service referred to in (</w:t>
            </w:r>
            <w:proofErr w:type="spellStart"/>
            <w:r w:rsidRPr="002C53B1">
              <w:t>i</w:t>
            </w:r>
            <w:proofErr w:type="spellEnd"/>
            <w:r w:rsidRPr="002C53B1">
              <w:t xml:space="preserve">) by tendering an application under Section 211 of the Federal Power Act, the Transmission Provider, within ten (10) days of receiving a copy of the Section 211 application, will waive its rights to a request for service under Section 213(a) of the Federal Power Act and to the issuance of a proposed order under Section 212(c) of the Federal Power Act. The Commission, upon receipt of the Transmission </w:t>
            </w:r>
            <w:r w:rsidRPr="002C53B1">
              <w:lastRenderedPageBreak/>
              <w:t xml:space="preserve">Provider's waiver of its rights to a request for service under Section 213(a) of the Federal Power Act and to the issuance of a proposed order under Section 212(c) of the Federal Power Act, shall issue an order under Section 211 of the Federal Power Act. Upon issuance of the order under Section 211 of the Federal Power Act, the Transmission Provider shall be required to provide the requested transmission service in accordance with </w:t>
            </w:r>
            <w:r w:rsidRPr="002C53B1">
              <w:lastRenderedPageBreak/>
              <w:t>the terms and conditions of this Tariff.”</w:t>
            </w:r>
          </w:p>
          <w:p w:rsidR="00F04CF1" w:rsidRPr="00CA6208" w:rsidRDefault="00F04CF1" w:rsidP="00D23C21"/>
        </w:tc>
        <w:tc>
          <w:tcPr>
            <w:tcW w:w="6660" w:type="dxa"/>
          </w:tcPr>
          <w:p w:rsidR="00F04CF1" w:rsidRPr="00CA6208" w:rsidRDefault="00F04CF1" w:rsidP="00366AE1">
            <w:r w:rsidRPr="00366AE1">
              <w:lastRenderedPageBreak/>
              <w:t>The tariff was revised so that transmission service did not violate the private use restrictions associated with outstanding municipal bonds.</w:t>
            </w:r>
          </w:p>
        </w:tc>
      </w:tr>
      <w:tr w:rsidR="00F04CF1" w:rsidTr="00674E11">
        <w:tc>
          <w:tcPr>
            <w:tcW w:w="1350" w:type="dxa"/>
          </w:tcPr>
          <w:p w:rsidR="00F04CF1" w:rsidRDefault="00F04CF1">
            <w:r w:rsidRPr="009C436C">
              <w:lastRenderedPageBreak/>
              <w:t>Burbank</w:t>
            </w:r>
            <w:r w:rsidRPr="009C436C">
              <w:rPr>
                <w:spacing w:val="-3"/>
              </w:rPr>
              <w:t xml:space="preserve"> </w:t>
            </w:r>
            <w:r w:rsidRPr="009C436C">
              <w:t>and</w:t>
            </w:r>
            <w:r w:rsidRPr="009C436C">
              <w:rPr>
                <w:spacing w:val="-3"/>
              </w:rPr>
              <w:t xml:space="preserve"> </w:t>
            </w:r>
            <w:r w:rsidRPr="009C436C">
              <w:t>Glendale</w:t>
            </w:r>
          </w:p>
        </w:tc>
        <w:tc>
          <w:tcPr>
            <w:tcW w:w="900" w:type="dxa"/>
          </w:tcPr>
          <w:p w:rsidR="00F04CF1" w:rsidRPr="00CA6208" w:rsidRDefault="00F04CF1" w:rsidP="00D23C21">
            <w:pPr>
              <w:jc w:val="center"/>
            </w:pPr>
            <w:r w:rsidRPr="00CA6208">
              <w:t>25</w:t>
            </w:r>
            <w:r>
              <w:t>a</w:t>
            </w:r>
          </w:p>
        </w:tc>
        <w:tc>
          <w:tcPr>
            <w:tcW w:w="1440" w:type="dxa"/>
          </w:tcPr>
          <w:p w:rsidR="00F04CF1" w:rsidRPr="00CA6208" w:rsidRDefault="00F04CF1" w:rsidP="00D23C21">
            <w:r w:rsidRPr="002C53B1">
              <w:t>LADWP Proposed Tariff Section 15.7</w:t>
            </w:r>
          </w:p>
        </w:tc>
        <w:tc>
          <w:tcPr>
            <w:tcW w:w="1170" w:type="dxa"/>
          </w:tcPr>
          <w:p w:rsidR="00F04CF1" w:rsidRPr="00CA6208" w:rsidRDefault="00F04CF1">
            <w:r>
              <w:t>2.1.</w:t>
            </w:r>
            <w:r w:rsidRPr="00CA6208">
              <w:t>2017</w:t>
            </w:r>
          </w:p>
        </w:tc>
        <w:tc>
          <w:tcPr>
            <w:tcW w:w="2700" w:type="dxa"/>
          </w:tcPr>
          <w:p w:rsidR="00F04CF1" w:rsidRPr="002C53B1" w:rsidRDefault="00F04CF1" w:rsidP="005B60F6">
            <w:pPr>
              <w:ind w:left="100"/>
            </w:pPr>
            <w:r w:rsidRPr="002C53B1">
              <w:t>Please provide studies and documentation for the increase in the Real Power Loss factors for the various facilities in Section 15.7.</w:t>
            </w:r>
          </w:p>
          <w:p w:rsidR="00F04CF1" w:rsidRPr="00CA6208" w:rsidRDefault="00F04CF1" w:rsidP="00F741A0">
            <w:pPr>
              <w:ind w:left="460"/>
            </w:pPr>
          </w:p>
        </w:tc>
        <w:tc>
          <w:tcPr>
            <w:tcW w:w="6660" w:type="dxa"/>
          </w:tcPr>
          <w:p w:rsidR="00F04CF1" w:rsidRPr="00CA6208" w:rsidRDefault="00F04CF1" w:rsidP="00D23C21"/>
        </w:tc>
      </w:tr>
      <w:tr w:rsidR="00F04CF1" w:rsidTr="00674E11">
        <w:tc>
          <w:tcPr>
            <w:tcW w:w="1350" w:type="dxa"/>
          </w:tcPr>
          <w:p w:rsidR="00F04CF1" w:rsidRDefault="00F04CF1" w:rsidP="00D82AC2">
            <w:r w:rsidRPr="009C436C">
              <w:t>Burbank</w:t>
            </w:r>
            <w:r w:rsidRPr="009C436C">
              <w:rPr>
                <w:spacing w:val="-3"/>
              </w:rPr>
              <w:t xml:space="preserve"> </w:t>
            </w:r>
            <w:r w:rsidRPr="009C436C">
              <w:t>and</w:t>
            </w:r>
            <w:r w:rsidRPr="009C436C">
              <w:rPr>
                <w:spacing w:val="-3"/>
              </w:rPr>
              <w:t xml:space="preserve"> </w:t>
            </w:r>
            <w:r w:rsidRPr="009C436C">
              <w:t>Glendale</w:t>
            </w:r>
          </w:p>
        </w:tc>
        <w:tc>
          <w:tcPr>
            <w:tcW w:w="900" w:type="dxa"/>
          </w:tcPr>
          <w:p w:rsidR="00F04CF1" w:rsidRPr="00CA6208" w:rsidRDefault="00F04CF1" w:rsidP="00D82AC2">
            <w:pPr>
              <w:jc w:val="center"/>
            </w:pPr>
            <w:r w:rsidRPr="00CA6208">
              <w:t>25</w:t>
            </w:r>
            <w:r>
              <w:t>b</w:t>
            </w:r>
          </w:p>
        </w:tc>
        <w:tc>
          <w:tcPr>
            <w:tcW w:w="1440" w:type="dxa"/>
          </w:tcPr>
          <w:p w:rsidR="00F04CF1" w:rsidRPr="00CA6208" w:rsidRDefault="00F04CF1" w:rsidP="00D82AC2">
            <w:r w:rsidRPr="002C53B1">
              <w:t>LADWP Proposed Tariff Section 15.7</w:t>
            </w:r>
          </w:p>
        </w:tc>
        <w:tc>
          <w:tcPr>
            <w:tcW w:w="1170" w:type="dxa"/>
          </w:tcPr>
          <w:p w:rsidR="00F04CF1" w:rsidRPr="00CA6208" w:rsidRDefault="00F04CF1" w:rsidP="00D82AC2">
            <w:r>
              <w:t>2.1.</w:t>
            </w:r>
            <w:r w:rsidRPr="00CA6208">
              <w:t>2017</w:t>
            </w:r>
          </w:p>
        </w:tc>
        <w:tc>
          <w:tcPr>
            <w:tcW w:w="2700" w:type="dxa"/>
          </w:tcPr>
          <w:p w:rsidR="00F04CF1" w:rsidRPr="002C53B1" w:rsidRDefault="00F04CF1" w:rsidP="005B60F6">
            <w:pPr>
              <w:ind w:left="100"/>
            </w:pPr>
            <w:r w:rsidRPr="002C53B1">
              <w:t>Please describe any changes in LADWP’s system conditions that warrant these increases.</w:t>
            </w:r>
          </w:p>
          <w:p w:rsidR="00F04CF1" w:rsidRPr="002C53B1" w:rsidRDefault="00F04CF1" w:rsidP="00F741A0">
            <w:pPr>
              <w:ind w:left="460"/>
            </w:pPr>
          </w:p>
        </w:tc>
        <w:tc>
          <w:tcPr>
            <w:tcW w:w="6660" w:type="dxa"/>
          </w:tcPr>
          <w:p w:rsidR="00F04CF1" w:rsidRPr="00CA6208" w:rsidRDefault="00F04CF1" w:rsidP="00D23C21"/>
        </w:tc>
      </w:tr>
      <w:tr w:rsidR="00F04CF1" w:rsidTr="00674E11">
        <w:tc>
          <w:tcPr>
            <w:tcW w:w="1350" w:type="dxa"/>
          </w:tcPr>
          <w:p w:rsidR="00F04CF1" w:rsidRDefault="00F04CF1">
            <w:r w:rsidRPr="009C436C">
              <w:t>Burbank</w:t>
            </w:r>
            <w:r w:rsidRPr="009C436C">
              <w:rPr>
                <w:spacing w:val="-3"/>
              </w:rPr>
              <w:t xml:space="preserve"> </w:t>
            </w:r>
            <w:r w:rsidRPr="009C436C">
              <w:t>and</w:t>
            </w:r>
            <w:r w:rsidRPr="009C436C">
              <w:rPr>
                <w:spacing w:val="-3"/>
              </w:rPr>
              <w:t xml:space="preserve"> </w:t>
            </w:r>
            <w:r w:rsidRPr="009C436C">
              <w:t>Glendale</w:t>
            </w:r>
          </w:p>
        </w:tc>
        <w:tc>
          <w:tcPr>
            <w:tcW w:w="900" w:type="dxa"/>
          </w:tcPr>
          <w:p w:rsidR="00F04CF1" w:rsidRPr="00CA6208" w:rsidRDefault="00F04CF1" w:rsidP="00D4367B">
            <w:pPr>
              <w:jc w:val="center"/>
            </w:pPr>
            <w:r w:rsidRPr="00CA6208">
              <w:t>26</w:t>
            </w:r>
            <w:r>
              <w:t>a</w:t>
            </w:r>
          </w:p>
        </w:tc>
        <w:tc>
          <w:tcPr>
            <w:tcW w:w="1440" w:type="dxa"/>
          </w:tcPr>
          <w:p w:rsidR="00F04CF1" w:rsidRPr="00CA6208" w:rsidRDefault="00F04CF1" w:rsidP="00D23C21">
            <w:r w:rsidRPr="002C53B1">
              <w:t>LADWP Proposed Tariff Schedule 12.</w:t>
            </w:r>
          </w:p>
        </w:tc>
        <w:tc>
          <w:tcPr>
            <w:tcW w:w="1170" w:type="dxa"/>
          </w:tcPr>
          <w:p w:rsidR="00F04CF1" w:rsidRPr="00CA6208" w:rsidRDefault="00F04CF1">
            <w:r>
              <w:t>2.1.</w:t>
            </w:r>
            <w:r w:rsidRPr="00CA6208">
              <w:t>2017</w:t>
            </w:r>
            <w:r>
              <w:t>/2.9.2017</w:t>
            </w:r>
          </w:p>
        </w:tc>
        <w:tc>
          <w:tcPr>
            <w:tcW w:w="2700" w:type="dxa"/>
          </w:tcPr>
          <w:p w:rsidR="00F04CF1" w:rsidRPr="002C53B1" w:rsidRDefault="00F04CF1" w:rsidP="005B60F6">
            <w:pPr>
              <w:ind w:left="100"/>
            </w:pPr>
            <w:r w:rsidRPr="002C53B1">
              <w:t>Please provide studies and documentation for the increase in the Generator Regulation and Frequency Response Service purchase requirement in Schedule 12.</w:t>
            </w:r>
          </w:p>
          <w:p w:rsidR="00F04CF1" w:rsidRPr="00CA6208" w:rsidRDefault="00F04CF1" w:rsidP="00F741A0">
            <w:pPr>
              <w:ind w:left="460"/>
            </w:pPr>
          </w:p>
        </w:tc>
        <w:tc>
          <w:tcPr>
            <w:tcW w:w="6660" w:type="dxa"/>
          </w:tcPr>
          <w:p w:rsidR="00F04CF1" w:rsidRPr="00A64204" w:rsidRDefault="00F04CF1" w:rsidP="00F04CF1">
            <w:r w:rsidRPr="00A64204">
              <w:t xml:space="preserve">There is no Schedule 12 that requires </w:t>
            </w:r>
            <w:r>
              <w:t xml:space="preserve">a </w:t>
            </w:r>
            <w:r w:rsidRPr="00A64204">
              <w:t xml:space="preserve">Generator Regulation and Frequency Response Service purchase requirement. However, if this question applies to Schedule 10, the study that supports the purchase requirement is the “Reserve Requirement for 2014 VER Integration Study for LADWP (January 2017)” </w:t>
            </w:r>
            <w:r>
              <w:t xml:space="preserve">table 5 that is </w:t>
            </w:r>
            <w:r w:rsidRPr="00A64204">
              <w:t xml:space="preserve">provided in response to Information Request No. 9 </w:t>
            </w:r>
            <w:r>
              <w:t>(</w:t>
            </w:r>
            <w:r w:rsidRPr="00A64204">
              <w:t>a</w:t>
            </w:r>
            <w:r>
              <w:t>)</w:t>
            </w:r>
            <w:r w:rsidRPr="00A64204">
              <w:t>.</w:t>
            </w:r>
          </w:p>
          <w:p w:rsidR="00F04CF1" w:rsidRPr="00CA6208" w:rsidRDefault="00F04CF1" w:rsidP="00D23C21"/>
        </w:tc>
      </w:tr>
      <w:tr w:rsidR="00F04CF1" w:rsidTr="00674E11">
        <w:tc>
          <w:tcPr>
            <w:tcW w:w="1350" w:type="dxa"/>
          </w:tcPr>
          <w:p w:rsidR="00F04CF1" w:rsidRDefault="00F04CF1" w:rsidP="00D82AC2">
            <w:r w:rsidRPr="009C436C">
              <w:t>Burbank</w:t>
            </w:r>
            <w:r w:rsidRPr="009C436C">
              <w:rPr>
                <w:spacing w:val="-3"/>
              </w:rPr>
              <w:t xml:space="preserve"> </w:t>
            </w:r>
            <w:r w:rsidRPr="009C436C">
              <w:t>and</w:t>
            </w:r>
            <w:r w:rsidRPr="009C436C">
              <w:rPr>
                <w:spacing w:val="-3"/>
              </w:rPr>
              <w:t xml:space="preserve"> </w:t>
            </w:r>
            <w:r w:rsidRPr="009C436C">
              <w:t>Glendale</w:t>
            </w:r>
          </w:p>
        </w:tc>
        <w:tc>
          <w:tcPr>
            <w:tcW w:w="900" w:type="dxa"/>
          </w:tcPr>
          <w:p w:rsidR="00F04CF1" w:rsidRPr="00CA6208" w:rsidRDefault="00F04CF1" w:rsidP="00D82AC2">
            <w:pPr>
              <w:jc w:val="center"/>
            </w:pPr>
            <w:r w:rsidRPr="00CA6208">
              <w:t>26</w:t>
            </w:r>
            <w:r>
              <w:t>b</w:t>
            </w:r>
          </w:p>
        </w:tc>
        <w:tc>
          <w:tcPr>
            <w:tcW w:w="1440" w:type="dxa"/>
          </w:tcPr>
          <w:p w:rsidR="00F04CF1" w:rsidRPr="00CA6208" w:rsidRDefault="00F04CF1" w:rsidP="00D82AC2">
            <w:r w:rsidRPr="002C53B1">
              <w:t xml:space="preserve">LADWP Proposed </w:t>
            </w:r>
            <w:r w:rsidRPr="002C53B1">
              <w:lastRenderedPageBreak/>
              <w:t>Tariff Schedule 12.</w:t>
            </w:r>
          </w:p>
        </w:tc>
        <w:tc>
          <w:tcPr>
            <w:tcW w:w="1170" w:type="dxa"/>
          </w:tcPr>
          <w:p w:rsidR="00F04CF1" w:rsidRPr="00CA6208" w:rsidRDefault="00F04CF1" w:rsidP="00D82AC2">
            <w:r>
              <w:lastRenderedPageBreak/>
              <w:t>2.1.</w:t>
            </w:r>
            <w:r w:rsidRPr="00CA6208">
              <w:t>2017</w:t>
            </w:r>
            <w:r>
              <w:t>/2.9.2017</w:t>
            </w:r>
          </w:p>
        </w:tc>
        <w:tc>
          <w:tcPr>
            <w:tcW w:w="2700" w:type="dxa"/>
          </w:tcPr>
          <w:p w:rsidR="00F04CF1" w:rsidRPr="002C53B1" w:rsidRDefault="00F04CF1" w:rsidP="005B60F6">
            <w:pPr>
              <w:ind w:left="100"/>
            </w:pPr>
            <w:r w:rsidRPr="002C53B1">
              <w:t xml:space="preserve">Please describe any changes in LADWP’s </w:t>
            </w:r>
            <w:r w:rsidRPr="002C53B1">
              <w:lastRenderedPageBreak/>
              <w:t>systems conditions that support these increases in purchase requirements.</w:t>
            </w:r>
          </w:p>
        </w:tc>
        <w:tc>
          <w:tcPr>
            <w:tcW w:w="6660" w:type="dxa"/>
          </w:tcPr>
          <w:p w:rsidR="00F04CF1" w:rsidRPr="00A64204" w:rsidRDefault="00F04CF1" w:rsidP="00F04CF1">
            <w:r w:rsidRPr="00A64204">
              <w:lastRenderedPageBreak/>
              <w:t>The Generator Regulation</w:t>
            </w:r>
            <w:r w:rsidRPr="00A64204">
              <w:rPr>
                <w:spacing w:val="-5"/>
              </w:rPr>
              <w:t xml:space="preserve"> </w:t>
            </w:r>
            <w:r w:rsidRPr="00A64204">
              <w:t>and</w:t>
            </w:r>
            <w:r w:rsidRPr="00A64204">
              <w:rPr>
                <w:spacing w:val="21"/>
              </w:rPr>
              <w:t xml:space="preserve"> </w:t>
            </w:r>
            <w:r w:rsidRPr="00A64204">
              <w:t>Frequency</w:t>
            </w:r>
            <w:r w:rsidRPr="00A64204">
              <w:rPr>
                <w:spacing w:val="-7"/>
              </w:rPr>
              <w:t xml:space="preserve"> </w:t>
            </w:r>
            <w:r w:rsidRPr="00A64204">
              <w:t>Response</w:t>
            </w:r>
            <w:r w:rsidRPr="00A64204">
              <w:rPr>
                <w:spacing w:val="-6"/>
              </w:rPr>
              <w:t xml:space="preserve"> </w:t>
            </w:r>
            <w:r w:rsidRPr="00A64204">
              <w:t>Service</w:t>
            </w:r>
            <w:r w:rsidRPr="00A64204">
              <w:rPr>
                <w:spacing w:val="-7"/>
              </w:rPr>
              <w:t xml:space="preserve"> </w:t>
            </w:r>
            <w:r w:rsidRPr="00A64204">
              <w:t>purchase</w:t>
            </w:r>
            <w:r w:rsidRPr="00A64204">
              <w:rPr>
                <w:spacing w:val="-6"/>
              </w:rPr>
              <w:t xml:space="preserve"> </w:t>
            </w:r>
            <w:r w:rsidRPr="00A64204">
              <w:t>requirement</w:t>
            </w:r>
            <w:r w:rsidRPr="00A64204">
              <w:rPr>
                <w:spacing w:val="-6"/>
              </w:rPr>
              <w:t xml:space="preserve"> </w:t>
            </w:r>
            <w:r w:rsidRPr="00A64204">
              <w:t>in</w:t>
            </w:r>
            <w:r w:rsidRPr="00A64204">
              <w:rPr>
                <w:spacing w:val="-7"/>
              </w:rPr>
              <w:t xml:space="preserve"> </w:t>
            </w:r>
            <w:r w:rsidRPr="00A64204">
              <w:t>Schedule</w:t>
            </w:r>
            <w:r w:rsidRPr="00A64204">
              <w:rPr>
                <w:spacing w:val="-6"/>
              </w:rPr>
              <w:t xml:space="preserve"> </w:t>
            </w:r>
            <w:r w:rsidRPr="00A64204">
              <w:t xml:space="preserve">10 is </w:t>
            </w:r>
            <w:r>
              <w:t xml:space="preserve">based upon the recent study mentioned </w:t>
            </w:r>
            <w:r w:rsidRPr="00A64204">
              <w:lastRenderedPageBreak/>
              <w:t xml:space="preserve">in response to No. 26 </w:t>
            </w:r>
            <w:r>
              <w:t>(</w:t>
            </w:r>
            <w:r w:rsidRPr="00A64204">
              <w:t>a</w:t>
            </w:r>
            <w:r>
              <w:t>) above</w:t>
            </w:r>
            <w:r w:rsidRPr="00A64204">
              <w:t>.</w:t>
            </w:r>
          </w:p>
          <w:p w:rsidR="00F04CF1" w:rsidRPr="00CA6208" w:rsidRDefault="00F04CF1" w:rsidP="00D23C21"/>
        </w:tc>
      </w:tr>
      <w:tr w:rsidR="00F04CF1" w:rsidTr="00674E11">
        <w:tc>
          <w:tcPr>
            <w:tcW w:w="1350" w:type="dxa"/>
          </w:tcPr>
          <w:p w:rsidR="00F04CF1" w:rsidRDefault="00F04CF1">
            <w:r w:rsidRPr="00A23EE0">
              <w:lastRenderedPageBreak/>
              <w:t>Burbank</w:t>
            </w:r>
            <w:r w:rsidRPr="00A23EE0">
              <w:rPr>
                <w:spacing w:val="-3"/>
              </w:rPr>
              <w:t xml:space="preserve"> </w:t>
            </w:r>
            <w:r w:rsidRPr="00A23EE0">
              <w:t>and</w:t>
            </w:r>
            <w:r w:rsidRPr="00A23EE0">
              <w:rPr>
                <w:spacing w:val="-3"/>
              </w:rPr>
              <w:t xml:space="preserve"> </w:t>
            </w:r>
            <w:r w:rsidRPr="00A23EE0">
              <w:t>Glendale</w:t>
            </w:r>
          </w:p>
        </w:tc>
        <w:tc>
          <w:tcPr>
            <w:tcW w:w="900" w:type="dxa"/>
          </w:tcPr>
          <w:p w:rsidR="00F04CF1" w:rsidRPr="00CA6208" w:rsidRDefault="00F04CF1" w:rsidP="00D4367B">
            <w:pPr>
              <w:jc w:val="center"/>
            </w:pPr>
            <w:r w:rsidRPr="00CA6208">
              <w:t>27</w:t>
            </w:r>
            <w:r>
              <w:t>a</w:t>
            </w:r>
          </w:p>
        </w:tc>
        <w:tc>
          <w:tcPr>
            <w:tcW w:w="1440" w:type="dxa"/>
          </w:tcPr>
          <w:p w:rsidR="00F04CF1" w:rsidRPr="00CA6208" w:rsidRDefault="00F04CF1" w:rsidP="00D23C21">
            <w:r w:rsidRPr="002C53B1">
              <w:t xml:space="preserve">12 CP  </w:t>
            </w:r>
          </w:p>
        </w:tc>
        <w:tc>
          <w:tcPr>
            <w:tcW w:w="1170" w:type="dxa"/>
          </w:tcPr>
          <w:p w:rsidR="00F04CF1" w:rsidRPr="00CA6208" w:rsidRDefault="00F04CF1">
            <w:r>
              <w:t>2.1.</w:t>
            </w:r>
            <w:r w:rsidRPr="00CA6208">
              <w:t>2017</w:t>
            </w:r>
          </w:p>
        </w:tc>
        <w:tc>
          <w:tcPr>
            <w:tcW w:w="2700" w:type="dxa"/>
          </w:tcPr>
          <w:p w:rsidR="00F04CF1" w:rsidRPr="002C53B1" w:rsidRDefault="00F04CF1" w:rsidP="005B60F6">
            <w:pPr>
              <w:ind w:left="100"/>
            </w:pPr>
            <w:r w:rsidRPr="002C53B1">
              <w:t>Please explain the proposed use of 12 CP loads in formulating proposed OATT rates, including ancillary service rates.</w:t>
            </w:r>
          </w:p>
          <w:p w:rsidR="00F04CF1" w:rsidRPr="00CA6208" w:rsidRDefault="00F04CF1" w:rsidP="00F741A0">
            <w:pPr>
              <w:ind w:left="460"/>
            </w:pPr>
          </w:p>
        </w:tc>
        <w:tc>
          <w:tcPr>
            <w:tcW w:w="6660" w:type="dxa"/>
          </w:tcPr>
          <w:p w:rsidR="00F04CF1" w:rsidRPr="00CA6208" w:rsidRDefault="00F04CF1" w:rsidP="00D23C21"/>
        </w:tc>
      </w:tr>
      <w:tr w:rsidR="00F04CF1" w:rsidTr="00674E11">
        <w:tc>
          <w:tcPr>
            <w:tcW w:w="1350" w:type="dxa"/>
          </w:tcPr>
          <w:p w:rsidR="00F04CF1" w:rsidRDefault="00F04CF1" w:rsidP="00D82AC2">
            <w:r w:rsidRPr="00A23EE0">
              <w:t>Burbank</w:t>
            </w:r>
            <w:r w:rsidRPr="00A23EE0">
              <w:rPr>
                <w:spacing w:val="-3"/>
              </w:rPr>
              <w:t xml:space="preserve"> </w:t>
            </w:r>
            <w:r w:rsidRPr="00A23EE0">
              <w:t>and</w:t>
            </w:r>
            <w:r w:rsidRPr="00A23EE0">
              <w:rPr>
                <w:spacing w:val="-3"/>
              </w:rPr>
              <w:t xml:space="preserve"> </w:t>
            </w:r>
            <w:r w:rsidRPr="00A23EE0">
              <w:t>Glendale</w:t>
            </w:r>
          </w:p>
        </w:tc>
        <w:tc>
          <w:tcPr>
            <w:tcW w:w="900" w:type="dxa"/>
          </w:tcPr>
          <w:p w:rsidR="00F04CF1" w:rsidRPr="00CA6208" w:rsidRDefault="00F04CF1" w:rsidP="00D82AC2">
            <w:pPr>
              <w:jc w:val="center"/>
            </w:pPr>
            <w:r w:rsidRPr="00CA6208">
              <w:t>27</w:t>
            </w:r>
            <w:r>
              <w:t>b</w:t>
            </w:r>
          </w:p>
        </w:tc>
        <w:tc>
          <w:tcPr>
            <w:tcW w:w="1440" w:type="dxa"/>
          </w:tcPr>
          <w:p w:rsidR="00F04CF1" w:rsidRPr="00CA6208" w:rsidRDefault="00F04CF1" w:rsidP="00D82AC2">
            <w:r w:rsidRPr="002C53B1">
              <w:t xml:space="preserve">12 CP  </w:t>
            </w:r>
          </w:p>
        </w:tc>
        <w:tc>
          <w:tcPr>
            <w:tcW w:w="1170" w:type="dxa"/>
          </w:tcPr>
          <w:p w:rsidR="00F04CF1" w:rsidRPr="00CA6208" w:rsidRDefault="00F04CF1" w:rsidP="00D82AC2">
            <w:r>
              <w:t>2.1.</w:t>
            </w:r>
            <w:r w:rsidRPr="00CA6208">
              <w:t>2017</w:t>
            </w:r>
          </w:p>
        </w:tc>
        <w:tc>
          <w:tcPr>
            <w:tcW w:w="2700" w:type="dxa"/>
          </w:tcPr>
          <w:p w:rsidR="00F04CF1" w:rsidRPr="002C53B1" w:rsidRDefault="00F04CF1" w:rsidP="005B60F6">
            <w:pPr>
              <w:ind w:left="100"/>
            </w:pPr>
            <w:r w:rsidRPr="002C53B1">
              <w:t>Please provide any and all documents supporting LADWP’s proposal to use 12 CP.</w:t>
            </w:r>
          </w:p>
          <w:p w:rsidR="00F04CF1" w:rsidRPr="002C53B1" w:rsidRDefault="00F04CF1" w:rsidP="00F741A0">
            <w:pPr>
              <w:ind w:left="460"/>
            </w:pPr>
          </w:p>
        </w:tc>
        <w:tc>
          <w:tcPr>
            <w:tcW w:w="6660" w:type="dxa"/>
          </w:tcPr>
          <w:p w:rsidR="00F04CF1" w:rsidRPr="00CA6208" w:rsidRDefault="00F04CF1" w:rsidP="00D23C21"/>
        </w:tc>
      </w:tr>
      <w:tr w:rsidR="00F04CF1" w:rsidTr="00674E11">
        <w:tc>
          <w:tcPr>
            <w:tcW w:w="1350" w:type="dxa"/>
          </w:tcPr>
          <w:p w:rsidR="00F04CF1" w:rsidRDefault="00F04CF1">
            <w:r w:rsidRPr="00A23EE0">
              <w:t>Burbank</w:t>
            </w:r>
            <w:r w:rsidRPr="00A23EE0">
              <w:rPr>
                <w:spacing w:val="-3"/>
              </w:rPr>
              <w:t xml:space="preserve"> </w:t>
            </w:r>
            <w:r w:rsidRPr="00A23EE0">
              <w:t>and</w:t>
            </w:r>
            <w:r w:rsidRPr="00A23EE0">
              <w:rPr>
                <w:spacing w:val="-3"/>
              </w:rPr>
              <w:t xml:space="preserve"> </w:t>
            </w:r>
            <w:r w:rsidRPr="00A23EE0">
              <w:t>Glendale</w:t>
            </w:r>
          </w:p>
        </w:tc>
        <w:tc>
          <w:tcPr>
            <w:tcW w:w="900" w:type="dxa"/>
          </w:tcPr>
          <w:p w:rsidR="00F04CF1" w:rsidRPr="00CA6208" w:rsidRDefault="00F04CF1" w:rsidP="00D4367B">
            <w:pPr>
              <w:jc w:val="center"/>
            </w:pPr>
            <w:r w:rsidRPr="00CA6208">
              <w:t>28</w:t>
            </w:r>
            <w:r>
              <w:t>a</w:t>
            </w:r>
          </w:p>
        </w:tc>
        <w:tc>
          <w:tcPr>
            <w:tcW w:w="1440" w:type="dxa"/>
          </w:tcPr>
          <w:p w:rsidR="00F04CF1" w:rsidRPr="00CA6208" w:rsidRDefault="00F04CF1" w:rsidP="00D23C21">
            <w:r w:rsidRPr="002C53B1">
              <w:t>Ancillary Service Purchase Obligations</w:t>
            </w:r>
          </w:p>
        </w:tc>
        <w:tc>
          <w:tcPr>
            <w:tcW w:w="1170" w:type="dxa"/>
          </w:tcPr>
          <w:p w:rsidR="00F04CF1" w:rsidRPr="00CA6208" w:rsidRDefault="00F04CF1">
            <w:r>
              <w:t>2.1.</w:t>
            </w:r>
            <w:r w:rsidRPr="00CA6208">
              <w:t>2017</w:t>
            </w:r>
            <w:r>
              <w:t>/2.9.2017</w:t>
            </w:r>
          </w:p>
        </w:tc>
        <w:tc>
          <w:tcPr>
            <w:tcW w:w="2700" w:type="dxa"/>
          </w:tcPr>
          <w:p w:rsidR="00F04CF1" w:rsidRPr="002C53B1" w:rsidRDefault="00F04CF1" w:rsidP="005B60F6">
            <w:pPr>
              <w:ind w:left="100"/>
            </w:pPr>
            <w:r w:rsidRPr="002C53B1">
              <w:t>Please provide all studies and documentation for the proposed ancillary service purchase obligations.</w:t>
            </w:r>
          </w:p>
          <w:p w:rsidR="00F04CF1" w:rsidRPr="00CA6208" w:rsidRDefault="00F04CF1" w:rsidP="00F741A0">
            <w:pPr>
              <w:ind w:left="460"/>
            </w:pPr>
          </w:p>
        </w:tc>
        <w:tc>
          <w:tcPr>
            <w:tcW w:w="6660" w:type="dxa"/>
          </w:tcPr>
          <w:p w:rsidR="00F04CF1" w:rsidRDefault="00F04CF1" w:rsidP="00F04CF1">
            <w:r>
              <w:t>1.</w:t>
            </w:r>
            <w:r>
              <w:tab/>
              <w:t>Schedule 3 - Regulation and Frequency Response Service Purchase Obligation: See “Reserve Requirement for 2014 VER Integration Study for LADWP (January 2017)” table 5 provided in response to Information Request No. 9 (a).</w:t>
            </w:r>
          </w:p>
          <w:p w:rsidR="00F04CF1" w:rsidRDefault="00F04CF1" w:rsidP="00F04CF1"/>
          <w:p w:rsidR="00F04CF1" w:rsidRDefault="00F04CF1" w:rsidP="00F04CF1">
            <w:r>
              <w:t>2.</w:t>
            </w:r>
            <w:r>
              <w:tab/>
              <w:t>Schedule 5 - Operating Reserve-Spinning Reserve Service Purchase Obligation: See response to Information Request No. 9 (b).</w:t>
            </w:r>
          </w:p>
          <w:p w:rsidR="00F04CF1" w:rsidRDefault="00F04CF1" w:rsidP="00F04CF1"/>
          <w:p w:rsidR="00F04CF1" w:rsidRDefault="00F04CF1" w:rsidP="00F04CF1">
            <w:r>
              <w:t>3.</w:t>
            </w:r>
            <w:r>
              <w:tab/>
              <w:t>Schedule 6 - Operating Reserve-Supplemental Reserve Service Purchase Obligation: See response to Information Request No. 9 (b).</w:t>
            </w:r>
          </w:p>
          <w:p w:rsidR="00F04CF1" w:rsidRDefault="00F04CF1" w:rsidP="00F04CF1"/>
          <w:p w:rsidR="00F04CF1" w:rsidRDefault="00F04CF1" w:rsidP="00F04CF1">
            <w:r>
              <w:lastRenderedPageBreak/>
              <w:t>4.</w:t>
            </w:r>
            <w:r>
              <w:tab/>
              <w:t xml:space="preserve">Schedule 10 A - Generator Regulation and Frequency Response Service Purchase Obligation (Non </w:t>
            </w:r>
            <w:proofErr w:type="spellStart"/>
            <w:r>
              <w:t>dispatchable</w:t>
            </w:r>
            <w:proofErr w:type="spellEnd"/>
            <w:r>
              <w:t xml:space="preserve"> Generation): See “Reserve Requirement for 2014 VER Integration Study for LADWP (January 2017)” table 5 provided in response to Information Request No. 9 (a).</w:t>
            </w:r>
          </w:p>
          <w:p w:rsidR="00F04CF1" w:rsidRDefault="00F04CF1" w:rsidP="00F04CF1"/>
          <w:p w:rsidR="00F04CF1" w:rsidRPr="00CA6208" w:rsidRDefault="00F04CF1" w:rsidP="00F04CF1">
            <w:r>
              <w:t>5.</w:t>
            </w:r>
            <w:r>
              <w:tab/>
              <w:t>Schedule 10 B - Generator Regulation and Frequency Response Service Purchase Obligation (</w:t>
            </w:r>
            <w:proofErr w:type="spellStart"/>
            <w:r>
              <w:t>Dispatchable</w:t>
            </w:r>
            <w:proofErr w:type="spellEnd"/>
            <w:r>
              <w:t xml:space="preserve"> Generation). See “Reserve Requirement for 2014 VER Integration Study for LADWP (January 2017)” table 5 provided in response to Information Request No. 9 (a).</w:t>
            </w:r>
          </w:p>
        </w:tc>
      </w:tr>
      <w:tr w:rsidR="00F04CF1" w:rsidTr="00674E11">
        <w:tc>
          <w:tcPr>
            <w:tcW w:w="1350" w:type="dxa"/>
          </w:tcPr>
          <w:p w:rsidR="00F04CF1" w:rsidRDefault="00F04CF1" w:rsidP="00D82AC2">
            <w:r w:rsidRPr="00A23EE0">
              <w:lastRenderedPageBreak/>
              <w:t>Burbank</w:t>
            </w:r>
            <w:r w:rsidRPr="00A23EE0">
              <w:rPr>
                <w:spacing w:val="-3"/>
              </w:rPr>
              <w:t xml:space="preserve"> </w:t>
            </w:r>
            <w:r w:rsidRPr="00A23EE0">
              <w:t>and</w:t>
            </w:r>
            <w:r w:rsidRPr="00A23EE0">
              <w:rPr>
                <w:spacing w:val="-3"/>
              </w:rPr>
              <w:t xml:space="preserve"> </w:t>
            </w:r>
            <w:r w:rsidRPr="00A23EE0">
              <w:t>Glendale</w:t>
            </w:r>
          </w:p>
        </w:tc>
        <w:tc>
          <w:tcPr>
            <w:tcW w:w="900" w:type="dxa"/>
          </w:tcPr>
          <w:p w:rsidR="00F04CF1" w:rsidRPr="00CA6208" w:rsidRDefault="00F04CF1" w:rsidP="00D82AC2">
            <w:pPr>
              <w:jc w:val="center"/>
            </w:pPr>
            <w:r w:rsidRPr="00CA6208">
              <w:t>28</w:t>
            </w:r>
            <w:r>
              <w:t>b</w:t>
            </w:r>
          </w:p>
        </w:tc>
        <w:tc>
          <w:tcPr>
            <w:tcW w:w="1440" w:type="dxa"/>
          </w:tcPr>
          <w:p w:rsidR="00F04CF1" w:rsidRPr="00CA6208" w:rsidRDefault="00F04CF1" w:rsidP="00D82AC2">
            <w:r w:rsidRPr="002C53B1">
              <w:t>Ancillary Service Purchase Obligations</w:t>
            </w:r>
          </w:p>
        </w:tc>
        <w:tc>
          <w:tcPr>
            <w:tcW w:w="1170" w:type="dxa"/>
          </w:tcPr>
          <w:p w:rsidR="00F04CF1" w:rsidRPr="00CA6208" w:rsidRDefault="00F04CF1" w:rsidP="00D82AC2">
            <w:r>
              <w:t>2.1.</w:t>
            </w:r>
            <w:r w:rsidRPr="00CA6208">
              <w:t>2017</w:t>
            </w:r>
            <w:r>
              <w:t>/2.9.2017</w:t>
            </w:r>
          </w:p>
        </w:tc>
        <w:tc>
          <w:tcPr>
            <w:tcW w:w="2700" w:type="dxa"/>
          </w:tcPr>
          <w:p w:rsidR="00F04CF1" w:rsidRPr="002C53B1" w:rsidRDefault="00F04CF1" w:rsidP="005B60F6">
            <w:pPr>
              <w:ind w:left="100"/>
            </w:pPr>
            <w:r w:rsidRPr="002C53B1">
              <w:t>Please describe each ancillary service purchase obligation that has changed from the current LADWP OATT and rate schedules, and explain why these changes have occurred.</w:t>
            </w:r>
          </w:p>
          <w:p w:rsidR="00F04CF1" w:rsidRPr="002C53B1" w:rsidRDefault="00F04CF1" w:rsidP="00F741A0">
            <w:pPr>
              <w:ind w:left="460"/>
            </w:pPr>
          </w:p>
        </w:tc>
        <w:tc>
          <w:tcPr>
            <w:tcW w:w="6660" w:type="dxa"/>
          </w:tcPr>
          <w:p w:rsidR="00F04CF1" w:rsidRPr="00A64204" w:rsidRDefault="00F04CF1" w:rsidP="00F04CF1">
            <w:r w:rsidRPr="00A64204">
              <w:t xml:space="preserve">The </w:t>
            </w:r>
            <w:r>
              <w:t xml:space="preserve">proposed </w:t>
            </w:r>
            <w:r w:rsidRPr="00A64204">
              <w:t>ancillary</w:t>
            </w:r>
            <w:r>
              <w:t xml:space="preserve"> service purchase obligations</w:t>
            </w:r>
            <w:r w:rsidRPr="00A64204">
              <w:t xml:space="preserve"> indicated in </w:t>
            </w:r>
            <w:r>
              <w:t xml:space="preserve">tab BL of </w:t>
            </w:r>
            <w:r w:rsidRPr="00A64204">
              <w:t>the OAT</w:t>
            </w:r>
            <w:r>
              <w:t>T model are based upon the</w:t>
            </w:r>
            <w:r w:rsidRPr="00A64204">
              <w:t xml:space="preserve"> responses to Information Request No. </w:t>
            </w:r>
            <w:r>
              <w:t>28</w:t>
            </w:r>
            <w:r w:rsidRPr="00A64204">
              <w:t xml:space="preserve"> </w:t>
            </w:r>
            <w:r>
              <w:t>(</w:t>
            </w:r>
            <w:r w:rsidRPr="00A64204">
              <w:t xml:space="preserve">a). </w:t>
            </w:r>
          </w:p>
          <w:p w:rsidR="00F04CF1" w:rsidRPr="00CA6208" w:rsidRDefault="00F04CF1" w:rsidP="00D23C21"/>
        </w:tc>
      </w:tr>
      <w:tr w:rsidR="00F04CF1" w:rsidTr="00674E11">
        <w:tc>
          <w:tcPr>
            <w:tcW w:w="1350" w:type="dxa"/>
          </w:tcPr>
          <w:p w:rsidR="00F04CF1" w:rsidRDefault="00F04CF1" w:rsidP="00D82AC2">
            <w:r w:rsidRPr="00A23EE0">
              <w:t>Burbank</w:t>
            </w:r>
            <w:r w:rsidRPr="00A23EE0">
              <w:rPr>
                <w:spacing w:val="-3"/>
              </w:rPr>
              <w:t xml:space="preserve"> </w:t>
            </w:r>
            <w:r w:rsidRPr="00A23EE0">
              <w:t>and</w:t>
            </w:r>
            <w:r w:rsidRPr="00A23EE0">
              <w:rPr>
                <w:spacing w:val="-3"/>
              </w:rPr>
              <w:t xml:space="preserve"> </w:t>
            </w:r>
            <w:r w:rsidRPr="00A23EE0">
              <w:t>Glendale</w:t>
            </w:r>
          </w:p>
        </w:tc>
        <w:tc>
          <w:tcPr>
            <w:tcW w:w="900" w:type="dxa"/>
          </w:tcPr>
          <w:p w:rsidR="00F04CF1" w:rsidRPr="00CA6208" w:rsidRDefault="00F04CF1" w:rsidP="00D82AC2">
            <w:pPr>
              <w:jc w:val="center"/>
            </w:pPr>
            <w:r w:rsidRPr="00CA6208">
              <w:t>28</w:t>
            </w:r>
            <w:r>
              <w:t>c</w:t>
            </w:r>
          </w:p>
        </w:tc>
        <w:tc>
          <w:tcPr>
            <w:tcW w:w="1440" w:type="dxa"/>
          </w:tcPr>
          <w:p w:rsidR="00F04CF1" w:rsidRPr="00CA6208" w:rsidRDefault="00F04CF1" w:rsidP="00D82AC2">
            <w:r w:rsidRPr="002C53B1">
              <w:t>Ancillary Service Purchase Obligations</w:t>
            </w:r>
          </w:p>
        </w:tc>
        <w:tc>
          <w:tcPr>
            <w:tcW w:w="1170" w:type="dxa"/>
          </w:tcPr>
          <w:p w:rsidR="00F04CF1" w:rsidRPr="00CA6208" w:rsidRDefault="00F04CF1" w:rsidP="00D82AC2">
            <w:r>
              <w:t>2.1.</w:t>
            </w:r>
            <w:r w:rsidRPr="00CA6208">
              <w:t>2017</w:t>
            </w:r>
            <w:r>
              <w:t>/2.9.2017</w:t>
            </w:r>
          </w:p>
        </w:tc>
        <w:tc>
          <w:tcPr>
            <w:tcW w:w="2700" w:type="dxa"/>
          </w:tcPr>
          <w:p w:rsidR="00F04CF1" w:rsidRPr="002C53B1" w:rsidRDefault="00F04CF1" w:rsidP="005B60F6">
            <w:pPr>
              <w:ind w:left="100"/>
            </w:pPr>
            <w:r w:rsidRPr="002C53B1">
              <w:t>Exhibit DWP-104, Tab BL. Please provide studies and documentation for the following cells: F44, F49, F54, F63, F67, F168, F211, F257, F334, F335, and F368.</w:t>
            </w:r>
          </w:p>
          <w:p w:rsidR="00F04CF1" w:rsidRPr="002C53B1" w:rsidRDefault="00F04CF1" w:rsidP="00F741A0">
            <w:pPr>
              <w:ind w:left="460"/>
            </w:pPr>
          </w:p>
        </w:tc>
        <w:tc>
          <w:tcPr>
            <w:tcW w:w="6660" w:type="dxa"/>
          </w:tcPr>
          <w:p w:rsidR="00F04CF1" w:rsidRDefault="00F04CF1" w:rsidP="00F04CF1">
            <w:r w:rsidRPr="00C221A6">
              <w:lastRenderedPageBreak/>
              <w:t xml:space="preserve">All the percentages and amounts </w:t>
            </w:r>
            <w:r>
              <w:t xml:space="preserve">indicated </w:t>
            </w:r>
            <w:r w:rsidRPr="00C221A6">
              <w:t>below are based upon the</w:t>
            </w:r>
            <w:r>
              <w:t xml:space="preserve"> responses to </w:t>
            </w:r>
            <w:r w:rsidRPr="00C221A6">
              <w:t xml:space="preserve">Information Request No. 28 (a). </w:t>
            </w:r>
          </w:p>
          <w:p w:rsidR="00F04CF1" w:rsidRDefault="00F04CF1" w:rsidP="00F04CF1">
            <w:pPr>
              <w:rPr>
                <w:rFonts w:eastAsia="Times New Roman"/>
              </w:rPr>
            </w:pPr>
            <w:r>
              <w:rPr>
                <w:rFonts w:eastAsia="Times New Roman"/>
              </w:rPr>
              <w:t>F44 – shows 3.496% and reflects the Schedule 3 Regulation and Frequency Response Service Purchase Obligation.</w:t>
            </w:r>
          </w:p>
          <w:p w:rsidR="00F04CF1" w:rsidRDefault="00F04CF1" w:rsidP="00F04CF1">
            <w:pPr>
              <w:rPr>
                <w:rFonts w:eastAsia="Times New Roman"/>
              </w:rPr>
            </w:pPr>
          </w:p>
          <w:p w:rsidR="00F04CF1" w:rsidRDefault="00F04CF1" w:rsidP="00F04CF1">
            <w:pPr>
              <w:rPr>
                <w:rFonts w:eastAsia="Times New Roman"/>
              </w:rPr>
            </w:pPr>
            <w:r w:rsidRPr="008771FC">
              <w:rPr>
                <w:rFonts w:eastAsia="STXinwei"/>
              </w:rPr>
              <w:t xml:space="preserve">F49 - </w:t>
            </w:r>
            <w:r>
              <w:rPr>
                <w:rFonts w:eastAsia="STXinwei"/>
              </w:rPr>
              <w:t xml:space="preserve">shows 6.027% and reflects the </w:t>
            </w:r>
            <w:r w:rsidRPr="008771FC">
              <w:rPr>
                <w:rFonts w:eastAsia="STXinwei"/>
              </w:rPr>
              <w:t xml:space="preserve">Purchase obligation for </w:t>
            </w:r>
            <w:r>
              <w:rPr>
                <w:rFonts w:eastAsia="STXinwei"/>
                <w:bCs/>
                <w:color w:val="000000"/>
              </w:rPr>
              <w:t xml:space="preserve">Schedule 5 </w:t>
            </w:r>
            <w:r w:rsidRPr="008771FC">
              <w:rPr>
                <w:rFonts w:eastAsia="STXinwei"/>
                <w:bCs/>
                <w:color w:val="000000"/>
              </w:rPr>
              <w:t>Operating Reserve-Spinning Reserve Service</w:t>
            </w:r>
            <w:r>
              <w:rPr>
                <w:rFonts w:eastAsia="Times New Roman"/>
              </w:rPr>
              <w:t>.</w:t>
            </w:r>
          </w:p>
          <w:p w:rsidR="00F04CF1" w:rsidRDefault="00F04CF1" w:rsidP="00F04CF1">
            <w:pPr>
              <w:rPr>
                <w:rFonts w:eastAsia="Times New Roman"/>
              </w:rPr>
            </w:pPr>
          </w:p>
          <w:p w:rsidR="00F04CF1" w:rsidRDefault="00F04CF1" w:rsidP="00F04CF1">
            <w:pPr>
              <w:rPr>
                <w:rFonts w:eastAsia="Times New Roman"/>
              </w:rPr>
            </w:pPr>
            <w:r>
              <w:rPr>
                <w:rFonts w:eastAsia="Times New Roman"/>
              </w:rPr>
              <w:t xml:space="preserve">F54 – shows 6.027% Purchase obligation for Schedule 6 </w:t>
            </w:r>
            <w:r w:rsidRPr="008771FC">
              <w:rPr>
                <w:rFonts w:eastAsia="STXinwei"/>
                <w:bCs/>
                <w:color w:val="000000"/>
              </w:rPr>
              <w:t>Operating Reserve-Supplemental Reserve Service</w:t>
            </w:r>
            <w:r>
              <w:rPr>
                <w:rFonts w:eastAsia="Times New Roman"/>
              </w:rPr>
              <w:t>.</w:t>
            </w:r>
          </w:p>
          <w:p w:rsidR="00F04CF1" w:rsidRDefault="00F04CF1" w:rsidP="00F04CF1">
            <w:pPr>
              <w:rPr>
                <w:rFonts w:eastAsia="Times New Roman"/>
              </w:rPr>
            </w:pPr>
          </w:p>
          <w:p w:rsidR="00F04CF1" w:rsidRDefault="00F04CF1" w:rsidP="00F04CF1">
            <w:pPr>
              <w:rPr>
                <w:rFonts w:eastAsia="Times New Roman"/>
              </w:rPr>
            </w:pPr>
            <w:r>
              <w:rPr>
                <w:rFonts w:eastAsia="Times New Roman"/>
              </w:rPr>
              <w:t xml:space="preserve">F63 – shows 9.278% Purchase Obligation for Schedule 10 </w:t>
            </w:r>
            <w:r w:rsidRPr="008771FC">
              <w:rPr>
                <w:rFonts w:eastAsia="STXinwei"/>
                <w:bCs/>
                <w:color w:val="000000"/>
              </w:rPr>
              <w:t xml:space="preserve">Generator Regulation and Frequency Response Service (Non </w:t>
            </w:r>
            <w:proofErr w:type="spellStart"/>
            <w:r w:rsidRPr="008771FC">
              <w:rPr>
                <w:rFonts w:eastAsia="STXinwei"/>
                <w:bCs/>
                <w:color w:val="000000"/>
              </w:rPr>
              <w:t>dispatchable</w:t>
            </w:r>
            <w:proofErr w:type="spellEnd"/>
            <w:r w:rsidRPr="008771FC">
              <w:rPr>
                <w:rFonts w:eastAsia="STXinwei"/>
                <w:bCs/>
                <w:color w:val="000000"/>
              </w:rPr>
              <w:t xml:space="preserve"> Generation)</w:t>
            </w:r>
            <w:r>
              <w:rPr>
                <w:rFonts w:eastAsia="STXinwei"/>
                <w:bCs/>
                <w:color w:val="000000"/>
              </w:rPr>
              <w:t>.</w:t>
            </w:r>
          </w:p>
          <w:p w:rsidR="00F04CF1" w:rsidRDefault="00F04CF1" w:rsidP="00F04CF1">
            <w:pPr>
              <w:rPr>
                <w:rFonts w:eastAsia="Times New Roman"/>
              </w:rPr>
            </w:pPr>
          </w:p>
          <w:p w:rsidR="00F04CF1" w:rsidRDefault="00F04CF1" w:rsidP="00F04CF1">
            <w:pPr>
              <w:rPr>
                <w:rFonts w:eastAsia="Times New Roman"/>
              </w:rPr>
            </w:pPr>
            <w:r>
              <w:rPr>
                <w:rFonts w:eastAsia="Times New Roman"/>
              </w:rPr>
              <w:t xml:space="preserve">F67 – shows 3.496% Purchase Obligation for Schedule 10 B </w:t>
            </w:r>
            <w:r w:rsidRPr="008771FC">
              <w:rPr>
                <w:rFonts w:eastAsia="STXinwei"/>
                <w:bCs/>
                <w:color w:val="000000"/>
              </w:rPr>
              <w:t>Generator Regulation and Frequency Response Service (</w:t>
            </w:r>
            <w:proofErr w:type="spellStart"/>
            <w:r w:rsidRPr="008771FC">
              <w:rPr>
                <w:rFonts w:eastAsia="STXinwei"/>
                <w:bCs/>
                <w:color w:val="000000"/>
              </w:rPr>
              <w:t>Dispatchable</w:t>
            </w:r>
            <w:proofErr w:type="spellEnd"/>
            <w:r w:rsidRPr="008771FC">
              <w:rPr>
                <w:rFonts w:eastAsia="STXinwei"/>
                <w:bCs/>
                <w:color w:val="000000"/>
              </w:rPr>
              <w:t xml:space="preserve"> Generation)</w:t>
            </w:r>
            <w:r>
              <w:rPr>
                <w:rFonts w:eastAsia="STXinwei"/>
                <w:bCs/>
                <w:color w:val="000000"/>
              </w:rPr>
              <w:t>.</w:t>
            </w:r>
          </w:p>
          <w:p w:rsidR="00F04CF1" w:rsidRDefault="00F04CF1" w:rsidP="00F04CF1">
            <w:pPr>
              <w:rPr>
                <w:rFonts w:eastAsia="Times New Roman"/>
              </w:rPr>
            </w:pPr>
          </w:p>
          <w:p w:rsidR="00F04CF1" w:rsidRDefault="00F04CF1" w:rsidP="00F04CF1">
            <w:pPr>
              <w:rPr>
                <w:rFonts w:eastAsia="Times New Roman"/>
              </w:rPr>
            </w:pPr>
            <w:r>
              <w:rPr>
                <w:rFonts w:eastAsia="Times New Roman"/>
              </w:rPr>
              <w:t>F168 – shows 174 MW Purchase Obligation for Schedule 3 Regulation and Frequency Response Purchase Obligation.</w:t>
            </w:r>
          </w:p>
          <w:p w:rsidR="00F04CF1" w:rsidRDefault="00F04CF1" w:rsidP="00F04CF1">
            <w:pPr>
              <w:rPr>
                <w:rFonts w:eastAsia="Times New Roman"/>
              </w:rPr>
            </w:pPr>
          </w:p>
          <w:p w:rsidR="00F04CF1" w:rsidRDefault="00F04CF1" w:rsidP="00F04CF1">
            <w:pPr>
              <w:rPr>
                <w:rFonts w:eastAsia="Times New Roman"/>
              </w:rPr>
            </w:pPr>
            <w:r>
              <w:rPr>
                <w:rFonts w:eastAsia="Times New Roman"/>
              </w:rPr>
              <w:t xml:space="preserve">F211 – shows 300 MW </w:t>
            </w:r>
            <w:r>
              <w:rPr>
                <w:rFonts w:eastAsia="STXinwei"/>
              </w:rPr>
              <w:t>and reflects the Purchase O</w:t>
            </w:r>
            <w:r w:rsidRPr="008771FC">
              <w:rPr>
                <w:rFonts w:eastAsia="STXinwei"/>
              </w:rPr>
              <w:t xml:space="preserve">bligation for </w:t>
            </w:r>
            <w:r>
              <w:rPr>
                <w:rFonts w:eastAsia="STXinwei"/>
                <w:bCs/>
                <w:color w:val="000000"/>
              </w:rPr>
              <w:t xml:space="preserve">Schedule 5 </w:t>
            </w:r>
            <w:r w:rsidRPr="008771FC">
              <w:rPr>
                <w:rFonts w:eastAsia="STXinwei"/>
                <w:bCs/>
                <w:color w:val="000000"/>
              </w:rPr>
              <w:t>Operating Reserve-Spinning Reserve Service</w:t>
            </w:r>
            <w:r>
              <w:rPr>
                <w:rFonts w:eastAsia="STXinwei"/>
                <w:bCs/>
                <w:color w:val="000000"/>
              </w:rPr>
              <w:t>.</w:t>
            </w:r>
          </w:p>
          <w:p w:rsidR="00F04CF1" w:rsidRDefault="00F04CF1" w:rsidP="00F04CF1">
            <w:pPr>
              <w:rPr>
                <w:rFonts w:eastAsia="Times New Roman"/>
              </w:rPr>
            </w:pPr>
          </w:p>
          <w:p w:rsidR="00F04CF1" w:rsidRDefault="00F04CF1" w:rsidP="00F04CF1">
            <w:pPr>
              <w:rPr>
                <w:rFonts w:eastAsia="Times New Roman"/>
              </w:rPr>
            </w:pPr>
            <w:r>
              <w:rPr>
                <w:rFonts w:eastAsia="Times New Roman"/>
              </w:rPr>
              <w:t>F257 – shows 300 MW and reflects the Purchase Obligation for Schedule 6 Operating Reserves -Supplemental Reserve.</w:t>
            </w:r>
          </w:p>
          <w:p w:rsidR="00F04CF1" w:rsidRDefault="00F04CF1" w:rsidP="00F04CF1">
            <w:pPr>
              <w:rPr>
                <w:rFonts w:eastAsia="Times New Roman"/>
              </w:rPr>
            </w:pPr>
          </w:p>
          <w:p w:rsidR="00F04CF1" w:rsidRDefault="00F04CF1" w:rsidP="00F04CF1">
            <w:pPr>
              <w:rPr>
                <w:rFonts w:eastAsia="Times New Roman"/>
              </w:rPr>
            </w:pPr>
            <w:r>
              <w:rPr>
                <w:rFonts w:eastAsia="Times New Roman"/>
              </w:rPr>
              <w:t xml:space="preserve">F334 – shows 63 MW and reflects the Purchase Obligation for Schedule 10 A </w:t>
            </w:r>
            <w:r w:rsidRPr="008771FC">
              <w:rPr>
                <w:rFonts w:eastAsia="STXinwei"/>
                <w:bCs/>
                <w:color w:val="000000"/>
              </w:rPr>
              <w:t xml:space="preserve">Generator Regulation and Frequency Response Service (Non </w:t>
            </w:r>
            <w:proofErr w:type="spellStart"/>
            <w:r w:rsidRPr="008771FC">
              <w:rPr>
                <w:rFonts w:eastAsia="STXinwei"/>
                <w:bCs/>
                <w:color w:val="000000"/>
              </w:rPr>
              <w:t>dispatchable</w:t>
            </w:r>
            <w:proofErr w:type="spellEnd"/>
            <w:r w:rsidRPr="008771FC">
              <w:rPr>
                <w:rFonts w:eastAsia="STXinwei"/>
                <w:bCs/>
                <w:color w:val="000000"/>
              </w:rPr>
              <w:t xml:space="preserve"> Generation)</w:t>
            </w:r>
            <w:r>
              <w:rPr>
                <w:rFonts w:eastAsia="Times New Roman"/>
              </w:rPr>
              <w:t>.</w:t>
            </w:r>
          </w:p>
          <w:p w:rsidR="00F04CF1" w:rsidRDefault="00F04CF1" w:rsidP="00F04CF1">
            <w:pPr>
              <w:rPr>
                <w:rFonts w:eastAsia="Times New Roman"/>
              </w:rPr>
            </w:pPr>
          </w:p>
          <w:p w:rsidR="00F04CF1" w:rsidRDefault="00F04CF1" w:rsidP="00F04CF1">
            <w:pPr>
              <w:rPr>
                <w:rFonts w:eastAsia="Times New Roman"/>
              </w:rPr>
            </w:pPr>
            <w:r>
              <w:rPr>
                <w:rFonts w:eastAsia="Times New Roman"/>
              </w:rPr>
              <w:t xml:space="preserve">F335 – shows 679 MW and reflects the incremental nameplate VER capacity used in Schedule 10 A Generator Regulation and Frequency </w:t>
            </w:r>
            <w:r>
              <w:rPr>
                <w:rFonts w:eastAsia="Times New Roman"/>
              </w:rPr>
              <w:lastRenderedPageBreak/>
              <w:t xml:space="preserve">Response and comes from the   </w:t>
            </w:r>
            <w:r>
              <w:rPr>
                <w:rFonts w:eastAsia="Times New Roman"/>
                <w:bCs/>
                <w:color w:val="000000"/>
              </w:rPr>
              <w:t>“</w:t>
            </w:r>
            <w:r w:rsidRPr="00A64204">
              <w:t>Reserve Requirement for 2014 VER Integration Study for LADWP (January 2017)”</w:t>
            </w:r>
            <w:r>
              <w:t>.</w:t>
            </w:r>
          </w:p>
          <w:p w:rsidR="00F04CF1" w:rsidRDefault="00F04CF1" w:rsidP="00F04CF1">
            <w:pPr>
              <w:rPr>
                <w:rFonts w:eastAsia="Times New Roman"/>
              </w:rPr>
            </w:pPr>
          </w:p>
          <w:p w:rsidR="00F04CF1" w:rsidRDefault="00F04CF1" w:rsidP="00F04CF1">
            <w:pPr>
              <w:rPr>
                <w:rFonts w:eastAsia="Times New Roman"/>
              </w:rPr>
            </w:pPr>
            <w:r>
              <w:rPr>
                <w:rFonts w:eastAsia="Times New Roman"/>
              </w:rPr>
              <w:t>F368 – shows 174 MW and reflects the Purchase Obligation for Schedule 10 B Regulation and Frequency Response Purchase Obligation (</w:t>
            </w:r>
            <w:proofErr w:type="spellStart"/>
            <w:r>
              <w:rPr>
                <w:rFonts w:eastAsia="Times New Roman"/>
              </w:rPr>
              <w:t>dispatchable</w:t>
            </w:r>
            <w:proofErr w:type="spellEnd"/>
            <w:r>
              <w:rPr>
                <w:rFonts w:eastAsia="Times New Roman"/>
              </w:rPr>
              <w:t xml:space="preserve"> generation).</w:t>
            </w:r>
          </w:p>
          <w:p w:rsidR="00F04CF1" w:rsidRDefault="00F04CF1" w:rsidP="00F04CF1"/>
          <w:p w:rsidR="00F04CF1" w:rsidRPr="00CA6208" w:rsidRDefault="00F04CF1" w:rsidP="00D23C21"/>
        </w:tc>
      </w:tr>
      <w:tr w:rsidR="00F04CF1" w:rsidTr="00674E11">
        <w:tc>
          <w:tcPr>
            <w:tcW w:w="1350" w:type="dxa"/>
          </w:tcPr>
          <w:p w:rsidR="00F04CF1" w:rsidRPr="00CA6208" w:rsidRDefault="00F04CF1" w:rsidP="00D23C21">
            <w:pPr>
              <w:jc w:val="center"/>
            </w:pPr>
            <w:r>
              <w:lastRenderedPageBreak/>
              <w:t>Burbank</w:t>
            </w:r>
            <w:r>
              <w:rPr>
                <w:spacing w:val="-3"/>
              </w:rPr>
              <w:t xml:space="preserve"> </w:t>
            </w:r>
            <w:r>
              <w:t>and</w:t>
            </w:r>
            <w:r>
              <w:rPr>
                <w:spacing w:val="-3"/>
              </w:rPr>
              <w:t xml:space="preserve"> </w:t>
            </w:r>
            <w:r>
              <w:t>Glendale</w:t>
            </w:r>
          </w:p>
        </w:tc>
        <w:tc>
          <w:tcPr>
            <w:tcW w:w="900" w:type="dxa"/>
          </w:tcPr>
          <w:p w:rsidR="00F04CF1" w:rsidRPr="00CA6208" w:rsidRDefault="00F04CF1" w:rsidP="00D4367B">
            <w:pPr>
              <w:jc w:val="center"/>
            </w:pPr>
            <w:r>
              <w:t>29</w:t>
            </w:r>
          </w:p>
        </w:tc>
        <w:tc>
          <w:tcPr>
            <w:tcW w:w="1440" w:type="dxa"/>
          </w:tcPr>
          <w:p w:rsidR="00F04CF1" w:rsidRPr="00CA6208" w:rsidRDefault="00F04CF1" w:rsidP="00D23C21">
            <w:r w:rsidRPr="00257447">
              <w:t xml:space="preserve">Rate Design (DWP-104, Tab BL)  </w:t>
            </w:r>
          </w:p>
        </w:tc>
        <w:tc>
          <w:tcPr>
            <w:tcW w:w="1170" w:type="dxa"/>
          </w:tcPr>
          <w:p w:rsidR="00F04CF1" w:rsidRPr="00CA6208" w:rsidRDefault="00F04CF1">
            <w:r>
              <w:t>2.1.</w:t>
            </w:r>
            <w:r w:rsidRPr="00CA6208">
              <w:t>2017</w:t>
            </w:r>
            <w:r>
              <w:t>/2.9.2017</w:t>
            </w:r>
          </w:p>
        </w:tc>
        <w:tc>
          <w:tcPr>
            <w:tcW w:w="2700" w:type="dxa"/>
          </w:tcPr>
          <w:p w:rsidR="00F04CF1" w:rsidRPr="00257447" w:rsidRDefault="00F04CF1" w:rsidP="00257447">
            <w:r w:rsidRPr="00257447">
              <w:t>Please provide studies and documentation for the divisor of 4,160 in cells F103, F138, F185, F195, F229, F239, F275, F285, F318, F352, F362, F386, and F396.</w:t>
            </w:r>
          </w:p>
          <w:p w:rsidR="00F04CF1" w:rsidRPr="00CA6208" w:rsidRDefault="00F04CF1" w:rsidP="00D23C21"/>
        </w:tc>
        <w:tc>
          <w:tcPr>
            <w:tcW w:w="6660" w:type="dxa"/>
          </w:tcPr>
          <w:p w:rsidR="00F04CF1" w:rsidRPr="00A64204" w:rsidRDefault="00F04CF1" w:rsidP="00F04CF1">
            <w:pPr>
              <w:rPr>
                <w:spacing w:val="-1"/>
              </w:rPr>
            </w:pPr>
            <w:r w:rsidRPr="00A64204">
              <w:rPr>
                <w:spacing w:val="-1"/>
              </w:rPr>
              <w:t xml:space="preserve">The divisor of 4,160 hours is discussed in </w:t>
            </w:r>
            <w:r>
              <w:rPr>
                <w:spacing w:val="-1"/>
              </w:rPr>
              <w:t xml:space="preserve">Dave Cohen/Ed Lucero </w:t>
            </w:r>
            <w:r w:rsidRPr="00A64204">
              <w:rPr>
                <w:spacing w:val="-1"/>
              </w:rPr>
              <w:t xml:space="preserve">testimony for statement BL and reflects the number of On-Peak hours during the year. </w:t>
            </w:r>
          </w:p>
          <w:p w:rsidR="00F04CF1" w:rsidRPr="00A64204" w:rsidRDefault="00F04CF1" w:rsidP="00F04CF1">
            <w:pPr>
              <w:rPr>
                <w:spacing w:val="-1"/>
              </w:rPr>
            </w:pPr>
          </w:p>
          <w:p w:rsidR="00F04CF1" w:rsidRDefault="00F04CF1" w:rsidP="00F04CF1">
            <w:pPr>
              <w:rPr>
                <w:spacing w:val="-1"/>
              </w:rPr>
            </w:pPr>
            <w:r w:rsidRPr="00A64204">
              <w:rPr>
                <w:spacing w:val="-1"/>
              </w:rPr>
              <w:t>The use of the 4,160 hours for On-Peak s</w:t>
            </w:r>
            <w:r>
              <w:rPr>
                <w:spacing w:val="-1"/>
              </w:rPr>
              <w:t>ervice is recognized by FERC in:</w:t>
            </w:r>
          </w:p>
          <w:p w:rsidR="00F04CF1" w:rsidRPr="00A64204" w:rsidRDefault="00F04CF1" w:rsidP="00F04CF1">
            <w:pPr>
              <w:rPr>
                <w:spacing w:val="-1"/>
              </w:rPr>
            </w:pPr>
          </w:p>
          <w:p w:rsidR="00F04CF1" w:rsidRPr="00A64204" w:rsidRDefault="00F04CF1" w:rsidP="00F04CF1">
            <w:r w:rsidRPr="00A64204">
              <w:t xml:space="preserve"> </w:t>
            </w:r>
            <w:r w:rsidRPr="000855FE">
              <w:rPr>
                <w:i/>
              </w:rPr>
              <w:t>Northeast Utilities Service Company</w:t>
            </w:r>
            <w:r w:rsidRPr="00A64204">
              <w:t>,</w:t>
            </w:r>
            <w:r>
              <w:t xml:space="preserve"> </w:t>
            </w:r>
            <w:r w:rsidRPr="00A64204">
              <w:t>89 FERC ¶61,184, (1999</w:t>
            </w:r>
            <w:proofErr w:type="gramStart"/>
            <w:r w:rsidRPr="00A64204">
              <w:t xml:space="preserve">) </w:t>
            </w:r>
            <w:r>
              <w:t>.</w:t>
            </w:r>
            <w:proofErr w:type="gramEnd"/>
          </w:p>
          <w:p w:rsidR="00F04CF1" w:rsidRPr="00CA6208" w:rsidRDefault="00F04CF1" w:rsidP="00D23C21"/>
        </w:tc>
      </w:tr>
    </w:tbl>
    <w:p w:rsidR="00A42964" w:rsidRDefault="00A42964" w:rsidP="00D23C21"/>
    <w:sectPr w:rsidR="00A42964" w:rsidSect="00A42964">
      <w:headerReference w:type="default" r:id="rId13"/>
      <w:footerReference w:type="defaul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593" w:rsidRDefault="00FE4593" w:rsidP="00BD1EB8">
      <w:pPr>
        <w:spacing w:after="0" w:line="240" w:lineRule="auto"/>
      </w:pPr>
      <w:r>
        <w:separator/>
      </w:r>
    </w:p>
  </w:endnote>
  <w:endnote w:type="continuationSeparator" w:id="0">
    <w:p w:rsidR="00FE4593" w:rsidRDefault="00FE4593" w:rsidP="00BD1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TXinwei">
    <w:charset w:val="86"/>
    <w:family w:val="auto"/>
    <w:pitch w:val="variable"/>
    <w:sig w:usb0="00000001" w:usb1="080F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8923486"/>
      <w:docPartObj>
        <w:docPartGallery w:val="Page Numbers (Bottom of Page)"/>
        <w:docPartUnique/>
      </w:docPartObj>
    </w:sdtPr>
    <w:sdtEndPr>
      <w:rPr>
        <w:noProof/>
      </w:rPr>
    </w:sdtEndPr>
    <w:sdtContent>
      <w:p w:rsidR="009848DB" w:rsidRDefault="009848DB">
        <w:pPr>
          <w:pStyle w:val="Footer"/>
          <w:jc w:val="center"/>
        </w:pPr>
        <w:r>
          <w:fldChar w:fldCharType="begin"/>
        </w:r>
        <w:r>
          <w:instrText xml:space="preserve"> PAGE   \* MERGEFORMAT </w:instrText>
        </w:r>
        <w:r>
          <w:fldChar w:fldCharType="separate"/>
        </w:r>
        <w:r w:rsidR="00B32CFB">
          <w:rPr>
            <w:noProof/>
          </w:rPr>
          <w:t>33</w:t>
        </w:r>
        <w:r>
          <w:rPr>
            <w:noProof/>
          </w:rPr>
          <w:fldChar w:fldCharType="end"/>
        </w:r>
      </w:p>
    </w:sdtContent>
  </w:sdt>
  <w:p w:rsidR="009848DB" w:rsidRDefault="009848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593" w:rsidRDefault="00FE4593" w:rsidP="00BD1EB8">
      <w:pPr>
        <w:spacing w:after="0" w:line="240" w:lineRule="auto"/>
      </w:pPr>
      <w:r>
        <w:separator/>
      </w:r>
    </w:p>
  </w:footnote>
  <w:footnote w:type="continuationSeparator" w:id="0">
    <w:p w:rsidR="00FE4593" w:rsidRDefault="00FE4593" w:rsidP="00BD1E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8A1" w:rsidRDefault="009848DB" w:rsidP="00BD1EB8">
    <w:pPr>
      <w:pStyle w:val="Heading1"/>
      <w:spacing w:before="27"/>
      <w:ind w:left="1092" w:right="1090"/>
      <w:jc w:val="center"/>
      <w:rPr>
        <w:spacing w:val="29"/>
      </w:rPr>
    </w:pPr>
    <w:r>
      <w:t>CITY</w:t>
    </w:r>
    <w:r>
      <w:rPr>
        <w:spacing w:val="-3"/>
      </w:rPr>
      <w:t xml:space="preserve"> </w:t>
    </w:r>
    <w:r>
      <w:t>OF</w:t>
    </w:r>
    <w:r>
      <w:rPr>
        <w:spacing w:val="-3"/>
      </w:rPr>
      <w:t xml:space="preserve"> </w:t>
    </w:r>
    <w:r>
      <w:t>LOS</w:t>
    </w:r>
    <w:r>
      <w:rPr>
        <w:spacing w:val="-3"/>
      </w:rPr>
      <w:t xml:space="preserve"> </w:t>
    </w:r>
    <w:r>
      <w:t>ANGELES</w:t>
    </w:r>
    <w:r>
      <w:rPr>
        <w:spacing w:val="-3"/>
      </w:rPr>
      <w:t xml:space="preserve"> </w:t>
    </w:r>
    <w:r>
      <w:rPr>
        <w:spacing w:val="-1"/>
      </w:rPr>
      <w:t>DEPARTMENT</w:t>
    </w:r>
    <w:r>
      <w:rPr>
        <w:spacing w:val="-3"/>
      </w:rPr>
      <w:t xml:space="preserve"> </w:t>
    </w:r>
    <w:r>
      <w:t>OF</w:t>
    </w:r>
    <w:r>
      <w:rPr>
        <w:spacing w:val="-3"/>
      </w:rPr>
      <w:t xml:space="preserve"> </w:t>
    </w:r>
    <w:r>
      <w:t>WATER</w:t>
    </w:r>
    <w:r>
      <w:rPr>
        <w:spacing w:val="-3"/>
      </w:rPr>
      <w:t xml:space="preserve"> </w:t>
    </w:r>
    <w:r>
      <w:t>AND</w:t>
    </w:r>
    <w:r>
      <w:rPr>
        <w:spacing w:val="-3"/>
      </w:rPr>
      <w:t xml:space="preserve"> </w:t>
    </w:r>
    <w:r>
      <w:t>POWER</w:t>
    </w:r>
    <w:r>
      <w:rPr>
        <w:spacing w:val="29"/>
      </w:rPr>
      <w:t xml:space="preserve"> </w:t>
    </w:r>
  </w:p>
  <w:p w:rsidR="009848DB" w:rsidRDefault="009848DB" w:rsidP="00BD1EB8">
    <w:pPr>
      <w:pStyle w:val="Heading1"/>
      <w:spacing w:before="27"/>
      <w:ind w:left="1092" w:right="1090"/>
      <w:jc w:val="center"/>
      <w:rPr>
        <w:b w:val="0"/>
        <w:bCs w:val="0"/>
      </w:rPr>
    </w:pPr>
    <w:r>
      <w:t>2017</w:t>
    </w:r>
    <w:r>
      <w:rPr>
        <w:spacing w:val="-4"/>
      </w:rPr>
      <w:t xml:space="preserve"> </w:t>
    </w:r>
    <w:r>
      <w:t>REFORM</w:t>
    </w:r>
    <w:r>
      <w:rPr>
        <w:spacing w:val="-4"/>
      </w:rPr>
      <w:t xml:space="preserve"> </w:t>
    </w:r>
    <w:r>
      <w:t>OF</w:t>
    </w:r>
    <w:r>
      <w:rPr>
        <w:spacing w:val="-3"/>
      </w:rPr>
      <w:t xml:space="preserve"> </w:t>
    </w:r>
    <w:r>
      <w:t>ELECTRIC</w:t>
    </w:r>
    <w:r w:rsidR="004C38A1">
      <w:rPr>
        <w:spacing w:val="-4"/>
      </w:rPr>
      <w:t xml:space="preserve"> </w:t>
    </w:r>
    <w:r>
      <w:t>TRANSMISSION</w:t>
    </w:r>
    <w:r>
      <w:rPr>
        <w:spacing w:val="-3"/>
      </w:rPr>
      <w:t xml:space="preserve"> </w:t>
    </w:r>
    <w:r>
      <w:t>TARIFF</w:t>
    </w:r>
  </w:p>
  <w:p w:rsidR="009848DB" w:rsidRDefault="009848DB" w:rsidP="00BD1EB8">
    <w:pPr>
      <w:spacing w:line="271" w:lineRule="exact"/>
      <w:ind w:left="835" w:right="835"/>
      <w:jc w:val="center"/>
      <w:rPr>
        <w:rFonts w:ascii="Times New Roman"/>
        <w:b/>
        <w:sz w:val="24"/>
      </w:rPr>
    </w:pPr>
    <w:r>
      <w:rPr>
        <w:rFonts w:ascii="Times New Roman"/>
        <w:b/>
        <w:sz w:val="24"/>
      </w:rPr>
      <w:t>AND</w:t>
    </w:r>
    <w:r>
      <w:rPr>
        <w:rFonts w:ascii="Times New Roman"/>
        <w:b/>
        <w:spacing w:val="-2"/>
        <w:sz w:val="24"/>
      </w:rPr>
      <w:t xml:space="preserve"> </w:t>
    </w:r>
    <w:r>
      <w:rPr>
        <w:rFonts w:ascii="Times New Roman"/>
        <w:b/>
        <w:sz w:val="24"/>
      </w:rPr>
      <w:t>ELECTRIC</w:t>
    </w:r>
    <w:r>
      <w:rPr>
        <w:rFonts w:ascii="Times New Roman"/>
        <w:b/>
        <w:spacing w:val="-1"/>
        <w:sz w:val="24"/>
      </w:rPr>
      <w:t xml:space="preserve"> </w:t>
    </w:r>
    <w:r>
      <w:rPr>
        <w:rFonts w:ascii="Times New Roman"/>
        <w:b/>
        <w:sz w:val="24"/>
      </w:rPr>
      <w:t>TRANSMISSION</w:t>
    </w:r>
    <w:r>
      <w:rPr>
        <w:rFonts w:ascii="Times New Roman"/>
        <w:b/>
        <w:spacing w:val="-2"/>
        <w:sz w:val="24"/>
      </w:rPr>
      <w:t xml:space="preserve"> </w:t>
    </w:r>
    <w:r>
      <w:rPr>
        <w:rFonts w:ascii="Times New Roman"/>
        <w:b/>
        <w:sz w:val="24"/>
      </w:rPr>
      <w:t>RATES</w:t>
    </w:r>
    <w:r w:rsidR="004C38A1">
      <w:rPr>
        <w:rFonts w:ascii="Times New Roman"/>
        <w:b/>
        <w:sz w:val="24"/>
      </w:rPr>
      <w:t xml:space="preserve"> </w:t>
    </w:r>
  </w:p>
  <w:p w:rsidR="004C38A1" w:rsidRDefault="004C38A1" w:rsidP="00BD1EB8">
    <w:pPr>
      <w:spacing w:line="271" w:lineRule="exact"/>
      <w:ind w:left="835" w:right="835"/>
      <w:jc w:val="center"/>
      <w:rPr>
        <w:rFonts w:ascii="Times New Roman" w:eastAsia="Times New Roman" w:hAnsi="Times New Roman" w:cs="Times New Roman"/>
        <w:sz w:val="24"/>
        <w:szCs w:val="24"/>
      </w:rPr>
    </w:pPr>
    <w:r>
      <w:rPr>
        <w:rFonts w:ascii="Times New Roman"/>
        <w:b/>
        <w:sz w:val="24"/>
      </w:rPr>
      <w:t>Revision 1</w:t>
    </w:r>
  </w:p>
  <w:p w:rsidR="009848DB" w:rsidRDefault="009848DB" w:rsidP="00BD1EB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2653"/>
    <w:multiLevelType w:val="hybridMultilevel"/>
    <w:tmpl w:val="E65AB012"/>
    <w:lvl w:ilvl="0" w:tplc="D0F249BC">
      <w:start w:val="1"/>
      <w:numFmt w:val="lowerLetter"/>
      <w:lvlText w:val="(%1)"/>
      <w:lvlJc w:val="left"/>
      <w:pPr>
        <w:ind w:left="480" w:hanging="360"/>
      </w:pPr>
      <w:rPr>
        <w:rFonts w:ascii="Times New Roman" w:eastAsia="Times New Roman" w:hAnsi="Times New Roman"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A08AD"/>
    <w:multiLevelType w:val="hybridMultilevel"/>
    <w:tmpl w:val="FCBA16EE"/>
    <w:lvl w:ilvl="0" w:tplc="3572CD10">
      <w:start w:val="1"/>
      <w:numFmt w:val="lowerLetter"/>
      <w:lvlText w:val="(%1)"/>
      <w:lvlJc w:val="left"/>
      <w:pPr>
        <w:ind w:left="480" w:hanging="360"/>
      </w:pPr>
      <w:rPr>
        <w:rFonts w:ascii="Times New Roman" w:eastAsia="Times New Roman" w:hAnsi="Times New Roman"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09322A"/>
    <w:multiLevelType w:val="hybridMultilevel"/>
    <w:tmpl w:val="799CEBCA"/>
    <w:lvl w:ilvl="0" w:tplc="7958C1BE">
      <w:start w:val="1"/>
      <w:numFmt w:val="lowerLetter"/>
      <w:lvlText w:val="(%1)"/>
      <w:lvlJc w:val="left"/>
      <w:pPr>
        <w:ind w:left="460" w:hanging="360"/>
      </w:pPr>
      <w:rPr>
        <w:rFonts w:ascii="Times New Roman" w:eastAsia="Times New Roman" w:hAnsi="Times New Roman"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BB2A9E"/>
    <w:multiLevelType w:val="hybridMultilevel"/>
    <w:tmpl w:val="4498F5DE"/>
    <w:lvl w:ilvl="0" w:tplc="655C053E">
      <w:start w:val="1"/>
      <w:numFmt w:val="lowerLetter"/>
      <w:lvlText w:val="(%1)"/>
      <w:lvlJc w:val="left"/>
      <w:pPr>
        <w:ind w:left="460" w:hanging="360"/>
      </w:pPr>
      <w:rPr>
        <w:rFonts w:ascii="Times New Roman" w:eastAsia="Times New Roman" w:hAnsi="Times New Roman" w:hint="default"/>
        <w:w w:val="99"/>
        <w:sz w:val="24"/>
        <w:szCs w:val="24"/>
      </w:rPr>
    </w:lvl>
    <w:lvl w:ilvl="1" w:tplc="7F32124C">
      <w:start w:val="1"/>
      <w:numFmt w:val="lowerRoman"/>
      <w:lvlText w:val="(%2)"/>
      <w:lvlJc w:val="left"/>
      <w:pPr>
        <w:ind w:left="460" w:hanging="300"/>
      </w:pPr>
      <w:rPr>
        <w:rFonts w:ascii="Times New Roman" w:eastAsia="Times New Roman" w:hAnsi="Times New Roman" w:hint="default"/>
        <w:w w:val="99"/>
        <w:sz w:val="24"/>
        <w:szCs w:val="24"/>
      </w:rPr>
    </w:lvl>
    <w:lvl w:ilvl="2" w:tplc="4E3A76C2">
      <w:start w:val="1"/>
      <w:numFmt w:val="bullet"/>
      <w:lvlText w:val="•"/>
      <w:lvlJc w:val="left"/>
      <w:pPr>
        <w:ind w:left="2272" w:hanging="300"/>
      </w:pPr>
      <w:rPr>
        <w:rFonts w:hint="default"/>
      </w:rPr>
    </w:lvl>
    <w:lvl w:ilvl="3" w:tplc="65EEFB22">
      <w:start w:val="1"/>
      <w:numFmt w:val="bullet"/>
      <w:lvlText w:val="•"/>
      <w:lvlJc w:val="left"/>
      <w:pPr>
        <w:ind w:left="3178" w:hanging="300"/>
      </w:pPr>
      <w:rPr>
        <w:rFonts w:hint="default"/>
      </w:rPr>
    </w:lvl>
    <w:lvl w:ilvl="4" w:tplc="DEA4D38C">
      <w:start w:val="1"/>
      <w:numFmt w:val="bullet"/>
      <w:lvlText w:val="•"/>
      <w:lvlJc w:val="left"/>
      <w:pPr>
        <w:ind w:left="4084" w:hanging="300"/>
      </w:pPr>
      <w:rPr>
        <w:rFonts w:hint="default"/>
      </w:rPr>
    </w:lvl>
    <w:lvl w:ilvl="5" w:tplc="19E6FAC8">
      <w:start w:val="1"/>
      <w:numFmt w:val="bullet"/>
      <w:lvlText w:val="•"/>
      <w:lvlJc w:val="left"/>
      <w:pPr>
        <w:ind w:left="4990" w:hanging="300"/>
      </w:pPr>
      <w:rPr>
        <w:rFonts w:hint="default"/>
      </w:rPr>
    </w:lvl>
    <w:lvl w:ilvl="6" w:tplc="6FFA3484">
      <w:start w:val="1"/>
      <w:numFmt w:val="bullet"/>
      <w:lvlText w:val="•"/>
      <w:lvlJc w:val="left"/>
      <w:pPr>
        <w:ind w:left="5896" w:hanging="300"/>
      </w:pPr>
      <w:rPr>
        <w:rFonts w:hint="default"/>
      </w:rPr>
    </w:lvl>
    <w:lvl w:ilvl="7" w:tplc="01903ADE">
      <w:start w:val="1"/>
      <w:numFmt w:val="bullet"/>
      <w:lvlText w:val="•"/>
      <w:lvlJc w:val="left"/>
      <w:pPr>
        <w:ind w:left="6802" w:hanging="300"/>
      </w:pPr>
      <w:rPr>
        <w:rFonts w:hint="default"/>
      </w:rPr>
    </w:lvl>
    <w:lvl w:ilvl="8" w:tplc="BBA08540">
      <w:start w:val="1"/>
      <w:numFmt w:val="bullet"/>
      <w:lvlText w:val="•"/>
      <w:lvlJc w:val="left"/>
      <w:pPr>
        <w:ind w:left="7708" w:hanging="300"/>
      </w:pPr>
      <w:rPr>
        <w:rFonts w:hint="default"/>
      </w:rPr>
    </w:lvl>
  </w:abstractNum>
  <w:abstractNum w:abstractNumId="4">
    <w:nsid w:val="127124D7"/>
    <w:multiLevelType w:val="hybridMultilevel"/>
    <w:tmpl w:val="21A64AE2"/>
    <w:lvl w:ilvl="0" w:tplc="502C24C2">
      <w:start w:val="1"/>
      <w:numFmt w:val="lowerLetter"/>
      <w:lvlText w:val="(%1)"/>
      <w:lvlJc w:val="left"/>
      <w:pPr>
        <w:ind w:left="460" w:hanging="360"/>
      </w:pPr>
      <w:rPr>
        <w:rFonts w:ascii="Times New Roman" w:eastAsia="Times New Roman" w:hAnsi="Times New Roman" w:hint="default"/>
        <w:w w:val="99"/>
        <w:sz w:val="24"/>
        <w:szCs w:val="24"/>
      </w:rPr>
    </w:lvl>
    <w:lvl w:ilvl="1" w:tplc="6CC2E604">
      <w:start w:val="1"/>
      <w:numFmt w:val="bullet"/>
      <w:lvlText w:val="•"/>
      <w:lvlJc w:val="left"/>
      <w:pPr>
        <w:ind w:left="1364" w:hanging="360"/>
      </w:pPr>
      <w:rPr>
        <w:rFonts w:hint="default"/>
      </w:rPr>
    </w:lvl>
    <w:lvl w:ilvl="2" w:tplc="C7C46566">
      <w:start w:val="1"/>
      <w:numFmt w:val="bullet"/>
      <w:lvlText w:val="•"/>
      <w:lvlJc w:val="left"/>
      <w:pPr>
        <w:ind w:left="2268" w:hanging="360"/>
      </w:pPr>
      <w:rPr>
        <w:rFonts w:hint="default"/>
      </w:rPr>
    </w:lvl>
    <w:lvl w:ilvl="3" w:tplc="7A04530A">
      <w:start w:val="1"/>
      <w:numFmt w:val="bullet"/>
      <w:lvlText w:val="•"/>
      <w:lvlJc w:val="left"/>
      <w:pPr>
        <w:ind w:left="3172" w:hanging="360"/>
      </w:pPr>
      <w:rPr>
        <w:rFonts w:hint="default"/>
      </w:rPr>
    </w:lvl>
    <w:lvl w:ilvl="4" w:tplc="419C51A2">
      <w:start w:val="1"/>
      <w:numFmt w:val="bullet"/>
      <w:lvlText w:val="•"/>
      <w:lvlJc w:val="left"/>
      <w:pPr>
        <w:ind w:left="4076" w:hanging="360"/>
      </w:pPr>
      <w:rPr>
        <w:rFonts w:hint="default"/>
      </w:rPr>
    </w:lvl>
    <w:lvl w:ilvl="5" w:tplc="37CA91EE">
      <w:start w:val="1"/>
      <w:numFmt w:val="bullet"/>
      <w:lvlText w:val="•"/>
      <w:lvlJc w:val="left"/>
      <w:pPr>
        <w:ind w:left="4980" w:hanging="360"/>
      </w:pPr>
      <w:rPr>
        <w:rFonts w:hint="default"/>
      </w:rPr>
    </w:lvl>
    <w:lvl w:ilvl="6" w:tplc="C9541294">
      <w:start w:val="1"/>
      <w:numFmt w:val="bullet"/>
      <w:lvlText w:val="•"/>
      <w:lvlJc w:val="left"/>
      <w:pPr>
        <w:ind w:left="5884" w:hanging="360"/>
      </w:pPr>
      <w:rPr>
        <w:rFonts w:hint="default"/>
      </w:rPr>
    </w:lvl>
    <w:lvl w:ilvl="7" w:tplc="33DABF8C">
      <w:start w:val="1"/>
      <w:numFmt w:val="bullet"/>
      <w:lvlText w:val="•"/>
      <w:lvlJc w:val="left"/>
      <w:pPr>
        <w:ind w:left="6788" w:hanging="360"/>
      </w:pPr>
      <w:rPr>
        <w:rFonts w:hint="default"/>
      </w:rPr>
    </w:lvl>
    <w:lvl w:ilvl="8" w:tplc="0B90F046">
      <w:start w:val="1"/>
      <w:numFmt w:val="bullet"/>
      <w:lvlText w:val="•"/>
      <w:lvlJc w:val="left"/>
      <w:pPr>
        <w:ind w:left="7692" w:hanging="360"/>
      </w:pPr>
      <w:rPr>
        <w:rFonts w:hint="default"/>
      </w:rPr>
    </w:lvl>
  </w:abstractNum>
  <w:abstractNum w:abstractNumId="5">
    <w:nsid w:val="190A49AC"/>
    <w:multiLevelType w:val="hybridMultilevel"/>
    <w:tmpl w:val="3D4AC108"/>
    <w:lvl w:ilvl="0" w:tplc="875A07C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93660A7"/>
    <w:multiLevelType w:val="hybridMultilevel"/>
    <w:tmpl w:val="090EC2F2"/>
    <w:lvl w:ilvl="0" w:tplc="60DAEB48">
      <w:start w:val="1"/>
      <w:numFmt w:val="lowerLetter"/>
      <w:lvlText w:val="(%1)"/>
      <w:lvlJc w:val="left"/>
      <w:pPr>
        <w:ind w:left="460" w:hanging="360"/>
      </w:pPr>
      <w:rPr>
        <w:rFonts w:ascii="Times New Roman" w:eastAsia="Times New Roman" w:hAnsi="Times New Roman" w:hint="default"/>
        <w:w w:val="99"/>
        <w:sz w:val="24"/>
        <w:szCs w:val="24"/>
      </w:rPr>
    </w:lvl>
    <w:lvl w:ilvl="1" w:tplc="D9785C36">
      <w:start w:val="1"/>
      <w:numFmt w:val="bullet"/>
      <w:lvlText w:val="•"/>
      <w:lvlJc w:val="left"/>
      <w:pPr>
        <w:ind w:left="1364" w:hanging="360"/>
      </w:pPr>
      <w:rPr>
        <w:rFonts w:hint="default"/>
      </w:rPr>
    </w:lvl>
    <w:lvl w:ilvl="2" w:tplc="1EEE1A4E">
      <w:start w:val="1"/>
      <w:numFmt w:val="bullet"/>
      <w:lvlText w:val="•"/>
      <w:lvlJc w:val="left"/>
      <w:pPr>
        <w:ind w:left="2268" w:hanging="360"/>
      </w:pPr>
      <w:rPr>
        <w:rFonts w:hint="default"/>
      </w:rPr>
    </w:lvl>
    <w:lvl w:ilvl="3" w:tplc="7BB404E8">
      <w:start w:val="1"/>
      <w:numFmt w:val="bullet"/>
      <w:lvlText w:val="•"/>
      <w:lvlJc w:val="left"/>
      <w:pPr>
        <w:ind w:left="3172" w:hanging="360"/>
      </w:pPr>
      <w:rPr>
        <w:rFonts w:hint="default"/>
      </w:rPr>
    </w:lvl>
    <w:lvl w:ilvl="4" w:tplc="89AE408C">
      <w:start w:val="1"/>
      <w:numFmt w:val="bullet"/>
      <w:lvlText w:val="•"/>
      <w:lvlJc w:val="left"/>
      <w:pPr>
        <w:ind w:left="4076" w:hanging="360"/>
      </w:pPr>
      <w:rPr>
        <w:rFonts w:hint="default"/>
      </w:rPr>
    </w:lvl>
    <w:lvl w:ilvl="5" w:tplc="8C342EB0">
      <w:start w:val="1"/>
      <w:numFmt w:val="bullet"/>
      <w:lvlText w:val="•"/>
      <w:lvlJc w:val="left"/>
      <w:pPr>
        <w:ind w:left="4980" w:hanging="360"/>
      </w:pPr>
      <w:rPr>
        <w:rFonts w:hint="default"/>
      </w:rPr>
    </w:lvl>
    <w:lvl w:ilvl="6" w:tplc="A0C2B34C">
      <w:start w:val="1"/>
      <w:numFmt w:val="bullet"/>
      <w:lvlText w:val="•"/>
      <w:lvlJc w:val="left"/>
      <w:pPr>
        <w:ind w:left="5884" w:hanging="360"/>
      </w:pPr>
      <w:rPr>
        <w:rFonts w:hint="default"/>
      </w:rPr>
    </w:lvl>
    <w:lvl w:ilvl="7" w:tplc="E2F8E9AA">
      <w:start w:val="1"/>
      <w:numFmt w:val="bullet"/>
      <w:lvlText w:val="•"/>
      <w:lvlJc w:val="left"/>
      <w:pPr>
        <w:ind w:left="6788" w:hanging="360"/>
      </w:pPr>
      <w:rPr>
        <w:rFonts w:hint="default"/>
      </w:rPr>
    </w:lvl>
    <w:lvl w:ilvl="8" w:tplc="B9A8FF44">
      <w:start w:val="1"/>
      <w:numFmt w:val="bullet"/>
      <w:lvlText w:val="•"/>
      <w:lvlJc w:val="left"/>
      <w:pPr>
        <w:ind w:left="7692" w:hanging="360"/>
      </w:pPr>
      <w:rPr>
        <w:rFonts w:hint="default"/>
      </w:rPr>
    </w:lvl>
  </w:abstractNum>
  <w:abstractNum w:abstractNumId="7">
    <w:nsid w:val="1A7A654D"/>
    <w:multiLevelType w:val="hybridMultilevel"/>
    <w:tmpl w:val="2F7881E0"/>
    <w:lvl w:ilvl="0" w:tplc="EAECF666">
      <w:start w:val="1"/>
      <w:numFmt w:val="lowerLetter"/>
      <w:lvlText w:val="(%1)"/>
      <w:lvlJc w:val="left"/>
      <w:pPr>
        <w:ind w:left="460" w:hanging="360"/>
      </w:pPr>
      <w:rPr>
        <w:rFonts w:ascii="Times New Roman" w:eastAsia="Times New Roman" w:hAnsi="Times New Roman" w:hint="default"/>
        <w:w w:val="99"/>
        <w:sz w:val="24"/>
        <w:szCs w:val="24"/>
      </w:rPr>
    </w:lvl>
    <w:lvl w:ilvl="1" w:tplc="3E4409B0">
      <w:start w:val="1"/>
      <w:numFmt w:val="bullet"/>
      <w:lvlText w:val="•"/>
      <w:lvlJc w:val="left"/>
      <w:pPr>
        <w:ind w:left="1362" w:hanging="360"/>
      </w:pPr>
      <w:rPr>
        <w:rFonts w:hint="default"/>
      </w:rPr>
    </w:lvl>
    <w:lvl w:ilvl="2" w:tplc="086C8D90">
      <w:start w:val="1"/>
      <w:numFmt w:val="bullet"/>
      <w:lvlText w:val="•"/>
      <w:lvlJc w:val="left"/>
      <w:pPr>
        <w:ind w:left="2264" w:hanging="360"/>
      </w:pPr>
      <w:rPr>
        <w:rFonts w:hint="default"/>
      </w:rPr>
    </w:lvl>
    <w:lvl w:ilvl="3" w:tplc="3BE417A6">
      <w:start w:val="1"/>
      <w:numFmt w:val="bullet"/>
      <w:lvlText w:val="•"/>
      <w:lvlJc w:val="left"/>
      <w:pPr>
        <w:ind w:left="3166" w:hanging="360"/>
      </w:pPr>
      <w:rPr>
        <w:rFonts w:hint="default"/>
      </w:rPr>
    </w:lvl>
    <w:lvl w:ilvl="4" w:tplc="906C0434">
      <w:start w:val="1"/>
      <w:numFmt w:val="bullet"/>
      <w:lvlText w:val="•"/>
      <w:lvlJc w:val="left"/>
      <w:pPr>
        <w:ind w:left="4068" w:hanging="360"/>
      </w:pPr>
      <w:rPr>
        <w:rFonts w:hint="default"/>
      </w:rPr>
    </w:lvl>
    <w:lvl w:ilvl="5" w:tplc="C2A4B266">
      <w:start w:val="1"/>
      <w:numFmt w:val="bullet"/>
      <w:lvlText w:val="•"/>
      <w:lvlJc w:val="left"/>
      <w:pPr>
        <w:ind w:left="4970" w:hanging="360"/>
      </w:pPr>
      <w:rPr>
        <w:rFonts w:hint="default"/>
      </w:rPr>
    </w:lvl>
    <w:lvl w:ilvl="6" w:tplc="A256605C">
      <w:start w:val="1"/>
      <w:numFmt w:val="bullet"/>
      <w:lvlText w:val="•"/>
      <w:lvlJc w:val="left"/>
      <w:pPr>
        <w:ind w:left="5872" w:hanging="360"/>
      </w:pPr>
      <w:rPr>
        <w:rFonts w:hint="default"/>
      </w:rPr>
    </w:lvl>
    <w:lvl w:ilvl="7" w:tplc="18D645A6">
      <w:start w:val="1"/>
      <w:numFmt w:val="bullet"/>
      <w:lvlText w:val="•"/>
      <w:lvlJc w:val="left"/>
      <w:pPr>
        <w:ind w:left="6774" w:hanging="360"/>
      </w:pPr>
      <w:rPr>
        <w:rFonts w:hint="default"/>
      </w:rPr>
    </w:lvl>
    <w:lvl w:ilvl="8" w:tplc="4564939A">
      <w:start w:val="1"/>
      <w:numFmt w:val="bullet"/>
      <w:lvlText w:val="•"/>
      <w:lvlJc w:val="left"/>
      <w:pPr>
        <w:ind w:left="7676" w:hanging="360"/>
      </w:pPr>
      <w:rPr>
        <w:rFonts w:hint="default"/>
      </w:rPr>
    </w:lvl>
  </w:abstractNum>
  <w:abstractNum w:abstractNumId="8">
    <w:nsid w:val="1C536484"/>
    <w:multiLevelType w:val="hybridMultilevel"/>
    <w:tmpl w:val="B5004B1E"/>
    <w:lvl w:ilvl="0" w:tplc="0F1C29DA">
      <w:start w:val="1"/>
      <w:numFmt w:val="lowerLetter"/>
      <w:lvlText w:val="(%1)"/>
      <w:lvlJc w:val="left"/>
      <w:pPr>
        <w:ind w:left="460" w:hanging="360"/>
      </w:pPr>
      <w:rPr>
        <w:rFonts w:ascii="Times New Roman" w:eastAsia="Times New Roman" w:hAnsi="Times New Roman" w:hint="default"/>
        <w:w w:val="99"/>
        <w:sz w:val="24"/>
        <w:szCs w:val="24"/>
      </w:rPr>
    </w:lvl>
    <w:lvl w:ilvl="1" w:tplc="1DDCED44">
      <w:start w:val="1"/>
      <w:numFmt w:val="bullet"/>
      <w:lvlText w:val="•"/>
      <w:lvlJc w:val="left"/>
      <w:pPr>
        <w:ind w:left="1362" w:hanging="360"/>
      </w:pPr>
      <w:rPr>
        <w:rFonts w:hint="default"/>
      </w:rPr>
    </w:lvl>
    <w:lvl w:ilvl="2" w:tplc="013A9030">
      <w:start w:val="1"/>
      <w:numFmt w:val="bullet"/>
      <w:lvlText w:val="•"/>
      <w:lvlJc w:val="left"/>
      <w:pPr>
        <w:ind w:left="2264" w:hanging="360"/>
      </w:pPr>
      <w:rPr>
        <w:rFonts w:hint="default"/>
      </w:rPr>
    </w:lvl>
    <w:lvl w:ilvl="3" w:tplc="0938F998">
      <w:start w:val="1"/>
      <w:numFmt w:val="bullet"/>
      <w:lvlText w:val="•"/>
      <w:lvlJc w:val="left"/>
      <w:pPr>
        <w:ind w:left="3166" w:hanging="360"/>
      </w:pPr>
      <w:rPr>
        <w:rFonts w:hint="default"/>
      </w:rPr>
    </w:lvl>
    <w:lvl w:ilvl="4" w:tplc="051A152C">
      <w:start w:val="1"/>
      <w:numFmt w:val="bullet"/>
      <w:lvlText w:val="•"/>
      <w:lvlJc w:val="left"/>
      <w:pPr>
        <w:ind w:left="4068" w:hanging="360"/>
      </w:pPr>
      <w:rPr>
        <w:rFonts w:hint="default"/>
      </w:rPr>
    </w:lvl>
    <w:lvl w:ilvl="5" w:tplc="B7E69F80">
      <w:start w:val="1"/>
      <w:numFmt w:val="bullet"/>
      <w:lvlText w:val="•"/>
      <w:lvlJc w:val="left"/>
      <w:pPr>
        <w:ind w:left="4970" w:hanging="360"/>
      </w:pPr>
      <w:rPr>
        <w:rFonts w:hint="default"/>
      </w:rPr>
    </w:lvl>
    <w:lvl w:ilvl="6" w:tplc="7E20F512">
      <w:start w:val="1"/>
      <w:numFmt w:val="bullet"/>
      <w:lvlText w:val="•"/>
      <w:lvlJc w:val="left"/>
      <w:pPr>
        <w:ind w:left="5872" w:hanging="360"/>
      </w:pPr>
      <w:rPr>
        <w:rFonts w:hint="default"/>
      </w:rPr>
    </w:lvl>
    <w:lvl w:ilvl="7" w:tplc="7ED2BDA8">
      <w:start w:val="1"/>
      <w:numFmt w:val="bullet"/>
      <w:lvlText w:val="•"/>
      <w:lvlJc w:val="left"/>
      <w:pPr>
        <w:ind w:left="6774" w:hanging="360"/>
      </w:pPr>
      <w:rPr>
        <w:rFonts w:hint="default"/>
      </w:rPr>
    </w:lvl>
    <w:lvl w:ilvl="8" w:tplc="85ACC03E">
      <w:start w:val="1"/>
      <w:numFmt w:val="bullet"/>
      <w:lvlText w:val="•"/>
      <w:lvlJc w:val="left"/>
      <w:pPr>
        <w:ind w:left="7676" w:hanging="360"/>
      </w:pPr>
      <w:rPr>
        <w:rFonts w:hint="default"/>
      </w:rPr>
    </w:lvl>
  </w:abstractNum>
  <w:abstractNum w:abstractNumId="9">
    <w:nsid w:val="1D2E1599"/>
    <w:multiLevelType w:val="hybridMultilevel"/>
    <w:tmpl w:val="60B800E0"/>
    <w:lvl w:ilvl="0" w:tplc="7F32124C">
      <w:start w:val="1"/>
      <w:numFmt w:val="lowerRoman"/>
      <w:lvlText w:val="(%1)"/>
      <w:lvlJc w:val="left"/>
      <w:pPr>
        <w:ind w:left="720" w:hanging="360"/>
      </w:pPr>
      <w:rPr>
        <w:rFonts w:ascii="Times New Roman" w:eastAsia="Times New Roman" w:hAnsi="Times New Roman"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476897"/>
    <w:multiLevelType w:val="hybridMultilevel"/>
    <w:tmpl w:val="4FE45E8C"/>
    <w:lvl w:ilvl="0" w:tplc="7F58FA12">
      <w:start w:val="1"/>
      <w:numFmt w:val="lowerLetter"/>
      <w:lvlText w:val="(%1)"/>
      <w:lvlJc w:val="left"/>
      <w:pPr>
        <w:ind w:left="460" w:hanging="360"/>
      </w:pPr>
      <w:rPr>
        <w:rFonts w:ascii="Times New Roman" w:eastAsia="Times New Roman" w:hAnsi="Times New Roman" w:hint="default"/>
        <w:w w:val="99"/>
        <w:sz w:val="24"/>
        <w:szCs w:val="24"/>
      </w:rPr>
    </w:lvl>
    <w:lvl w:ilvl="1" w:tplc="42E26E3A">
      <w:start w:val="1"/>
      <w:numFmt w:val="bullet"/>
      <w:lvlText w:val="•"/>
      <w:lvlJc w:val="left"/>
      <w:pPr>
        <w:ind w:left="1362" w:hanging="360"/>
      </w:pPr>
      <w:rPr>
        <w:rFonts w:hint="default"/>
      </w:rPr>
    </w:lvl>
    <w:lvl w:ilvl="2" w:tplc="25BE5B56">
      <w:start w:val="1"/>
      <w:numFmt w:val="bullet"/>
      <w:lvlText w:val="•"/>
      <w:lvlJc w:val="left"/>
      <w:pPr>
        <w:ind w:left="2264" w:hanging="360"/>
      </w:pPr>
      <w:rPr>
        <w:rFonts w:hint="default"/>
      </w:rPr>
    </w:lvl>
    <w:lvl w:ilvl="3" w:tplc="7F707508">
      <w:start w:val="1"/>
      <w:numFmt w:val="bullet"/>
      <w:lvlText w:val="•"/>
      <w:lvlJc w:val="left"/>
      <w:pPr>
        <w:ind w:left="3166" w:hanging="360"/>
      </w:pPr>
      <w:rPr>
        <w:rFonts w:hint="default"/>
      </w:rPr>
    </w:lvl>
    <w:lvl w:ilvl="4" w:tplc="21341BFE">
      <w:start w:val="1"/>
      <w:numFmt w:val="bullet"/>
      <w:lvlText w:val="•"/>
      <w:lvlJc w:val="left"/>
      <w:pPr>
        <w:ind w:left="4068" w:hanging="360"/>
      </w:pPr>
      <w:rPr>
        <w:rFonts w:hint="default"/>
      </w:rPr>
    </w:lvl>
    <w:lvl w:ilvl="5" w:tplc="5AE2EACE">
      <w:start w:val="1"/>
      <w:numFmt w:val="bullet"/>
      <w:lvlText w:val="•"/>
      <w:lvlJc w:val="left"/>
      <w:pPr>
        <w:ind w:left="4970" w:hanging="360"/>
      </w:pPr>
      <w:rPr>
        <w:rFonts w:hint="default"/>
      </w:rPr>
    </w:lvl>
    <w:lvl w:ilvl="6" w:tplc="88CA1E10">
      <w:start w:val="1"/>
      <w:numFmt w:val="bullet"/>
      <w:lvlText w:val="•"/>
      <w:lvlJc w:val="left"/>
      <w:pPr>
        <w:ind w:left="5872" w:hanging="360"/>
      </w:pPr>
      <w:rPr>
        <w:rFonts w:hint="default"/>
      </w:rPr>
    </w:lvl>
    <w:lvl w:ilvl="7" w:tplc="CDEE9DD4">
      <w:start w:val="1"/>
      <w:numFmt w:val="bullet"/>
      <w:lvlText w:val="•"/>
      <w:lvlJc w:val="left"/>
      <w:pPr>
        <w:ind w:left="6774" w:hanging="360"/>
      </w:pPr>
      <w:rPr>
        <w:rFonts w:hint="default"/>
      </w:rPr>
    </w:lvl>
    <w:lvl w:ilvl="8" w:tplc="655E4472">
      <w:start w:val="1"/>
      <w:numFmt w:val="bullet"/>
      <w:lvlText w:val="•"/>
      <w:lvlJc w:val="left"/>
      <w:pPr>
        <w:ind w:left="7676" w:hanging="360"/>
      </w:pPr>
      <w:rPr>
        <w:rFonts w:hint="default"/>
      </w:rPr>
    </w:lvl>
  </w:abstractNum>
  <w:abstractNum w:abstractNumId="11">
    <w:nsid w:val="1D922308"/>
    <w:multiLevelType w:val="hybridMultilevel"/>
    <w:tmpl w:val="612C6C92"/>
    <w:lvl w:ilvl="0" w:tplc="B530A06A">
      <w:start w:val="1"/>
      <w:numFmt w:val="lowerLetter"/>
      <w:lvlText w:val="(%1)"/>
      <w:lvlJc w:val="left"/>
      <w:pPr>
        <w:ind w:left="460" w:hanging="360"/>
      </w:pPr>
      <w:rPr>
        <w:rFonts w:ascii="Times New Roman" w:eastAsia="Times New Roman" w:hAnsi="Times New Roman" w:hint="default"/>
        <w:w w:val="99"/>
        <w:sz w:val="24"/>
        <w:szCs w:val="24"/>
      </w:rPr>
    </w:lvl>
    <w:lvl w:ilvl="1" w:tplc="7F904AF8">
      <w:start w:val="1"/>
      <w:numFmt w:val="bullet"/>
      <w:lvlText w:val="•"/>
      <w:lvlJc w:val="left"/>
      <w:pPr>
        <w:ind w:left="1370" w:hanging="360"/>
      </w:pPr>
      <w:rPr>
        <w:rFonts w:hint="default"/>
      </w:rPr>
    </w:lvl>
    <w:lvl w:ilvl="2" w:tplc="905A3768">
      <w:start w:val="1"/>
      <w:numFmt w:val="bullet"/>
      <w:lvlText w:val="•"/>
      <w:lvlJc w:val="left"/>
      <w:pPr>
        <w:ind w:left="2280" w:hanging="360"/>
      </w:pPr>
      <w:rPr>
        <w:rFonts w:hint="default"/>
      </w:rPr>
    </w:lvl>
    <w:lvl w:ilvl="3" w:tplc="DF98797C">
      <w:start w:val="1"/>
      <w:numFmt w:val="bullet"/>
      <w:lvlText w:val="•"/>
      <w:lvlJc w:val="left"/>
      <w:pPr>
        <w:ind w:left="3190" w:hanging="360"/>
      </w:pPr>
      <w:rPr>
        <w:rFonts w:hint="default"/>
      </w:rPr>
    </w:lvl>
    <w:lvl w:ilvl="4" w:tplc="11C630DA">
      <w:start w:val="1"/>
      <w:numFmt w:val="bullet"/>
      <w:lvlText w:val="•"/>
      <w:lvlJc w:val="left"/>
      <w:pPr>
        <w:ind w:left="4100" w:hanging="360"/>
      </w:pPr>
      <w:rPr>
        <w:rFonts w:hint="default"/>
      </w:rPr>
    </w:lvl>
    <w:lvl w:ilvl="5" w:tplc="8362DEB0">
      <w:start w:val="1"/>
      <w:numFmt w:val="bullet"/>
      <w:lvlText w:val="•"/>
      <w:lvlJc w:val="left"/>
      <w:pPr>
        <w:ind w:left="5010" w:hanging="360"/>
      </w:pPr>
      <w:rPr>
        <w:rFonts w:hint="default"/>
      </w:rPr>
    </w:lvl>
    <w:lvl w:ilvl="6" w:tplc="C652DCA6">
      <w:start w:val="1"/>
      <w:numFmt w:val="bullet"/>
      <w:lvlText w:val="•"/>
      <w:lvlJc w:val="left"/>
      <w:pPr>
        <w:ind w:left="5920" w:hanging="360"/>
      </w:pPr>
      <w:rPr>
        <w:rFonts w:hint="default"/>
      </w:rPr>
    </w:lvl>
    <w:lvl w:ilvl="7" w:tplc="75D25BF4">
      <w:start w:val="1"/>
      <w:numFmt w:val="bullet"/>
      <w:lvlText w:val="•"/>
      <w:lvlJc w:val="left"/>
      <w:pPr>
        <w:ind w:left="6830" w:hanging="360"/>
      </w:pPr>
      <w:rPr>
        <w:rFonts w:hint="default"/>
      </w:rPr>
    </w:lvl>
    <w:lvl w:ilvl="8" w:tplc="2AAC94E2">
      <w:start w:val="1"/>
      <w:numFmt w:val="bullet"/>
      <w:lvlText w:val="•"/>
      <w:lvlJc w:val="left"/>
      <w:pPr>
        <w:ind w:left="7740" w:hanging="360"/>
      </w:pPr>
      <w:rPr>
        <w:rFonts w:hint="default"/>
      </w:rPr>
    </w:lvl>
  </w:abstractNum>
  <w:abstractNum w:abstractNumId="12">
    <w:nsid w:val="1EC2369C"/>
    <w:multiLevelType w:val="hybridMultilevel"/>
    <w:tmpl w:val="506A4E68"/>
    <w:lvl w:ilvl="0" w:tplc="5A7841A2">
      <w:start w:val="1"/>
      <w:numFmt w:val="lowerLetter"/>
      <w:lvlText w:val="(%1)"/>
      <w:lvlJc w:val="left"/>
      <w:pPr>
        <w:ind w:left="460" w:hanging="360"/>
      </w:pPr>
      <w:rPr>
        <w:rFonts w:ascii="Times New Roman" w:eastAsia="Times New Roman" w:hAnsi="Times New Roman" w:hint="default"/>
        <w:w w:val="99"/>
        <w:sz w:val="24"/>
        <w:szCs w:val="24"/>
      </w:rPr>
    </w:lvl>
    <w:lvl w:ilvl="1" w:tplc="65F2541C">
      <w:start w:val="1"/>
      <w:numFmt w:val="bullet"/>
      <w:lvlText w:val="•"/>
      <w:lvlJc w:val="left"/>
      <w:pPr>
        <w:ind w:left="1366" w:hanging="360"/>
      </w:pPr>
      <w:rPr>
        <w:rFonts w:hint="default"/>
      </w:rPr>
    </w:lvl>
    <w:lvl w:ilvl="2" w:tplc="1700C436">
      <w:start w:val="1"/>
      <w:numFmt w:val="bullet"/>
      <w:lvlText w:val="•"/>
      <w:lvlJc w:val="left"/>
      <w:pPr>
        <w:ind w:left="2272" w:hanging="360"/>
      </w:pPr>
      <w:rPr>
        <w:rFonts w:hint="default"/>
      </w:rPr>
    </w:lvl>
    <w:lvl w:ilvl="3" w:tplc="EACAE046">
      <w:start w:val="1"/>
      <w:numFmt w:val="bullet"/>
      <w:lvlText w:val="•"/>
      <w:lvlJc w:val="left"/>
      <w:pPr>
        <w:ind w:left="3178" w:hanging="360"/>
      </w:pPr>
      <w:rPr>
        <w:rFonts w:hint="default"/>
      </w:rPr>
    </w:lvl>
    <w:lvl w:ilvl="4" w:tplc="8E9EBD46">
      <w:start w:val="1"/>
      <w:numFmt w:val="bullet"/>
      <w:lvlText w:val="•"/>
      <w:lvlJc w:val="left"/>
      <w:pPr>
        <w:ind w:left="4084" w:hanging="360"/>
      </w:pPr>
      <w:rPr>
        <w:rFonts w:hint="default"/>
      </w:rPr>
    </w:lvl>
    <w:lvl w:ilvl="5" w:tplc="988A8F92">
      <w:start w:val="1"/>
      <w:numFmt w:val="bullet"/>
      <w:lvlText w:val="•"/>
      <w:lvlJc w:val="left"/>
      <w:pPr>
        <w:ind w:left="4990" w:hanging="360"/>
      </w:pPr>
      <w:rPr>
        <w:rFonts w:hint="default"/>
      </w:rPr>
    </w:lvl>
    <w:lvl w:ilvl="6" w:tplc="7EFE61F0">
      <w:start w:val="1"/>
      <w:numFmt w:val="bullet"/>
      <w:lvlText w:val="•"/>
      <w:lvlJc w:val="left"/>
      <w:pPr>
        <w:ind w:left="5896" w:hanging="360"/>
      </w:pPr>
      <w:rPr>
        <w:rFonts w:hint="default"/>
      </w:rPr>
    </w:lvl>
    <w:lvl w:ilvl="7" w:tplc="9866151E">
      <w:start w:val="1"/>
      <w:numFmt w:val="bullet"/>
      <w:lvlText w:val="•"/>
      <w:lvlJc w:val="left"/>
      <w:pPr>
        <w:ind w:left="6802" w:hanging="360"/>
      </w:pPr>
      <w:rPr>
        <w:rFonts w:hint="default"/>
      </w:rPr>
    </w:lvl>
    <w:lvl w:ilvl="8" w:tplc="A6881F78">
      <w:start w:val="1"/>
      <w:numFmt w:val="bullet"/>
      <w:lvlText w:val="•"/>
      <w:lvlJc w:val="left"/>
      <w:pPr>
        <w:ind w:left="7708" w:hanging="360"/>
      </w:pPr>
      <w:rPr>
        <w:rFonts w:hint="default"/>
      </w:rPr>
    </w:lvl>
  </w:abstractNum>
  <w:abstractNum w:abstractNumId="13">
    <w:nsid w:val="248B12FE"/>
    <w:multiLevelType w:val="hybridMultilevel"/>
    <w:tmpl w:val="ABA69A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B135EE"/>
    <w:multiLevelType w:val="hybridMultilevel"/>
    <w:tmpl w:val="3650E99A"/>
    <w:lvl w:ilvl="0" w:tplc="7958C1BE">
      <w:start w:val="1"/>
      <w:numFmt w:val="lowerLetter"/>
      <w:lvlText w:val="(%1)"/>
      <w:lvlJc w:val="left"/>
      <w:pPr>
        <w:ind w:left="460" w:hanging="360"/>
      </w:pPr>
      <w:rPr>
        <w:rFonts w:ascii="Times New Roman" w:eastAsia="Times New Roman" w:hAnsi="Times New Roman" w:hint="default"/>
        <w:w w:val="99"/>
        <w:sz w:val="24"/>
        <w:szCs w:val="24"/>
      </w:rPr>
    </w:lvl>
    <w:lvl w:ilvl="1" w:tplc="213657A2">
      <w:start w:val="1"/>
      <w:numFmt w:val="bullet"/>
      <w:lvlText w:val="•"/>
      <w:lvlJc w:val="left"/>
      <w:pPr>
        <w:ind w:left="1370" w:hanging="360"/>
      </w:pPr>
      <w:rPr>
        <w:rFonts w:hint="default"/>
      </w:rPr>
    </w:lvl>
    <w:lvl w:ilvl="2" w:tplc="487642C6">
      <w:start w:val="1"/>
      <w:numFmt w:val="bullet"/>
      <w:lvlText w:val="•"/>
      <w:lvlJc w:val="left"/>
      <w:pPr>
        <w:ind w:left="2280" w:hanging="360"/>
      </w:pPr>
      <w:rPr>
        <w:rFonts w:hint="default"/>
      </w:rPr>
    </w:lvl>
    <w:lvl w:ilvl="3" w:tplc="07F4870E">
      <w:start w:val="1"/>
      <w:numFmt w:val="bullet"/>
      <w:lvlText w:val="•"/>
      <w:lvlJc w:val="left"/>
      <w:pPr>
        <w:ind w:left="3190" w:hanging="360"/>
      </w:pPr>
      <w:rPr>
        <w:rFonts w:hint="default"/>
      </w:rPr>
    </w:lvl>
    <w:lvl w:ilvl="4" w:tplc="CCB4C5D2">
      <w:start w:val="1"/>
      <w:numFmt w:val="bullet"/>
      <w:lvlText w:val="•"/>
      <w:lvlJc w:val="left"/>
      <w:pPr>
        <w:ind w:left="4100" w:hanging="360"/>
      </w:pPr>
      <w:rPr>
        <w:rFonts w:hint="default"/>
      </w:rPr>
    </w:lvl>
    <w:lvl w:ilvl="5" w:tplc="B9DE33EE">
      <w:start w:val="1"/>
      <w:numFmt w:val="bullet"/>
      <w:lvlText w:val="•"/>
      <w:lvlJc w:val="left"/>
      <w:pPr>
        <w:ind w:left="5010" w:hanging="360"/>
      </w:pPr>
      <w:rPr>
        <w:rFonts w:hint="default"/>
      </w:rPr>
    </w:lvl>
    <w:lvl w:ilvl="6" w:tplc="8152B68A">
      <w:start w:val="1"/>
      <w:numFmt w:val="bullet"/>
      <w:lvlText w:val="•"/>
      <w:lvlJc w:val="left"/>
      <w:pPr>
        <w:ind w:left="5920" w:hanging="360"/>
      </w:pPr>
      <w:rPr>
        <w:rFonts w:hint="default"/>
      </w:rPr>
    </w:lvl>
    <w:lvl w:ilvl="7" w:tplc="4490974E">
      <w:start w:val="1"/>
      <w:numFmt w:val="bullet"/>
      <w:lvlText w:val="•"/>
      <w:lvlJc w:val="left"/>
      <w:pPr>
        <w:ind w:left="6830" w:hanging="360"/>
      </w:pPr>
      <w:rPr>
        <w:rFonts w:hint="default"/>
      </w:rPr>
    </w:lvl>
    <w:lvl w:ilvl="8" w:tplc="0C708D00">
      <w:start w:val="1"/>
      <w:numFmt w:val="bullet"/>
      <w:lvlText w:val="•"/>
      <w:lvlJc w:val="left"/>
      <w:pPr>
        <w:ind w:left="7740" w:hanging="360"/>
      </w:pPr>
      <w:rPr>
        <w:rFonts w:hint="default"/>
      </w:rPr>
    </w:lvl>
  </w:abstractNum>
  <w:abstractNum w:abstractNumId="15">
    <w:nsid w:val="27AF1BCA"/>
    <w:multiLevelType w:val="hybridMultilevel"/>
    <w:tmpl w:val="A5CAB83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83D5A8F"/>
    <w:multiLevelType w:val="hybridMultilevel"/>
    <w:tmpl w:val="B03A1FEA"/>
    <w:lvl w:ilvl="0" w:tplc="9DEE1D50">
      <w:start w:val="1"/>
      <w:numFmt w:val="lowerLetter"/>
      <w:lvlText w:val="(%1)"/>
      <w:lvlJc w:val="left"/>
      <w:pPr>
        <w:ind w:left="460" w:hanging="360"/>
      </w:pPr>
      <w:rPr>
        <w:rFonts w:ascii="Times New Roman" w:eastAsia="Times New Roman" w:hAnsi="Times New Roman" w:hint="default"/>
        <w:w w:val="99"/>
        <w:sz w:val="24"/>
        <w:szCs w:val="24"/>
      </w:rPr>
    </w:lvl>
    <w:lvl w:ilvl="1" w:tplc="E07CB572">
      <w:start w:val="1"/>
      <w:numFmt w:val="bullet"/>
      <w:lvlText w:val="•"/>
      <w:lvlJc w:val="left"/>
      <w:pPr>
        <w:ind w:left="1370" w:hanging="360"/>
      </w:pPr>
      <w:rPr>
        <w:rFonts w:hint="default"/>
      </w:rPr>
    </w:lvl>
    <w:lvl w:ilvl="2" w:tplc="5746A3DC">
      <w:start w:val="1"/>
      <w:numFmt w:val="bullet"/>
      <w:lvlText w:val="•"/>
      <w:lvlJc w:val="left"/>
      <w:pPr>
        <w:ind w:left="2280" w:hanging="360"/>
      </w:pPr>
      <w:rPr>
        <w:rFonts w:hint="default"/>
      </w:rPr>
    </w:lvl>
    <w:lvl w:ilvl="3" w:tplc="A99C785C">
      <w:start w:val="1"/>
      <w:numFmt w:val="bullet"/>
      <w:lvlText w:val="•"/>
      <w:lvlJc w:val="left"/>
      <w:pPr>
        <w:ind w:left="3190" w:hanging="360"/>
      </w:pPr>
      <w:rPr>
        <w:rFonts w:hint="default"/>
      </w:rPr>
    </w:lvl>
    <w:lvl w:ilvl="4" w:tplc="FB0A5BC8">
      <w:start w:val="1"/>
      <w:numFmt w:val="bullet"/>
      <w:lvlText w:val="•"/>
      <w:lvlJc w:val="left"/>
      <w:pPr>
        <w:ind w:left="4100" w:hanging="360"/>
      </w:pPr>
      <w:rPr>
        <w:rFonts w:hint="default"/>
      </w:rPr>
    </w:lvl>
    <w:lvl w:ilvl="5" w:tplc="8722890E">
      <w:start w:val="1"/>
      <w:numFmt w:val="bullet"/>
      <w:lvlText w:val="•"/>
      <w:lvlJc w:val="left"/>
      <w:pPr>
        <w:ind w:left="5010" w:hanging="360"/>
      </w:pPr>
      <w:rPr>
        <w:rFonts w:hint="default"/>
      </w:rPr>
    </w:lvl>
    <w:lvl w:ilvl="6" w:tplc="86CCA99E">
      <w:start w:val="1"/>
      <w:numFmt w:val="bullet"/>
      <w:lvlText w:val="•"/>
      <w:lvlJc w:val="left"/>
      <w:pPr>
        <w:ind w:left="5920" w:hanging="360"/>
      </w:pPr>
      <w:rPr>
        <w:rFonts w:hint="default"/>
      </w:rPr>
    </w:lvl>
    <w:lvl w:ilvl="7" w:tplc="B074DCA2">
      <w:start w:val="1"/>
      <w:numFmt w:val="bullet"/>
      <w:lvlText w:val="•"/>
      <w:lvlJc w:val="left"/>
      <w:pPr>
        <w:ind w:left="6830" w:hanging="360"/>
      </w:pPr>
      <w:rPr>
        <w:rFonts w:hint="default"/>
      </w:rPr>
    </w:lvl>
    <w:lvl w:ilvl="8" w:tplc="E548905A">
      <w:start w:val="1"/>
      <w:numFmt w:val="bullet"/>
      <w:lvlText w:val="•"/>
      <w:lvlJc w:val="left"/>
      <w:pPr>
        <w:ind w:left="7740" w:hanging="360"/>
      </w:pPr>
      <w:rPr>
        <w:rFonts w:hint="default"/>
      </w:rPr>
    </w:lvl>
  </w:abstractNum>
  <w:abstractNum w:abstractNumId="17">
    <w:nsid w:val="29431760"/>
    <w:multiLevelType w:val="hybridMultilevel"/>
    <w:tmpl w:val="57665052"/>
    <w:lvl w:ilvl="0" w:tplc="C908F458">
      <w:start w:val="1"/>
      <w:numFmt w:val="lowerLetter"/>
      <w:lvlText w:val="(%1)"/>
      <w:lvlJc w:val="left"/>
      <w:pPr>
        <w:ind w:left="460" w:hanging="360"/>
      </w:pPr>
      <w:rPr>
        <w:rFonts w:ascii="Times New Roman" w:eastAsia="Times New Roman" w:hAnsi="Times New Roman" w:hint="default"/>
        <w:w w:val="99"/>
        <w:sz w:val="24"/>
        <w:szCs w:val="24"/>
      </w:rPr>
    </w:lvl>
    <w:lvl w:ilvl="1" w:tplc="6F2EB884">
      <w:start w:val="1"/>
      <w:numFmt w:val="bullet"/>
      <w:lvlText w:val="•"/>
      <w:lvlJc w:val="left"/>
      <w:pPr>
        <w:ind w:left="1370" w:hanging="360"/>
      </w:pPr>
      <w:rPr>
        <w:rFonts w:hint="default"/>
      </w:rPr>
    </w:lvl>
    <w:lvl w:ilvl="2" w:tplc="3DB6F6D2">
      <w:start w:val="1"/>
      <w:numFmt w:val="bullet"/>
      <w:lvlText w:val="•"/>
      <w:lvlJc w:val="left"/>
      <w:pPr>
        <w:ind w:left="2280" w:hanging="360"/>
      </w:pPr>
      <w:rPr>
        <w:rFonts w:hint="default"/>
      </w:rPr>
    </w:lvl>
    <w:lvl w:ilvl="3" w:tplc="8AAECB44">
      <w:start w:val="1"/>
      <w:numFmt w:val="bullet"/>
      <w:lvlText w:val="•"/>
      <w:lvlJc w:val="left"/>
      <w:pPr>
        <w:ind w:left="3190" w:hanging="360"/>
      </w:pPr>
      <w:rPr>
        <w:rFonts w:hint="default"/>
      </w:rPr>
    </w:lvl>
    <w:lvl w:ilvl="4" w:tplc="683637D2">
      <w:start w:val="1"/>
      <w:numFmt w:val="bullet"/>
      <w:lvlText w:val="•"/>
      <w:lvlJc w:val="left"/>
      <w:pPr>
        <w:ind w:left="4100" w:hanging="360"/>
      </w:pPr>
      <w:rPr>
        <w:rFonts w:hint="default"/>
      </w:rPr>
    </w:lvl>
    <w:lvl w:ilvl="5" w:tplc="D08C34FC">
      <w:start w:val="1"/>
      <w:numFmt w:val="bullet"/>
      <w:lvlText w:val="•"/>
      <w:lvlJc w:val="left"/>
      <w:pPr>
        <w:ind w:left="5010" w:hanging="360"/>
      </w:pPr>
      <w:rPr>
        <w:rFonts w:hint="default"/>
      </w:rPr>
    </w:lvl>
    <w:lvl w:ilvl="6" w:tplc="12882E4E">
      <w:start w:val="1"/>
      <w:numFmt w:val="bullet"/>
      <w:lvlText w:val="•"/>
      <w:lvlJc w:val="left"/>
      <w:pPr>
        <w:ind w:left="5920" w:hanging="360"/>
      </w:pPr>
      <w:rPr>
        <w:rFonts w:hint="default"/>
      </w:rPr>
    </w:lvl>
    <w:lvl w:ilvl="7" w:tplc="AAD4255A">
      <w:start w:val="1"/>
      <w:numFmt w:val="bullet"/>
      <w:lvlText w:val="•"/>
      <w:lvlJc w:val="left"/>
      <w:pPr>
        <w:ind w:left="6830" w:hanging="360"/>
      </w:pPr>
      <w:rPr>
        <w:rFonts w:hint="default"/>
      </w:rPr>
    </w:lvl>
    <w:lvl w:ilvl="8" w:tplc="65BEA526">
      <w:start w:val="1"/>
      <w:numFmt w:val="bullet"/>
      <w:lvlText w:val="•"/>
      <w:lvlJc w:val="left"/>
      <w:pPr>
        <w:ind w:left="7740" w:hanging="360"/>
      </w:pPr>
      <w:rPr>
        <w:rFonts w:hint="default"/>
      </w:rPr>
    </w:lvl>
  </w:abstractNum>
  <w:abstractNum w:abstractNumId="18">
    <w:nsid w:val="2ACB5A29"/>
    <w:multiLevelType w:val="hybridMultilevel"/>
    <w:tmpl w:val="4C52420A"/>
    <w:lvl w:ilvl="0" w:tplc="D0F249BC">
      <w:start w:val="1"/>
      <w:numFmt w:val="lowerLetter"/>
      <w:lvlText w:val="(%1)"/>
      <w:lvlJc w:val="left"/>
      <w:pPr>
        <w:ind w:left="480" w:hanging="360"/>
      </w:pPr>
      <w:rPr>
        <w:rFonts w:ascii="Times New Roman" w:eastAsia="Times New Roman" w:hAnsi="Times New Roman" w:hint="default"/>
        <w:w w:val="99"/>
        <w:sz w:val="24"/>
        <w:szCs w:val="24"/>
      </w:rPr>
    </w:lvl>
    <w:lvl w:ilvl="1" w:tplc="154E900E">
      <w:start w:val="1"/>
      <w:numFmt w:val="bullet"/>
      <w:lvlText w:val="•"/>
      <w:lvlJc w:val="left"/>
      <w:pPr>
        <w:ind w:left="1392" w:hanging="360"/>
      </w:pPr>
      <w:rPr>
        <w:rFonts w:hint="default"/>
      </w:rPr>
    </w:lvl>
    <w:lvl w:ilvl="2" w:tplc="E00CA60A">
      <w:start w:val="1"/>
      <w:numFmt w:val="bullet"/>
      <w:lvlText w:val="•"/>
      <w:lvlJc w:val="left"/>
      <w:pPr>
        <w:ind w:left="2304" w:hanging="360"/>
      </w:pPr>
      <w:rPr>
        <w:rFonts w:hint="default"/>
      </w:rPr>
    </w:lvl>
    <w:lvl w:ilvl="3" w:tplc="50CAECEC">
      <w:start w:val="1"/>
      <w:numFmt w:val="bullet"/>
      <w:lvlText w:val="•"/>
      <w:lvlJc w:val="left"/>
      <w:pPr>
        <w:ind w:left="3216" w:hanging="360"/>
      </w:pPr>
      <w:rPr>
        <w:rFonts w:hint="default"/>
      </w:rPr>
    </w:lvl>
    <w:lvl w:ilvl="4" w:tplc="D0A4CAF6">
      <w:start w:val="1"/>
      <w:numFmt w:val="bullet"/>
      <w:lvlText w:val="•"/>
      <w:lvlJc w:val="left"/>
      <w:pPr>
        <w:ind w:left="4128" w:hanging="360"/>
      </w:pPr>
      <w:rPr>
        <w:rFonts w:hint="default"/>
      </w:rPr>
    </w:lvl>
    <w:lvl w:ilvl="5" w:tplc="C8526690">
      <w:start w:val="1"/>
      <w:numFmt w:val="bullet"/>
      <w:lvlText w:val="•"/>
      <w:lvlJc w:val="left"/>
      <w:pPr>
        <w:ind w:left="5040" w:hanging="360"/>
      </w:pPr>
      <w:rPr>
        <w:rFonts w:hint="default"/>
      </w:rPr>
    </w:lvl>
    <w:lvl w:ilvl="6" w:tplc="0A1AD560">
      <w:start w:val="1"/>
      <w:numFmt w:val="bullet"/>
      <w:lvlText w:val="•"/>
      <w:lvlJc w:val="left"/>
      <w:pPr>
        <w:ind w:left="5952" w:hanging="360"/>
      </w:pPr>
      <w:rPr>
        <w:rFonts w:hint="default"/>
      </w:rPr>
    </w:lvl>
    <w:lvl w:ilvl="7" w:tplc="500423F4">
      <w:start w:val="1"/>
      <w:numFmt w:val="bullet"/>
      <w:lvlText w:val="•"/>
      <w:lvlJc w:val="left"/>
      <w:pPr>
        <w:ind w:left="6864" w:hanging="360"/>
      </w:pPr>
      <w:rPr>
        <w:rFonts w:hint="default"/>
      </w:rPr>
    </w:lvl>
    <w:lvl w:ilvl="8" w:tplc="BC16374C">
      <w:start w:val="1"/>
      <w:numFmt w:val="bullet"/>
      <w:lvlText w:val="•"/>
      <w:lvlJc w:val="left"/>
      <w:pPr>
        <w:ind w:left="7776" w:hanging="360"/>
      </w:pPr>
      <w:rPr>
        <w:rFonts w:hint="default"/>
      </w:rPr>
    </w:lvl>
  </w:abstractNum>
  <w:abstractNum w:abstractNumId="19">
    <w:nsid w:val="2EB936F9"/>
    <w:multiLevelType w:val="hybridMultilevel"/>
    <w:tmpl w:val="55D0778E"/>
    <w:lvl w:ilvl="0" w:tplc="17B01F2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3005CC"/>
    <w:multiLevelType w:val="hybridMultilevel"/>
    <w:tmpl w:val="0CBCDDA8"/>
    <w:lvl w:ilvl="0" w:tplc="099C062E">
      <w:start w:val="1"/>
      <w:numFmt w:val="lowerLetter"/>
      <w:lvlText w:val="(%1)"/>
      <w:lvlJc w:val="left"/>
      <w:pPr>
        <w:ind w:left="460" w:hanging="360"/>
      </w:pPr>
      <w:rPr>
        <w:rFonts w:ascii="Times New Roman" w:eastAsia="Times New Roman" w:hAnsi="Times New Roman" w:hint="default"/>
        <w:w w:val="99"/>
        <w:sz w:val="24"/>
        <w:szCs w:val="24"/>
      </w:rPr>
    </w:lvl>
    <w:lvl w:ilvl="1" w:tplc="6F2AFE5A">
      <w:start w:val="1"/>
      <w:numFmt w:val="bullet"/>
      <w:lvlText w:val="•"/>
      <w:lvlJc w:val="left"/>
      <w:pPr>
        <w:ind w:left="1364" w:hanging="360"/>
      </w:pPr>
      <w:rPr>
        <w:rFonts w:hint="default"/>
      </w:rPr>
    </w:lvl>
    <w:lvl w:ilvl="2" w:tplc="892E5158">
      <w:start w:val="1"/>
      <w:numFmt w:val="bullet"/>
      <w:lvlText w:val="•"/>
      <w:lvlJc w:val="left"/>
      <w:pPr>
        <w:ind w:left="2268" w:hanging="360"/>
      </w:pPr>
      <w:rPr>
        <w:rFonts w:hint="default"/>
      </w:rPr>
    </w:lvl>
    <w:lvl w:ilvl="3" w:tplc="F4CCEDDE">
      <w:start w:val="1"/>
      <w:numFmt w:val="bullet"/>
      <w:lvlText w:val="•"/>
      <w:lvlJc w:val="left"/>
      <w:pPr>
        <w:ind w:left="3172" w:hanging="360"/>
      </w:pPr>
      <w:rPr>
        <w:rFonts w:hint="default"/>
      </w:rPr>
    </w:lvl>
    <w:lvl w:ilvl="4" w:tplc="EFC04F5E">
      <w:start w:val="1"/>
      <w:numFmt w:val="bullet"/>
      <w:lvlText w:val="•"/>
      <w:lvlJc w:val="left"/>
      <w:pPr>
        <w:ind w:left="4076" w:hanging="360"/>
      </w:pPr>
      <w:rPr>
        <w:rFonts w:hint="default"/>
      </w:rPr>
    </w:lvl>
    <w:lvl w:ilvl="5" w:tplc="313649FE">
      <w:start w:val="1"/>
      <w:numFmt w:val="bullet"/>
      <w:lvlText w:val="•"/>
      <w:lvlJc w:val="left"/>
      <w:pPr>
        <w:ind w:left="4980" w:hanging="360"/>
      </w:pPr>
      <w:rPr>
        <w:rFonts w:hint="default"/>
      </w:rPr>
    </w:lvl>
    <w:lvl w:ilvl="6" w:tplc="1CA42878">
      <w:start w:val="1"/>
      <w:numFmt w:val="bullet"/>
      <w:lvlText w:val="•"/>
      <w:lvlJc w:val="left"/>
      <w:pPr>
        <w:ind w:left="5884" w:hanging="360"/>
      </w:pPr>
      <w:rPr>
        <w:rFonts w:hint="default"/>
      </w:rPr>
    </w:lvl>
    <w:lvl w:ilvl="7" w:tplc="ECDC54C2">
      <w:start w:val="1"/>
      <w:numFmt w:val="bullet"/>
      <w:lvlText w:val="•"/>
      <w:lvlJc w:val="left"/>
      <w:pPr>
        <w:ind w:left="6788" w:hanging="360"/>
      </w:pPr>
      <w:rPr>
        <w:rFonts w:hint="default"/>
      </w:rPr>
    </w:lvl>
    <w:lvl w:ilvl="8" w:tplc="ECAC3C5E">
      <w:start w:val="1"/>
      <w:numFmt w:val="bullet"/>
      <w:lvlText w:val="•"/>
      <w:lvlJc w:val="left"/>
      <w:pPr>
        <w:ind w:left="7692" w:hanging="360"/>
      </w:pPr>
      <w:rPr>
        <w:rFonts w:hint="default"/>
      </w:rPr>
    </w:lvl>
  </w:abstractNum>
  <w:abstractNum w:abstractNumId="21">
    <w:nsid w:val="3203604D"/>
    <w:multiLevelType w:val="hybridMultilevel"/>
    <w:tmpl w:val="786E7404"/>
    <w:lvl w:ilvl="0" w:tplc="202692A2">
      <w:start w:val="1"/>
      <w:numFmt w:val="lowerLetter"/>
      <w:lvlText w:val="(%1)"/>
      <w:lvlJc w:val="left"/>
      <w:pPr>
        <w:ind w:left="460" w:hanging="360"/>
      </w:pPr>
      <w:rPr>
        <w:rFonts w:ascii="Times New Roman" w:eastAsia="Times New Roman" w:hAnsi="Times New Roman" w:hint="default"/>
        <w:w w:val="99"/>
        <w:sz w:val="24"/>
        <w:szCs w:val="24"/>
      </w:rPr>
    </w:lvl>
    <w:lvl w:ilvl="1" w:tplc="B810EE00">
      <w:start w:val="1"/>
      <w:numFmt w:val="bullet"/>
      <w:lvlText w:val="•"/>
      <w:lvlJc w:val="left"/>
      <w:pPr>
        <w:ind w:left="1364" w:hanging="360"/>
      </w:pPr>
      <w:rPr>
        <w:rFonts w:hint="default"/>
      </w:rPr>
    </w:lvl>
    <w:lvl w:ilvl="2" w:tplc="0CC09F90">
      <w:start w:val="1"/>
      <w:numFmt w:val="bullet"/>
      <w:lvlText w:val="•"/>
      <w:lvlJc w:val="left"/>
      <w:pPr>
        <w:ind w:left="2268" w:hanging="360"/>
      </w:pPr>
      <w:rPr>
        <w:rFonts w:hint="default"/>
      </w:rPr>
    </w:lvl>
    <w:lvl w:ilvl="3" w:tplc="FD8ED452">
      <w:start w:val="1"/>
      <w:numFmt w:val="bullet"/>
      <w:lvlText w:val="•"/>
      <w:lvlJc w:val="left"/>
      <w:pPr>
        <w:ind w:left="3172" w:hanging="360"/>
      </w:pPr>
      <w:rPr>
        <w:rFonts w:hint="default"/>
      </w:rPr>
    </w:lvl>
    <w:lvl w:ilvl="4" w:tplc="D71CC462">
      <w:start w:val="1"/>
      <w:numFmt w:val="bullet"/>
      <w:lvlText w:val="•"/>
      <w:lvlJc w:val="left"/>
      <w:pPr>
        <w:ind w:left="4076" w:hanging="360"/>
      </w:pPr>
      <w:rPr>
        <w:rFonts w:hint="default"/>
      </w:rPr>
    </w:lvl>
    <w:lvl w:ilvl="5" w:tplc="80F6DDEC">
      <w:start w:val="1"/>
      <w:numFmt w:val="bullet"/>
      <w:lvlText w:val="•"/>
      <w:lvlJc w:val="left"/>
      <w:pPr>
        <w:ind w:left="4980" w:hanging="360"/>
      </w:pPr>
      <w:rPr>
        <w:rFonts w:hint="default"/>
      </w:rPr>
    </w:lvl>
    <w:lvl w:ilvl="6" w:tplc="4CACE446">
      <w:start w:val="1"/>
      <w:numFmt w:val="bullet"/>
      <w:lvlText w:val="•"/>
      <w:lvlJc w:val="left"/>
      <w:pPr>
        <w:ind w:left="5884" w:hanging="360"/>
      </w:pPr>
      <w:rPr>
        <w:rFonts w:hint="default"/>
      </w:rPr>
    </w:lvl>
    <w:lvl w:ilvl="7" w:tplc="D71E4D08">
      <w:start w:val="1"/>
      <w:numFmt w:val="bullet"/>
      <w:lvlText w:val="•"/>
      <w:lvlJc w:val="left"/>
      <w:pPr>
        <w:ind w:left="6788" w:hanging="360"/>
      </w:pPr>
      <w:rPr>
        <w:rFonts w:hint="default"/>
      </w:rPr>
    </w:lvl>
    <w:lvl w:ilvl="8" w:tplc="ABB83E52">
      <w:start w:val="1"/>
      <w:numFmt w:val="bullet"/>
      <w:lvlText w:val="•"/>
      <w:lvlJc w:val="left"/>
      <w:pPr>
        <w:ind w:left="7692" w:hanging="360"/>
      </w:pPr>
      <w:rPr>
        <w:rFonts w:hint="default"/>
      </w:rPr>
    </w:lvl>
  </w:abstractNum>
  <w:abstractNum w:abstractNumId="22">
    <w:nsid w:val="33ED51B1"/>
    <w:multiLevelType w:val="hybridMultilevel"/>
    <w:tmpl w:val="06589CF4"/>
    <w:lvl w:ilvl="0" w:tplc="CB6470EC">
      <w:start w:val="1"/>
      <w:numFmt w:val="lowerLetter"/>
      <w:lvlText w:val="(%1)"/>
      <w:lvlJc w:val="left"/>
      <w:pPr>
        <w:ind w:left="460" w:hanging="360"/>
      </w:pPr>
      <w:rPr>
        <w:rFonts w:ascii="Times New Roman" w:eastAsia="Times New Roman" w:hAnsi="Times New Roman" w:hint="default"/>
        <w:w w:val="99"/>
        <w:sz w:val="24"/>
        <w:szCs w:val="24"/>
      </w:rPr>
    </w:lvl>
    <w:lvl w:ilvl="1" w:tplc="97842C82">
      <w:start w:val="1"/>
      <w:numFmt w:val="bullet"/>
      <w:lvlText w:val="•"/>
      <w:lvlJc w:val="left"/>
      <w:pPr>
        <w:ind w:left="1364" w:hanging="360"/>
      </w:pPr>
      <w:rPr>
        <w:rFonts w:hint="default"/>
      </w:rPr>
    </w:lvl>
    <w:lvl w:ilvl="2" w:tplc="DB54B19E">
      <w:start w:val="1"/>
      <w:numFmt w:val="bullet"/>
      <w:lvlText w:val="•"/>
      <w:lvlJc w:val="left"/>
      <w:pPr>
        <w:ind w:left="2268" w:hanging="360"/>
      </w:pPr>
      <w:rPr>
        <w:rFonts w:hint="default"/>
      </w:rPr>
    </w:lvl>
    <w:lvl w:ilvl="3" w:tplc="6B66A3B0">
      <w:start w:val="1"/>
      <w:numFmt w:val="bullet"/>
      <w:lvlText w:val="•"/>
      <w:lvlJc w:val="left"/>
      <w:pPr>
        <w:ind w:left="3172" w:hanging="360"/>
      </w:pPr>
      <w:rPr>
        <w:rFonts w:hint="default"/>
      </w:rPr>
    </w:lvl>
    <w:lvl w:ilvl="4" w:tplc="2E78F618">
      <w:start w:val="1"/>
      <w:numFmt w:val="bullet"/>
      <w:lvlText w:val="•"/>
      <w:lvlJc w:val="left"/>
      <w:pPr>
        <w:ind w:left="4076" w:hanging="360"/>
      </w:pPr>
      <w:rPr>
        <w:rFonts w:hint="default"/>
      </w:rPr>
    </w:lvl>
    <w:lvl w:ilvl="5" w:tplc="AB7EB3D4">
      <w:start w:val="1"/>
      <w:numFmt w:val="bullet"/>
      <w:lvlText w:val="•"/>
      <w:lvlJc w:val="left"/>
      <w:pPr>
        <w:ind w:left="4980" w:hanging="360"/>
      </w:pPr>
      <w:rPr>
        <w:rFonts w:hint="default"/>
      </w:rPr>
    </w:lvl>
    <w:lvl w:ilvl="6" w:tplc="7646D8EE">
      <w:start w:val="1"/>
      <w:numFmt w:val="bullet"/>
      <w:lvlText w:val="•"/>
      <w:lvlJc w:val="left"/>
      <w:pPr>
        <w:ind w:left="5884" w:hanging="360"/>
      </w:pPr>
      <w:rPr>
        <w:rFonts w:hint="default"/>
      </w:rPr>
    </w:lvl>
    <w:lvl w:ilvl="7" w:tplc="A7D402D4">
      <w:start w:val="1"/>
      <w:numFmt w:val="bullet"/>
      <w:lvlText w:val="•"/>
      <w:lvlJc w:val="left"/>
      <w:pPr>
        <w:ind w:left="6788" w:hanging="360"/>
      </w:pPr>
      <w:rPr>
        <w:rFonts w:hint="default"/>
      </w:rPr>
    </w:lvl>
    <w:lvl w:ilvl="8" w:tplc="D7EC1D92">
      <w:start w:val="1"/>
      <w:numFmt w:val="bullet"/>
      <w:lvlText w:val="•"/>
      <w:lvlJc w:val="left"/>
      <w:pPr>
        <w:ind w:left="7692" w:hanging="360"/>
      </w:pPr>
      <w:rPr>
        <w:rFonts w:hint="default"/>
      </w:rPr>
    </w:lvl>
  </w:abstractNum>
  <w:abstractNum w:abstractNumId="23">
    <w:nsid w:val="3E7F4268"/>
    <w:multiLevelType w:val="hybridMultilevel"/>
    <w:tmpl w:val="7E3C2DA2"/>
    <w:lvl w:ilvl="0" w:tplc="212A8854">
      <w:start w:val="1"/>
      <w:numFmt w:val="lowerLetter"/>
      <w:lvlText w:val="(%1)"/>
      <w:lvlJc w:val="left"/>
      <w:pPr>
        <w:ind w:left="460" w:hanging="360"/>
      </w:pPr>
      <w:rPr>
        <w:rFonts w:ascii="Times New Roman" w:eastAsia="Times New Roman" w:hAnsi="Times New Roman" w:hint="default"/>
        <w:w w:val="99"/>
        <w:sz w:val="24"/>
        <w:szCs w:val="24"/>
      </w:rPr>
    </w:lvl>
    <w:lvl w:ilvl="1" w:tplc="63286104">
      <w:start w:val="1"/>
      <w:numFmt w:val="bullet"/>
      <w:lvlText w:val="•"/>
      <w:lvlJc w:val="left"/>
      <w:pPr>
        <w:ind w:left="1364" w:hanging="360"/>
      </w:pPr>
      <w:rPr>
        <w:rFonts w:hint="default"/>
      </w:rPr>
    </w:lvl>
    <w:lvl w:ilvl="2" w:tplc="489CFB0E">
      <w:start w:val="1"/>
      <w:numFmt w:val="bullet"/>
      <w:lvlText w:val="•"/>
      <w:lvlJc w:val="left"/>
      <w:pPr>
        <w:ind w:left="2268" w:hanging="360"/>
      </w:pPr>
      <w:rPr>
        <w:rFonts w:hint="default"/>
      </w:rPr>
    </w:lvl>
    <w:lvl w:ilvl="3" w:tplc="EA068A3A">
      <w:start w:val="1"/>
      <w:numFmt w:val="bullet"/>
      <w:lvlText w:val="•"/>
      <w:lvlJc w:val="left"/>
      <w:pPr>
        <w:ind w:left="3172" w:hanging="360"/>
      </w:pPr>
      <w:rPr>
        <w:rFonts w:hint="default"/>
      </w:rPr>
    </w:lvl>
    <w:lvl w:ilvl="4" w:tplc="4DF87EA6">
      <w:start w:val="1"/>
      <w:numFmt w:val="bullet"/>
      <w:lvlText w:val="•"/>
      <w:lvlJc w:val="left"/>
      <w:pPr>
        <w:ind w:left="4076" w:hanging="360"/>
      </w:pPr>
      <w:rPr>
        <w:rFonts w:hint="default"/>
      </w:rPr>
    </w:lvl>
    <w:lvl w:ilvl="5" w:tplc="0EB22D50">
      <w:start w:val="1"/>
      <w:numFmt w:val="bullet"/>
      <w:lvlText w:val="•"/>
      <w:lvlJc w:val="left"/>
      <w:pPr>
        <w:ind w:left="4980" w:hanging="360"/>
      </w:pPr>
      <w:rPr>
        <w:rFonts w:hint="default"/>
      </w:rPr>
    </w:lvl>
    <w:lvl w:ilvl="6" w:tplc="D4F42EEC">
      <w:start w:val="1"/>
      <w:numFmt w:val="bullet"/>
      <w:lvlText w:val="•"/>
      <w:lvlJc w:val="left"/>
      <w:pPr>
        <w:ind w:left="5884" w:hanging="360"/>
      </w:pPr>
      <w:rPr>
        <w:rFonts w:hint="default"/>
      </w:rPr>
    </w:lvl>
    <w:lvl w:ilvl="7" w:tplc="843440B2">
      <w:start w:val="1"/>
      <w:numFmt w:val="bullet"/>
      <w:lvlText w:val="•"/>
      <w:lvlJc w:val="left"/>
      <w:pPr>
        <w:ind w:left="6788" w:hanging="360"/>
      </w:pPr>
      <w:rPr>
        <w:rFonts w:hint="default"/>
      </w:rPr>
    </w:lvl>
    <w:lvl w:ilvl="8" w:tplc="829072BE">
      <w:start w:val="1"/>
      <w:numFmt w:val="bullet"/>
      <w:lvlText w:val="•"/>
      <w:lvlJc w:val="left"/>
      <w:pPr>
        <w:ind w:left="7692" w:hanging="360"/>
      </w:pPr>
      <w:rPr>
        <w:rFonts w:hint="default"/>
      </w:rPr>
    </w:lvl>
  </w:abstractNum>
  <w:abstractNum w:abstractNumId="24">
    <w:nsid w:val="495161A8"/>
    <w:multiLevelType w:val="hybridMultilevel"/>
    <w:tmpl w:val="888E2CD2"/>
    <w:lvl w:ilvl="0" w:tplc="5A7841A2">
      <w:start w:val="1"/>
      <w:numFmt w:val="lowerLetter"/>
      <w:lvlText w:val="(%1)"/>
      <w:lvlJc w:val="left"/>
      <w:pPr>
        <w:ind w:left="460" w:hanging="360"/>
      </w:pPr>
      <w:rPr>
        <w:rFonts w:ascii="Times New Roman" w:eastAsia="Times New Roman" w:hAnsi="Times New Roman" w:hint="default"/>
        <w:w w:val="99"/>
        <w:sz w:val="24"/>
        <w:szCs w:val="24"/>
      </w:rPr>
    </w:lvl>
    <w:lvl w:ilvl="1" w:tplc="65F2541C">
      <w:start w:val="1"/>
      <w:numFmt w:val="bullet"/>
      <w:lvlText w:val="•"/>
      <w:lvlJc w:val="left"/>
      <w:pPr>
        <w:ind w:left="1366" w:hanging="360"/>
      </w:pPr>
      <w:rPr>
        <w:rFonts w:hint="default"/>
      </w:rPr>
    </w:lvl>
    <w:lvl w:ilvl="2" w:tplc="1700C436">
      <w:start w:val="1"/>
      <w:numFmt w:val="bullet"/>
      <w:lvlText w:val="•"/>
      <w:lvlJc w:val="left"/>
      <w:pPr>
        <w:ind w:left="2272" w:hanging="360"/>
      </w:pPr>
      <w:rPr>
        <w:rFonts w:hint="default"/>
      </w:rPr>
    </w:lvl>
    <w:lvl w:ilvl="3" w:tplc="EACAE046">
      <w:start w:val="1"/>
      <w:numFmt w:val="bullet"/>
      <w:lvlText w:val="•"/>
      <w:lvlJc w:val="left"/>
      <w:pPr>
        <w:ind w:left="3178" w:hanging="360"/>
      </w:pPr>
      <w:rPr>
        <w:rFonts w:hint="default"/>
      </w:rPr>
    </w:lvl>
    <w:lvl w:ilvl="4" w:tplc="8E9EBD46">
      <w:start w:val="1"/>
      <w:numFmt w:val="bullet"/>
      <w:lvlText w:val="•"/>
      <w:lvlJc w:val="left"/>
      <w:pPr>
        <w:ind w:left="4084" w:hanging="360"/>
      </w:pPr>
      <w:rPr>
        <w:rFonts w:hint="default"/>
      </w:rPr>
    </w:lvl>
    <w:lvl w:ilvl="5" w:tplc="988A8F92">
      <w:start w:val="1"/>
      <w:numFmt w:val="bullet"/>
      <w:lvlText w:val="•"/>
      <w:lvlJc w:val="left"/>
      <w:pPr>
        <w:ind w:left="4990" w:hanging="360"/>
      </w:pPr>
      <w:rPr>
        <w:rFonts w:hint="default"/>
      </w:rPr>
    </w:lvl>
    <w:lvl w:ilvl="6" w:tplc="7EFE61F0">
      <w:start w:val="1"/>
      <w:numFmt w:val="bullet"/>
      <w:lvlText w:val="•"/>
      <w:lvlJc w:val="left"/>
      <w:pPr>
        <w:ind w:left="5896" w:hanging="360"/>
      </w:pPr>
      <w:rPr>
        <w:rFonts w:hint="default"/>
      </w:rPr>
    </w:lvl>
    <w:lvl w:ilvl="7" w:tplc="9866151E">
      <w:start w:val="1"/>
      <w:numFmt w:val="bullet"/>
      <w:lvlText w:val="•"/>
      <w:lvlJc w:val="left"/>
      <w:pPr>
        <w:ind w:left="6802" w:hanging="360"/>
      </w:pPr>
      <w:rPr>
        <w:rFonts w:hint="default"/>
      </w:rPr>
    </w:lvl>
    <w:lvl w:ilvl="8" w:tplc="A6881F78">
      <w:start w:val="1"/>
      <w:numFmt w:val="bullet"/>
      <w:lvlText w:val="•"/>
      <w:lvlJc w:val="left"/>
      <w:pPr>
        <w:ind w:left="7708" w:hanging="360"/>
      </w:pPr>
      <w:rPr>
        <w:rFonts w:hint="default"/>
      </w:rPr>
    </w:lvl>
  </w:abstractNum>
  <w:abstractNum w:abstractNumId="25">
    <w:nsid w:val="4B431C68"/>
    <w:multiLevelType w:val="hybridMultilevel"/>
    <w:tmpl w:val="F51609E4"/>
    <w:lvl w:ilvl="0" w:tplc="894CAC22">
      <w:start w:val="1"/>
      <w:numFmt w:val="lowerLetter"/>
      <w:lvlText w:val="(%1)"/>
      <w:lvlJc w:val="left"/>
      <w:pPr>
        <w:ind w:left="460" w:hanging="360"/>
      </w:pPr>
      <w:rPr>
        <w:rFonts w:ascii="Times New Roman" w:eastAsia="Times New Roman" w:hAnsi="Times New Roman"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960AF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4D160A44"/>
    <w:multiLevelType w:val="hybridMultilevel"/>
    <w:tmpl w:val="06589CF4"/>
    <w:lvl w:ilvl="0" w:tplc="CB6470EC">
      <w:start w:val="1"/>
      <w:numFmt w:val="lowerLetter"/>
      <w:lvlText w:val="(%1)"/>
      <w:lvlJc w:val="left"/>
      <w:pPr>
        <w:ind w:left="460" w:hanging="360"/>
      </w:pPr>
      <w:rPr>
        <w:rFonts w:ascii="Times New Roman" w:eastAsia="Times New Roman" w:hAnsi="Times New Roman" w:hint="default"/>
        <w:w w:val="99"/>
        <w:sz w:val="24"/>
        <w:szCs w:val="24"/>
      </w:rPr>
    </w:lvl>
    <w:lvl w:ilvl="1" w:tplc="97842C82">
      <w:start w:val="1"/>
      <w:numFmt w:val="bullet"/>
      <w:lvlText w:val="•"/>
      <w:lvlJc w:val="left"/>
      <w:pPr>
        <w:ind w:left="1364" w:hanging="360"/>
      </w:pPr>
      <w:rPr>
        <w:rFonts w:hint="default"/>
      </w:rPr>
    </w:lvl>
    <w:lvl w:ilvl="2" w:tplc="DB54B19E">
      <w:start w:val="1"/>
      <w:numFmt w:val="bullet"/>
      <w:lvlText w:val="•"/>
      <w:lvlJc w:val="left"/>
      <w:pPr>
        <w:ind w:left="2268" w:hanging="360"/>
      </w:pPr>
      <w:rPr>
        <w:rFonts w:hint="default"/>
      </w:rPr>
    </w:lvl>
    <w:lvl w:ilvl="3" w:tplc="6B66A3B0">
      <w:start w:val="1"/>
      <w:numFmt w:val="bullet"/>
      <w:lvlText w:val="•"/>
      <w:lvlJc w:val="left"/>
      <w:pPr>
        <w:ind w:left="3172" w:hanging="360"/>
      </w:pPr>
      <w:rPr>
        <w:rFonts w:hint="default"/>
      </w:rPr>
    </w:lvl>
    <w:lvl w:ilvl="4" w:tplc="2E78F618">
      <w:start w:val="1"/>
      <w:numFmt w:val="bullet"/>
      <w:lvlText w:val="•"/>
      <w:lvlJc w:val="left"/>
      <w:pPr>
        <w:ind w:left="4076" w:hanging="360"/>
      </w:pPr>
      <w:rPr>
        <w:rFonts w:hint="default"/>
      </w:rPr>
    </w:lvl>
    <w:lvl w:ilvl="5" w:tplc="AB7EB3D4">
      <w:start w:val="1"/>
      <w:numFmt w:val="bullet"/>
      <w:lvlText w:val="•"/>
      <w:lvlJc w:val="left"/>
      <w:pPr>
        <w:ind w:left="4980" w:hanging="360"/>
      </w:pPr>
      <w:rPr>
        <w:rFonts w:hint="default"/>
      </w:rPr>
    </w:lvl>
    <w:lvl w:ilvl="6" w:tplc="7646D8EE">
      <w:start w:val="1"/>
      <w:numFmt w:val="bullet"/>
      <w:lvlText w:val="•"/>
      <w:lvlJc w:val="left"/>
      <w:pPr>
        <w:ind w:left="5884" w:hanging="360"/>
      </w:pPr>
      <w:rPr>
        <w:rFonts w:hint="default"/>
      </w:rPr>
    </w:lvl>
    <w:lvl w:ilvl="7" w:tplc="A7D402D4">
      <w:start w:val="1"/>
      <w:numFmt w:val="bullet"/>
      <w:lvlText w:val="•"/>
      <w:lvlJc w:val="left"/>
      <w:pPr>
        <w:ind w:left="6788" w:hanging="360"/>
      </w:pPr>
      <w:rPr>
        <w:rFonts w:hint="default"/>
      </w:rPr>
    </w:lvl>
    <w:lvl w:ilvl="8" w:tplc="D7EC1D92">
      <w:start w:val="1"/>
      <w:numFmt w:val="bullet"/>
      <w:lvlText w:val="•"/>
      <w:lvlJc w:val="left"/>
      <w:pPr>
        <w:ind w:left="7692" w:hanging="360"/>
      </w:pPr>
      <w:rPr>
        <w:rFonts w:hint="default"/>
      </w:rPr>
    </w:lvl>
  </w:abstractNum>
  <w:abstractNum w:abstractNumId="28">
    <w:nsid w:val="4E77741D"/>
    <w:multiLevelType w:val="hybridMultilevel"/>
    <w:tmpl w:val="86969EE4"/>
    <w:lvl w:ilvl="0" w:tplc="0F1C29DA">
      <w:start w:val="1"/>
      <w:numFmt w:val="lowerLetter"/>
      <w:lvlText w:val="(%1)"/>
      <w:lvlJc w:val="left"/>
      <w:pPr>
        <w:ind w:left="720" w:hanging="360"/>
      </w:pPr>
      <w:rPr>
        <w:rFonts w:ascii="Times New Roman" w:eastAsia="Times New Roman" w:hAnsi="Times New Roman"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9B1F26"/>
    <w:multiLevelType w:val="hybridMultilevel"/>
    <w:tmpl w:val="6AC21188"/>
    <w:lvl w:ilvl="0" w:tplc="7958C1BE">
      <w:start w:val="1"/>
      <w:numFmt w:val="lowerLetter"/>
      <w:lvlText w:val="(%1)"/>
      <w:lvlJc w:val="left"/>
      <w:pPr>
        <w:ind w:left="460" w:hanging="360"/>
      </w:pPr>
      <w:rPr>
        <w:rFonts w:ascii="Times New Roman" w:eastAsia="Times New Roman" w:hAnsi="Times New Roman"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12047D"/>
    <w:multiLevelType w:val="hybridMultilevel"/>
    <w:tmpl w:val="A8DC7E8A"/>
    <w:lvl w:ilvl="0" w:tplc="1310C184">
      <w:start w:val="1"/>
      <w:numFmt w:val="lowerLetter"/>
      <w:lvlText w:val="(%1)"/>
      <w:lvlJc w:val="left"/>
      <w:pPr>
        <w:ind w:left="460" w:hanging="360"/>
      </w:pPr>
      <w:rPr>
        <w:rFonts w:ascii="Times New Roman" w:eastAsia="Times New Roman" w:hAnsi="Times New Roman" w:hint="default"/>
        <w:w w:val="99"/>
        <w:sz w:val="24"/>
        <w:szCs w:val="24"/>
      </w:rPr>
    </w:lvl>
    <w:lvl w:ilvl="1" w:tplc="9B801916">
      <w:start w:val="1"/>
      <w:numFmt w:val="bullet"/>
      <w:lvlText w:val="•"/>
      <w:lvlJc w:val="left"/>
      <w:pPr>
        <w:ind w:left="1362" w:hanging="360"/>
      </w:pPr>
      <w:rPr>
        <w:rFonts w:hint="default"/>
      </w:rPr>
    </w:lvl>
    <w:lvl w:ilvl="2" w:tplc="D9842E4E">
      <w:start w:val="1"/>
      <w:numFmt w:val="bullet"/>
      <w:lvlText w:val="•"/>
      <w:lvlJc w:val="left"/>
      <w:pPr>
        <w:ind w:left="2264" w:hanging="360"/>
      </w:pPr>
      <w:rPr>
        <w:rFonts w:hint="default"/>
      </w:rPr>
    </w:lvl>
    <w:lvl w:ilvl="3" w:tplc="C48CDE96">
      <w:start w:val="1"/>
      <w:numFmt w:val="bullet"/>
      <w:lvlText w:val="•"/>
      <w:lvlJc w:val="left"/>
      <w:pPr>
        <w:ind w:left="3166" w:hanging="360"/>
      </w:pPr>
      <w:rPr>
        <w:rFonts w:hint="default"/>
      </w:rPr>
    </w:lvl>
    <w:lvl w:ilvl="4" w:tplc="D2A0D2A4">
      <w:start w:val="1"/>
      <w:numFmt w:val="bullet"/>
      <w:lvlText w:val="•"/>
      <w:lvlJc w:val="left"/>
      <w:pPr>
        <w:ind w:left="4068" w:hanging="360"/>
      </w:pPr>
      <w:rPr>
        <w:rFonts w:hint="default"/>
      </w:rPr>
    </w:lvl>
    <w:lvl w:ilvl="5" w:tplc="84A41C40">
      <w:start w:val="1"/>
      <w:numFmt w:val="bullet"/>
      <w:lvlText w:val="•"/>
      <w:lvlJc w:val="left"/>
      <w:pPr>
        <w:ind w:left="4970" w:hanging="360"/>
      </w:pPr>
      <w:rPr>
        <w:rFonts w:hint="default"/>
      </w:rPr>
    </w:lvl>
    <w:lvl w:ilvl="6" w:tplc="0840BD5A">
      <w:start w:val="1"/>
      <w:numFmt w:val="bullet"/>
      <w:lvlText w:val="•"/>
      <w:lvlJc w:val="left"/>
      <w:pPr>
        <w:ind w:left="5872" w:hanging="360"/>
      </w:pPr>
      <w:rPr>
        <w:rFonts w:hint="default"/>
      </w:rPr>
    </w:lvl>
    <w:lvl w:ilvl="7" w:tplc="D55E09FC">
      <w:start w:val="1"/>
      <w:numFmt w:val="bullet"/>
      <w:lvlText w:val="•"/>
      <w:lvlJc w:val="left"/>
      <w:pPr>
        <w:ind w:left="6774" w:hanging="360"/>
      </w:pPr>
      <w:rPr>
        <w:rFonts w:hint="default"/>
      </w:rPr>
    </w:lvl>
    <w:lvl w:ilvl="8" w:tplc="7378610A">
      <w:start w:val="1"/>
      <w:numFmt w:val="bullet"/>
      <w:lvlText w:val="•"/>
      <w:lvlJc w:val="left"/>
      <w:pPr>
        <w:ind w:left="7676" w:hanging="360"/>
      </w:pPr>
      <w:rPr>
        <w:rFonts w:hint="default"/>
      </w:rPr>
    </w:lvl>
  </w:abstractNum>
  <w:abstractNum w:abstractNumId="31">
    <w:nsid w:val="555903D8"/>
    <w:multiLevelType w:val="hybridMultilevel"/>
    <w:tmpl w:val="7D8A74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5A10E9"/>
    <w:multiLevelType w:val="hybridMultilevel"/>
    <w:tmpl w:val="F4D40E1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3">
    <w:nsid w:val="5BE10FA0"/>
    <w:multiLevelType w:val="hybridMultilevel"/>
    <w:tmpl w:val="8E9ECF38"/>
    <w:lvl w:ilvl="0" w:tplc="894CAC22">
      <w:start w:val="1"/>
      <w:numFmt w:val="lowerLetter"/>
      <w:lvlText w:val="(%1)"/>
      <w:lvlJc w:val="left"/>
      <w:pPr>
        <w:ind w:left="460" w:hanging="360"/>
      </w:pPr>
      <w:rPr>
        <w:rFonts w:ascii="Times New Roman" w:eastAsia="Times New Roman" w:hAnsi="Times New Roman" w:hint="default"/>
        <w:w w:val="99"/>
        <w:sz w:val="24"/>
        <w:szCs w:val="24"/>
      </w:rPr>
    </w:lvl>
    <w:lvl w:ilvl="1" w:tplc="208862B0">
      <w:start w:val="1"/>
      <w:numFmt w:val="bullet"/>
      <w:lvlText w:val="•"/>
      <w:lvlJc w:val="left"/>
      <w:pPr>
        <w:ind w:left="1368" w:hanging="360"/>
      </w:pPr>
      <w:rPr>
        <w:rFonts w:hint="default"/>
      </w:rPr>
    </w:lvl>
    <w:lvl w:ilvl="2" w:tplc="6994D4FC">
      <w:start w:val="1"/>
      <w:numFmt w:val="bullet"/>
      <w:lvlText w:val="•"/>
      <w:lvlJc w:val="left"/>
      <w:pPr>
        <w:ind w:left="2276" w:hanging="360"/>
      </w:pPr>
      <w:rPr>
        <w:rFonts w:hint="default"/>
      </w:rPr>
    </w:lvl>
    <w:lvl w:ilvl="3" w:tplc="8944802A">
      <w:start w:val="1"/>
      <w:numFmt w:val="bullet"/>
      <w:lvlText w:val="•"/>
      <w:lvlJc w:val="left"/>
      <w:pPr>
        <w:ind w:left="3184" w:hanging="360"/>
      </w:pPr>
      <w:rPr>
        <w:rFonts w:hint="default"/>
      </w:rPr>
    </w:lvl>
    <w:lvl w:ilvl="4" w:tplc="540A9636">
      <w:start w:val="1"/>
      <w:numFmt w:val="bullet"/>
      <w:lvlText w:val="•"/>
      <w:lvlJc w:val="left"/>
      <w:pPr>
        <w:ind w:left="4092" w:hanging="360"/>
      </w:pPr>
      <w:rPr>
        <w:rFonts w:hint="default"/>
      </w:rPr>
    </w:lvl>
    <w:lvl w:ilvl="5" w:tplc="015A26CC">
      <w:start w:val="1"/>
      <w:numFmt w:val="bullet"/>
      <w:lvlText w:val="•"/>
      <w:lvlJc w:val="left"/>
      <w:pPr>
        <w:ind w:left="5000" w:hanging="360"/>
      </w:pPr>
      <w:rPr>
        <w:rFonts w:hint="default"/>
      </w:rPr>
    </w:lvl>
    <w:lvl w:ilvl="6" w:tplc="AA5AC79C">
      <w:start w:val="1"/>
      <w:numFmt w:val="bullet"/>
      <w:lvlText w:val="•"/>
      <w:lvlJc w:val="left"/>
      <w:pPr>
        <w:ind w:left="5908" w:hanging="360"/>
      </w:pPr>
      <w:rPr>
        <w:rFonts w:hint="default"/>
      </w:rPr>
    </w:lvl>
    <w:lvl w:ilvl="7" w:tplc="32A084E6">
      <w:start w:val="1"/>
      <w:numFmt w:val="bullet"/>
      <w:lvlText w:val="•"/>
      <w:lvlJc w:val="left"/>
      <w:pPr>
        <w:ind w:left="6816" w:hanging="360"/>
      </w:pPr>
      <w:rPr>
        <w:rFonts w:hint="default"/>
      </w:rPr>
    </w:lvl>
    <w:lvl w:ilvl="8" w:tplc="11126010">
      <w:start w:val="1"/>
      <w:numFmt w:val="bullet"/>
      <w:lvlText w:val="•"/>
      <w:lvlJc w:val="left"/>
      <w:pPr>
        <w:ind w:left="7724" w:hanging="360"/>
      </w:pPr>
      <w:rPr>
        <w:rFonts w:hint="default"/>
      </w:rPr>
    </w:lvl>
  </w:abstractNum>
  <w:abstractNum w:abstractNumId="34">
    <w:nsid w:val="60DB0222"/>
    <w:multiLevelType w:val="hybridMultilevel"/>
    <w:tmpl w:val="BF8E3C4A"/>
    <w:lvl w:ilvl="0" w:tplc="60DAEB48">
      <w:start w:val="1"/>
      <w:numFmt w:val="lowerLetter"/>
      <w:lvlText w:val="(%1)"/>
      <w:lvlJc w:val="left"/>
      <w:pPr>
        <w:ind w:left="460" w:hanging="360"/>
      </w:pPr>
      <w:rPr>
        <w:rFonts w:ascii="Times New Roman" w:eastAsia="Times New Roman" w:hAnsi="Times New Roman" w:hint="default"/>
        <w:w w:val="99"/>
        <w:sz w:val="24"/>
        <w:szCs w:val="24"/>
      </w:rPr>
    </w:lvl>
    <w:lvl w:ilvl="1" w:tplc="D9785C36">
      <w:start w:val="1"/>
      <w:numFmt w:val="bullet"/>
      <w:lvlText w:val="•"/>
      <w:lvlJc w:val="left"/>
      <w:pPr>
        <w:ind w:left="1364" w:hanging="360"/>
      </w:pPr>
      <w:rPr>
        <w:rFonts w:hint="default"/>
      </w:rPr>
    </w:lvl>
    <w:lvl w:ilvl="2" w:tplc="1EEE1A4E">
      <w:start w:val="1"/>
      <w:numFmt w:val="bullet"/>
      <w:lvlText w:val="•"/>
      <w:lvlJc w:val="left"/>
      <w:pPr>
        <w:ind w:left="2268" w:hanging="360"/>
      </w:pPr>
      <w:rPr>
        <w:rFonts w:hint="default"/>
      </w:rPr>
    </w:lvl>
    <w:lvl w:ilvl="3" w:tplc="7BB404E8">
      <w:start w:val="1"/>
      <w:numFmt w:val="bullet"/>
      <w:lvlText w:val="•"/>
      <w:lvlJc w:val="left"/>
      <w:pPr>
        <w:ind w:left="3172" w:hanging="360"/>
      </w:pPr>
      <w:rPr>
        <w:rFonts w:hint="default"/>
      </w:rPr>
    </w:lvl>
    <w:lvl w:ilvl="4" w:tplc="89AE408C">
      <w:start w:val="1"/>
      <w:numFmt w:val="bullet"/>
      <w:lvlText w:val="•"/>
      <w:lvlJc w:val="left"/>
      <w:pPr>
        <w:ind w:left="4076" w:hanging="360"/>
      </w:pPr>
      <w:rPr>
        <w:rFonts w:hint="default"/>
      </w:rPr>
    </w:lvl>
    <w:lvl w:ilvl="5" w:tplc="8C342EB0">
      <w:start w:val="1"/>
      <w:numFmt w:val="bullet"/>
      <w:lvlText w:val="•"/>
      <w:lvlJc w:val="left"/>
      <w:pPr>
        <w:ind w:left="4980" w:hanging="360"/>
      </w:pPr>
      <w:rPr>
        <w:rFonts w:hint="default"/>
      </w:rPr>
    </w:lvl>
    <w:lvl w:ilvl="6" w:tplc="A0C2B34C">
      <w:start w:val="1"/>
      <w:numFmt w:val="bullet"/>
      <w:lvlText w:val="•"/>
      <w:lvlJc w:val="left"/>
      <w:pPr>
        <w:ind w:left="5884" w:hanging="360"/>
      </w:pPr>
      <w:rPr>
        <w:rFonts w:hint="default"/>
      </w:rPr>
    </w:lvl>
    <w:lvl w:ilvl="7" w:tplc="E2F8E9AA">
      <w:start w:val="1"/>
      <w:numFmt w:val="bullet"/>
      <w:lvlText w:val="•"/>
      <w:lvlJc w:val="left"/>
      <w:pPr>
        <w:ind w:left="6788" w:hanging="360"/>
      </w:pPr>
      <w:rPr>
        <w:rFonts w:hint="default"/>
      </w:rPr>
    </w:lvl>
    <w:lvl w:ilvl="8" w:tplc="B9A8FF44">
      <w:start w:val="1"/>
      <w:numFmt w:val="bullet"/>
      <w:lvlText w:val="•"/>
      <w:lvlJc w:val="left"/>
      <w:pPr>
        <w:ind w:left="7692" w:hanging="360"/>
      </w:pPr>
      <w:rPr>
        <w:rFonts w:hint="default"/>
      </w:rPr>
    </w:lvl>
  </w:abstractNum>
  <w:abstractNum w:abstractNumId="35">
    <w:nsid w:val="64624C41"/>
    <w:multiLevelType w:val="hybridMultilevel"/>
    <w:tmpl w:val="2CCAA3AA"/>
    <w:lvl w:ilvl="0" w:tplc="3572CD10">
      <w:start w:val="1"/>
      <w:numFmt w:val="lowerLetter"/>
      <w:lvlText w:val="(%1)"/>
      <w:lvlJc w:val="left"/>
      <w:pPr>
        <w:ind w:left="480" w:hanging="360"/>
      </w:pPr>
      <w:rPr>
        <w:rFonts w:ascii="Times New Roman" w:eastAsia="Times New Roman" w:hAnsi="Times New Roman" w:hint="default"/>
        <w:w w:val="99"/>
        <w:sz w:val="24"/>
        <w:szCs w:val="24"/>
      </w:rPr>
    </w:lvl>
    <w:lvl w:ilvl="1" w:tplc="87E60D44">
      <w:start w:val="1"/>
      <w:numFmt w:val="bullet"/>
      <w:lvlText w:val="•"/>
      <w:lvlJc w:val="left"/>
      <w:pPr>
        <w:ind w:left="1392" w:hanging="360"/>
      </w:pPr>
      <w:rPr>
        <w:rFonts w:hint="default"/>
      </w:rPr>
    </w:lvl>
    <w:lvl w:ilvl="2" w:tplc="3D60E210">
      <w:start w:val="1"/>
      <w:numFmt w:val="bullet"/>
      <w:lvlText w:val="•"/>
      <w:lvlJc w:val="left"/>
      <w:pPr>
        <w:ind w:left="2304" w:hanging="360"/>
      </w:pPr>
      <w:rPr>
        <w:rFonts w:hint="default"/>
      </w:rPr>
    </w:lvl>
    <w:lvl w:ilvl="3" w:tplc="327AED4E">
      <w:start w:val="1"/>
      <w:numFmt w:val="bullet"/>
      <w:lvlText w:val="•"/>
      <w:lvlJc w:val="left"/>
      <w:pPr>
        <w:ind w:left="3216" w:hanging="360"/>
      </w:pPr>
      <w:rPr>
        <w:rFonts w:hint="default"/>
      </w:rPr>
    </w:lvl>
    <w:lvl w:ilvl="4" w:tplc="591C099A">
      <w:start w:val="1"/>
      <w:numFmt w:val="bullet"/>
      <w:lvlText w:val="•"/>
      <w:lvlJc w:val="left"/>
      <w:pPr>
        <w:ind w:left="4128" w:hanging="360"/>
      </w:pPr>
      <w:rPr>
        <w:rFonts w:hint="default"/>
      </w:rPr>
    </w:lvl>
    <w:lvl w:ilvl="5" w:tplc="92A8E49A">
      <w:start w:val="1"/>
      <w:numFmt w:val="bullet"/>
      <w:lvlText w:val="•"/>
      <w:lvlJc w:val="left"/>
      <w:pPr>
        <w:ind w:left="5040" w:hanging="360"/>
      </w:pPr>
      <w:rPr>
        <w:rFonts w:hint="default"/>
      </w:rPr>
    </w:lvl>
    <w:lvl w:ilvl="6" w:tplc="758A899E">
      <w:start w:val="1"/>
      <w:numFmt w:val="bullet"/>
      <w:lvlText w:val="•"/>
      <w:lvlJc w:val="left"/>
      <w:pPr>
        <w:ind w:left="5952" w:hanging="360"/>
      </w:pPr>
      <w:rPr>
        <w:rFonts w:hint="default"/>
      </w:rPr>
    </w:lvl>
    <w:lvl w:ilvl="7" w:tplc="E1DC79E2">
      <w:start w:val="1"/>
      <w:numFmt w:val="bullet"/>
      <w:lvlText w:val="•"/>
      <w:lvlJc w:val="left"/>
      <w:pPr>
        <w:ind w:left="6864" w:hanging="360"/>
      </w:pPr>
      <w:rPr>
        <w:rFonts w:hint="default"/>
      </w:rPr>
    </w:lvl>
    <w:lvl w:ilvl="8" w:tplc="6A5CD7FE">
      <w:start w:val="1"/>
      <w:numFmt w:val="bullet"/>
      <w:lvlText w:val="•"/>
      <w:lvlJc w:val="left"/>
      <w:pPr>
        <w:ind w:left="7776" w:hanging="360"/>
      </w:pPr>
      <w:rPr>
        <w:rFonts w:hint="default"/>
      </w:rPr>
    </w:lvl>
  </w:abstractNum>
  <w:abstractNum w:abstractNumId="36">
    <w:nsid w:val="68972680"/>
    <w:multiLevelType w:val="hybridMultilevel"/>
    <w:tmpl w:val="3550BD38"/>
    <w:lvl w:ilvl="0" w:tplc="894CAC22">
      <w:start w:val="1"/>
      <w:numFmt w:val="lowerLetter"/>
      <w:lvlText w:val="(%1)"/>
      <w:lvlJc w:val="left"/>
      <w:pPr>
        <w:ind w:left="460" w:hanging="360"/>
      </w:pPr>
      <w:rPr>
        <w:rFonts w:ascii="Times New Roman" w:eastAsia="Times New Roman" w:hAnsi="Times New Roman" w:hint="default"/>
        <w:w w:val="99"/>
        <w:sz w:val="24"/>
        <w:szCs w:val="24"/>
      </w:rPr>
    </w:lvl>
    <w:lvl w:ilvl="1" w:tplc="208862B0">
      <w:start w:val="1"/>
      <w:numFmt w:val="bullet"/>
      <w:lvlText w:val="•"/>
      <w:lvlJc w:val="left"/>
      <w:pPr>
        <w:ind w:left="1368" w:hanging="360"/>
      </w:pPr>
      <w:rPr>
        <w:rFonts w:hint="default"/>
      </w:rPr>
    </w:lvl>
    <w:lvl w:ilvl="2" w:tplc="6994D4FC">
      <w:start w:val="1"/>
      <w:numFmt w:val="bullet"/>
      <w:lvlText w:val="•"/>
      <w:lvlJc w:val="left"/>
      <w:pPr>
        <w:ind w:left="2276" w:hanging="360"/>
      </w:pPr>
      <w:rPr>
        <w:rFonts w:hint="default"/>
      </w:rPr>
    </w:lvl>
    <w:lvl w:ilvl="3" w:tplc="8944802A">
      <w:start w:val="1"/>
      <w:numFmt w:val="bullet"/>
      <w:lvlText w:val="•"/>
      <w:lvlJc w:val="left"/>
      <w:pPr>
        <w:ind w:left="3184" w:hanging="360"/>
      </w:pPr>
      <w:rPr>
        <w:rFonts w:hint="default"/>
      </w:rPr>
    </w:lvl>
    <w:lvl w:ilvl="4" w:tplc="540A9636">
      <w:start w:val="1"/>
      <w:numFmt w:val="bullet"/>
      <w:lvlText w:val="•"/>
      <w:lvlJc w:val="left"/>
      <w:pPr>
        <w:ind w:left="4092" w:hanging="360"/>
      </w:pPr>
      <w:rPr>
        <w:rFonts w:hint="default"/>
      </w:rPr>
    </w:lvl>
    <w:lvl w:ilvl="5" w:tplc="015A26CC">
      <w:start w:val="1"/>
      <w:numFmt w:val="bullet"/>
      <w:lvlText w:val="•"/>
      <w:lvlJc w:val="left"/>
      <w:pPr>
        <w:ind w:left="5000" w:hanging="360"/>
      </w:pPr>
      <w:rPr>
        <w:rFonts w:hint="default"/>
      </w:rPr>
    </w:lvl>
    <w:lvl w:ilvl="6" w:tplc="AA5AC79C">
      <w:start w:val="1"/>
      <w:numFmt w:val="bullet"/>
      <w:lvlText w:val="•"/>
      <w:lvlJc w:val="left"/>
      <w:pPr>
        <w:ind w:left="5908" w:hanging="360"/>
      </w:pPr>
      <w:rPr>
        <w:rFonts w:hint="default"/>
      </w:rPr>
    </w:lvl>
    <w:lvl w:ilvl="7" w:tplc="32A084E6">
      <w:start w:val="1"/>
      <w:numFmt w:val="bullet"/>
      <w:lvlText w:val="•"/>
      <w:lvlJc w:val="left"/>
      <w:pPr>
        <w:ind w:left="6816" w:hanging="360"/>
      </w:pPr>
      <w:rPr>
        <w:rFonts w:hint="default"/>
      </w:rPr>
    </w:lvl>
    <w:lvl w:ilvl="8" w:tplc="11126010">
      <w:start w:val="1"/>
      <w:numFmt w:val="bullet"/>
      <w:lvlText w:val="•"/>
      <w:lvlJc w:val="left"/>
      <w:pPr>
        <w:ind w:left="7724" w:hanging="360"/>
      </w:pPr>
      <w:rPr>
        <w:rFonts w:hint="default"/>
      </w:rPr>
    </w:lvl>
  </w:abstractNum>
  <w:abstractNum w:abstractNumId="37">
    <w:nsid w:val="698A1065"/>
    <w:multiLevelType w:val="hybridMultilevel"/>
    <w:tmpl w:val="4C52420A"/>
    <w:lvl w:ilvl="0" w:tplc="D0F249BC">
      <w:start w:val="1"/>
      <w:numFmt w:val="lowerLetter"/>
      <w:lvlText w:val="(%1)"/>
      <w:lvlJc w:val="left"/>
      <w:pPr>
        <w:ind w:left="480" w:hanging="360"/>
      </w:pPr>
      <w:rPr>
        <w:rFonts w:ascii="Times New Roman" w:eastAsia="Times New Roman" w:hAnsi="Times New Roman" w:hint="default"/>
        <w:w w:val="99"/>
        <w:sz w:val="24"/>
        <w:szCs w:val="24"/>
      </w:rPr>
    </w:lvl>
    <w:lvl w:ilvl="1" w:tplc="154E900E">
      <w:start w:val="1"/>
      <w:numFmt w:val="bullet"/>
      <w:lvlText w:val="•"/>
      <w:lvlJc w:val="left"/>
      <w:pPr>
        <w:ind w:left="1392" w:hanging="360"/>
      </w:pPr>
      <w:rPr>
        <w:rFonts w:hint="default"/>
      </w:rPr>
    </w:lvl>
    <w:lvl w:ilvl="2" w:tplc="E00CA60A">
      <w:start w:val="1"/>
      <w:numFmt w:val="bullet"/>
      <w:lvlText w:val="•"/>
      <w:lvlJc w:val="left"/>
      <w:pPr>
        <w:ind w:left="2304" w:hanging="360"/>
      </w:pPr>
      <w:rPr>
        <w:rFonts w:hint="default"/>
      </w:rPr>
    </w:lvl>
    <w:lvl w:ilvl="3" w:tplc="50CAECEC">
      <w:start w:val="1"/>
      <w:numFmt w:val="bullet"/>
      <w:lvlText w:val="•"/>
      <w:lvlJc w:val="left"/>
      <w:pPr>
        <w:ind w:left="3216" w:hanging="360"/>
      </w:pPr>
      <w:rPr>
        <w:rFonts w:hint="default"/>
      </w:rPr>
    </w:lvl>
    <w:lvl w:ilvl="4" w:tplc="D0A4CAF6">
      <w:start w:val="1"/>
      <w:numFmt w:val="bullet"/>
      <w:lvlText w:val="•"/>
      <w:lvlJc w:val="left"/>
      <w:pPr>
        <w:ind w:left="4128" w:hanging="360"/>
      </w:pPr>
      <w:rPr>
        <w:rFonts w:hint="default"/>
      </w:rPr>
    </w:lvl>
    <w:lvl w:ilvl="5" w:tplc="C8526690">
      <w:start w:val="1"/>
      <w:numFmt w:val="bullet"/>
      <w:lvlText w:val="•"/>
      <w:lvlJc w:val="left"/>
      <w:pPr>
        <w:ind w:left="5040" w:hanging="360"/>
      </w:pPr>
      <w:rPr>
        <w:rFonts w:hint="default"/>
      </w:rPr>
    </w:lvl>
    <w:lvl w:ilvl="6" w:tplc="0A1AD560">
      <w:start w:val="1"/>
      <w:numFmt w:val="bullet"/>
      <w:lvlText w:val="•"/>
      <w:lvlJc w:val="left"/>
      <w:pPr>
        <w:ind w:left="5952" w:hanging="360"/>
      </w:pPr>
      <w:rPr>
        <w:rFonts w:hint="default"/>
      </w:rPr>
    </w:lvl>
    <w:lvl w:ilvl="7" w:tplc="500423F4">
      <w:start w:val="1"/>
      <w:numFmt w:val="bullet"/>
      <w:lvlText w:val="•"/>
      <w:lvlJc w:val="left"/>
      <w:pPr>
        <w:ind w:left="6864" w:hanging="360"/>
      </w:pPr>
      <w:rPr>
        <w:rFonts w:hint="default"/>
      </w:rPr>
    </w:lvl>
    <w:lvl w:ilvl="8" w:tplc="BC16374C">
      <w:start w:val="1"/>
      <w:numFmt w:val="bullet"/>
      <w:lvlText w:val="•"/>
      <w:lvlJc w:val="left"/>
      <w:pPr>
        <w:ind w:left="7776" w:hanging="360"/>
      </w:pPr>
      <w:rPr>
        <w:rFonts w:hint="default"/>
      </w:rPr>
    </w:lvl>
  </w:abstractNum>
  <w:abstractNum w:abstractNumId="38">
    <w:nsid w:val="6D5771B4"/>
    <w:multiLevelType w:val="hybridMultilevel"/>
    <w:tmpl w:val="CCB4C652"/>
    <w:lvl w:ilvl="0" w:tplc="0F1C29DA">
      <w:start w:val="1"/>
      <w:numFmt w:val="lowerLetter"/>
      <w:lvlText w:val="(%1)"/>
      <w:lvlJc w:val="left"/>
      <w:pPr>
        <w:ind w:left="720" w:hanging="360"/>
      </w:pPr>
      <w:rPr>
        <w:rFonts w:ascii="Times New Roman" w:eastAsia="Times New Roman" w:hAnsi="Times New Roman"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4236F1"/>
    <w:multiLevelType w:val="hybridMultilevel"/>
    <w:tmpl w:val="E1CCE3F2"/>
    <w:lvl w:ilvl="0" w:tplc="0F1C29DA">
      <w:start w:val="1"/>
      <w:numFmt w:val="lowerLetter"/>
      <w:lvlText w:val="(%1)"/>
      <w:lvlJc w:val="left"/>
      <w:pPr>
        <w:ind w:left="720" w:hanging="360"/>
      </w:pPr>
      <w:rPr>
        <w:rFonts w:ascii="Times New Roman" w:eastAsia="Times New Roman" w:hAnsi="Times New Roman"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906FEB"/>
    <w:multiLevelType w:val="hybridMultilevel"/>
    <w:tmpl w:val="A10E17F2"/>
    <w:lvl w:ilvl="0" w:tplc="7958C1BE">
      <w:start w:val="1"/>
      <w:numFmt w:val="lowerLetter"/>
      <w:lvlText w:val="(%1)"/>
      <w:lvlJc w:val="left"/>
      <w:pPr>
        <w:ind w:left="460" w:hanging="360"/>
      </w:pPr>
      <w:rPr>
        <w:rFonts w:ascii="Times New Roman" w:eastAsia="Times New Roman" w:hAnsi="Times New Roman"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6D42E8"/>
    <w:multiLevelType w:val="hybridMultilevel"/>
    <w:tmpl w:val="A7F03154"/>
    <w:lvl w:ilvl="0" w:tplc="894CAC22">
      <w:start w:val="1"/>
      <w:numFmt w:val="lowerLetter"/>
      <w:lvlText w:val="(%1)"/>
      <w:lvlJc w:val="left"/>
      <w:pPr>
        <w:ind w:left="460" w:hanging="360"/>
      </w:pPr>
      <w:rPr>
        <w:rFonts w:ascii="Times New Roman" w:eastAsia="Times New Roman" w:hAnsi="Times New Roman"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7663C8"/>
    <w:multiLevelType w:val="hybridMultilevel"/>
    <w:tmpl w:val="D19CEB3E"/>
    <w:lvl w:ilvl="0" w:tplc="FBBE2C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C120DD"/>
    <w:multiLevelType w:val="hybridMultilevel"/>
    <w:tmpl w:val="E1D654A8"/>
    <w:lvl w:ilvl="0" w:tplc="0F1C29DA">
      <w:start w:val="1"/>
      <w:numFmt w:val="lowerLetter"/>
      <w:lvlText w:val="(%1)"/>
      <w:lvlJc w:val="left"/>
      <w:pPr>
        <w:ind w:left="720" w:hanging="360"/>
      </w:pPr>
      <w:rPr>
        <w:rFonts w:ascii="Times New Roman" w:eastAsia="Times New Roman" w:hAnsi="Times New Roman"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93541A"/>
    <w:multiLevelType w:val="hybridMultilevel"/>
    <w:tmpl w:val="F17CD2BA"/>
    <w:lvl w:ilvl="0" w:tplc="C908F458">
      <w:start w:val="1"/>
      <w:numFmt w:val="lowerLetter"/>
      <w:lvlText w:val="(%1)"/>
      <w:lvlJc w:val="left"/>
      <w:pPr>
        <w:ind w:left="460" w:hanging="360"/>
      </w:pPr>
      <w:rPr>
        <w:rFonts w:ascii="Times New Roman" w:eastAsia="Times New Roman" w:hAnsi="Times New Roman" w:hint="default"/>
        <w:w w:val="99"/>
        <w:sz w:val="24"/>
        <w:szCs w:val="24"/>
      </w:rPr>
    </w:lvl>
    <w:lvl w:ilvl="1" w:tplc="6F2EB884">
      <w:start w:val="1"/>
      <w:numFmt w:val="bullet"/>
      <w:lvlText w:val="•"/>
      <w:lvlJc w:val="left"/>
      <w:pPr>
        <w:ind w:left="1370" w:hanging="360"/>
      </w:pPr>
      <w:rPr>
        <w:rFonts w:hint="default"/>
      </w:rPr>
    </w:lvl>
    <w:lvl w:ilvl="2" w:tplc="3DB6F6D2">
      <w:start w:val="1"/>
      <w:numFmt w:val="bullet"/>
      <w:lvlText w:val="•"/>
      <w:lvlJc w:val="left"/>
      <w:pPr>
        <w:ind w:left="2280" w:hanging="360"/>
      </w:pPr>
      <w:rPr>
        <w:rFonts w:hint="default"/>
      </w:rPr>
    </w:lvl>
    <w:lvl w:ilvl="3" w:tplc="8AAECB44">
      <w:start w:val="1"/>
      <w:numFmt w:val="bullet"/>
      <w:lvlText w:val="•"/>
      <w:lvlJc w:val="left"/>
      <w:pPr>
        <w:ind w:left="3190" w:hanging="360"/>
      </w:pPr>
      <w:rPr>
        <w:rFonts w:hint="default"/>
      </w:rPr>
    </w:lvl>
    <w:lvl w:ilvl="4" w:tplc="683637D2">
      <w:start w:val="1"/>
      <w:numFmt w:val="bullet"/>
      <w:lvlText w:val="•"/>
      <w:lvlJc w:val="left"/>
      <w:pPr>
        <w:ind w:left="4100" w:hanging="360"/>
      </w:pPr>
      <w:rPr>
        <w:rFonts w:hint="default"/>
      </w:rPr>
    </w:lvl>
    <w:lvl w:ilvl="5" w:tplc="D08C34FC">
      <w:start w:val="1"/>
      <w:numFmt w:val="bullet"/>
      <w:lvlText w:val="•"/>
      <w:lvlJc w:val="left"/>
      <w:pPr>
        <w:ind w:left="5010" w:hanging="360"/>
      </w:pPr>
      <w:rPr>
        <w:rFonts w:hint="default"/>
      </w:rPr>
    </w:lvl>
    <w:lvl w:ilvl="6" w:tplc="12882E4E">
      <w:start w:val="1"/>
      <w:numFmt w:val="bullet"/>
      <w:lvlText w:val="•"/>
      <w:lvlJc w:val="left"/>
      <w:pPr>
        <w:ind w:left="5920" w:hanging="360"/>
      </w:pPr>
      <w:rPr>
        <w:rFonts w:hint="default"/>
      </w:rPr>
    </w:lvl>
    <w:lvl w:ilvl="7" w:tplc="AAD4255A">
      <w:start w:val="1"/>
      <w:numFmt w:val="bullet"/>
      <w:lvlText w:val="•"/>
      <w:lvlJc w:val="left"/>
      <w:pPr>
        <w:ind w:left="6830" w:hanging="360"/>
      </w:pPr>
      <w:rPr>
        <w:rFonts w:hint="default"/>
      </w:rPr>
    </w:lvl>
    <w:lvl w:ilvl="8" w:tplc="65BEA526">
      <w:start w:val="1"/>
      <w:numFmt w:val="bullet"/>
      <w:lvlText w:val="•"/>
      <w:lvlJc w:val="left"/>
      <w:pPr>
        <w:ind w:left="7740" w:hanging="360"/>
      </w:pPr>
      <w:rPr>
        <w:rFonts w:hint="default"/>
      </w:rPr>
    </w:lvl>
  </w:abstractNum>
  <w:abstractNum w:abstractNumId="45">
    <w:nsid w:val="7E7C20B9"/>
    <w:multiLevelType w:val="hybridMultilevel"/>
    <w:tmpl w:val="0EAE9486"/>
    <w:lvl w:ilvl="0" w:tplc="D0F249BC">
      <w:start w:val="1"/>
      <w:numFmt w:val="lowerLetter"/>
      <w:lvlText w:val="(%1)"/>
      <w:lvlJc w:val="left"/>
      <w:pPr>
        <w:ind w:left="480" w:hanging="360"/>
      </w:pPr>
      <w:rPr>
        <w:rFonts w:ascii="Times New Roman" w:eastAsia="Times New Roman" w:hAnsi="Times New Roman"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604C3F"/>
    <w:multiLevelType w:val="hybridMultilevel"/>
    <w:tmpl w:val="5650C580"/>
    <w:lvl w:ilvl="0" w:tplc="655C053E">
      <w:start w:val="1"/>
      <w:numFmt w:val="lowerLetter"/>
      <w:lvlText w:val="(%1)"/>
      <w:lvlJc w:val="left"/>
      <w:pPr>
        <w:ind w:left="460" w:hanging="360"/>
      </w:pPr>
      <w:rPr>
        <w:rFonts w:ascii="Times New Roman" w:eastAsia="Times New Roman" w:hAnsi="Times New Roman" w:hint="default"/>
        <w:w w:val="99"/>
        <w:sz w:val="24"/>
        <w:szCs w:val="24"/>
      </w:rPr>
    </w:lvl>
    <w:lvl w:ilvl="1" w:tplc="7F32124C">
      <w:start w:val="1"/>
      <w:numFmt w:val="lowerRoman"/>
      <w:lvlText w:val="(%2)"/>
      <w:lvlJc w:val="left"/>
      <w:pPr>
        <w:ind w:left="460" w:hanging="300"/>
      </w:pPr>
      <w:rPr>
        <w:rFonts w:ascii="Times New Roman" w:eastAsia="Times New Roman" w:hAnsi="Times New Roman" w:hint="default"/>
        <w:w w:val="99"/>
        <w:sz w:val="24"/>
        <w:szCs w:val="24"/>
      </w:rPr>
    </w:lvl>
    <w:lvl w:ilvl="2" w:tplc="4E3A76C2">
      <w:start w:val="1"/>
      <w:numFmt w:val="bullet"/>
      <w:lvlText w:val="•"/>
      <w:lvlJc w:val="left"/>
      <w:pPr>
        <w:ind w:left="2272" w:hanging="300"/>
      </w:pPr>
      <w:rPr>
        <w:rFonts w:hint="default"/>
      </w:rPr>
    </w:lvl>
    <w:lvl w:ilvl="3" w:tplc="65EEFB22">
      <w:start w:val="1"/>
      <w:numFmt w:val="bullet"/>
      <w:lvlText w:val="•"/>
      <w:lvlJc w:val="left"/>
      <w:pPr>
        <w:ind w:left="3178" w:hanging="300"/>
      </w:pPr>
      <w:rPr>
        <w:rFonts w:hint="default"/>
      </w:rPr>
    </w:lvl>
    <w:lvl w:ilvl="4" w:tplc="DEA4D38C">
      <w:start w:val="1"/>
      <w:numFmt w:val="bullet"/>
      <w:lvlText w:val="•"/>
      <w:lvlJc w:val="left"/>
      <w:pPr>
        <w:ind w:left="4084" w:hanging="300"/>
      </w:pPr>
      <w:rPr>
        <w:rFonts w:hint="default"/>
      </w:rPr>
    </w:lvl>
    <w:lvl w:ilvl="5" w:tplc="19E6FAC8">
      <w:start w:val="1"/>
      <w:numFmt w:val="bullet"/>
      <w:lvlText w:val="•"/>
      <w:lvlJc w:val="left"/>
      <w:pPr>
        <w:ind w:left="4990" w:hanging="300"/>
      </w:pPr>
      <w:rPr>
        <w:rFonts w:hint="default"/>
      </w:rPr>
    </w:lvl>
    <w:lvl w:ilvl="6" w:tplc="6FFA3484">
      <w:start w:val="1"/>
      <w:numFmt w:val="bullet"/>
      <w:lvlText w:val="•"/>
      <w:lvlJc w:val="left"/>
      <w:pPr>
        <w:ind w:left="5896" w:hanging="300"/>
      </w:pPr>
      <w:rPr>
        <w:rFonts w:hint="default"/>
      </w:rPr>
    </w:lvl>
    <w:lvl w:ilvl="7" w:tplc="01903ADE">
      <w:start w:val="1"/>
      <w:numFmt w:val="bullet"/>
      <w:lvlText w:val="•"/>
      <w:lvlJc w:val="left"/>
      <w:pPr>
        <w:ind w:left="6802" w:hanging="300"/>
      </w:pPr>
      <w:rPr>
        <w:rFonts w:hint="default"/>
      </w:rPr>
    </w:lvl>
    <w:lvl w:ilvl="8" w:tplc="BBA08540">
      <w:start w:val="1"/>
      <w:numFmt w:val="bullet"/>
      <w:lvlText w:val="•"/>
      <w:lvlJc w:val="left"/>
      <w:pPr>
        <w:ind w:left="7708" w:hanging="300"/>
      </w:pPr>
      <w:rPr>
        <w:rFonts w:hint="default"/>
      </w:rPr>
    </w:lvl>
  </w:abstractNum>
  <w:num w:numId="1">
    <w:abstractNumId w:val="35"/>
  </w:num>
  <w:num w:numId="2">
    <w:abstractNumId w:val="1"/>
  </w:num>
  <w:num w:numId="3">
    <w:abstractNumId w:val="28"/>
  </w:num>
  <w:num w:numId="4">
    <w:abstractNumId w:val="19"/>
  </w:num>
  <w:num w:numId="5">
    <w:abstractNumId w:val="43"/>
  </w:num>
  <w:num w:numId="6">
    <w:abstractNumId w:val="37"/>
  </w:num>
  <w:num w:numId="7">
    <w:abstractNumId w:val="0"/>
  </w:num>
  <w:num w:numId="8">
    <w:abstractNumId w:val="45"/>
  </w:num>
  <w:num w:numId="9">
    <w:abstractNumId w:val="18"/>
  </w:num>
  <w:num w:numId="10">
    <w:abstractNumId w:val="14"/>
  </w:num>
  <w:num w:numId="11">
    <w:abstractNumId w:val="29"/>
  </w:num>
  <w:num w:numId="12">
    <w:abstractNumId w:val="11"/>
  </w:num>
  <w:num w:numId="13">
    <w:abstractNumId w:val="40"/>
  </w:num>
  <w:num w:numId="14">
    <w:abstractNumId w:val="16"/>
  </w:num>
  <w:num w:numId="15">
    <w:abstractNumId w:val="2"/>
  </w:num>
  <w:num w:numId="16">
    <w:abstractNumId w:val="17"/>
  </w:num>
  <w:num w:numId="17">
    <w:abstractNumId w:val="20"/>
  </w:num>
  <w:num w:numId="18">
    <w:abstractNumId w:val="4"/>
  </w:num>
  <w:num w:numId="19">
    <w:abstractNumId w:val="21"/>
  </w:num>
  <w:num w:numId="20">
    <w:abstractNumId w:val="23"/>
  </w:num>
  <w:num w:numId="21">
    <w:abstractNumId w:val="34"/>
  </w:num>
  <w:num w:numId="22">
    <w:abstractNumId w:val="27"/>
  </w:num>
  <w:num w:numId="23">
    <w:abstractNumId w:val="38"/>
  </w:num>
  <w:num w:numId="24">
    <w:abstractNumId w:val="39"/>
  </w:num>
  <w:num w:numId="25">
    <w:abstractNumId w:val="42"/>
  </w:num>
  <w:num w:numId="26">
    <w:abstractNumId w:val="33"/>
  </w:num>
  <w:num w:numId="27">
    <w:abstractNumId w:val="41"/>
  </w:num>
  <w:num w:numId="28">
    <w:abstractNumId w:val="24"/>
  </w:num>
  <w:num w:numId="29">
    <w:abstractNumId w:val="3"/>
  </w:num>
  <w:num w:numId="30">
    <w:abstractNumId w:val="9"/>
  </w:num>
  <w:num w:numId="31">
    <w:abstractNumId w:val="7"/>
  </w:num>
  <w:num w:numId="32">
    <w:abstractNumId w:val="10"/>
  </w:num>
  <w:num w:numId="33">
    <w:abstractNumId w:val="30"/>
  </w:num>
  <w:num w:numId="34">
    <w:abstractNumId w:val="8"/>
  </w:num>
  <w:num w:numId="35">
    <w:abstractNumId w:val="5"/>
  </w:num>
  <w:num w:numId="36">
    <w:abstractNumId w:val="32"/>
  </w:num>
  <w:num w:numId="37">
    <w:abstractNumId w:val="26"/>
  </w:num>
  <w:num w:numId="38">
    <w:abstractNumId w:val="13"/>
  </w:num>
  <w:num w:numId="39">
    <w:abstractNumId w:val="22"/>
  </w:num>
  <w:num w:numId="40">
    <w:abstractNumId w:val="44"/>
  </w:num>
  <w:num w:numId="41">
    <w:abstractNumId w:val="6"/>
  </w:num>
  <w:num w:numId="42">
    <w:abstractNumId w:val="36"/>
  </w:num>
  <w:num w:numId="43">
    <w:abstractNumId w:val="25"/>
  </w:num>
  <w:num w:numId="44">
    <w:abstractNumId w:val="12"/>
  </w:num>
  <w:num w:numId="45">
    <w:abstractNumId w:val="46"/>
  </w:num>
  <w:num w:numId="46">
    <w:abstractNumId w:val="15"/>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964"/>
    <w:rsid w:val="000024D4"/>
    <w:rsid w:val="000122FF"/>
    <w:rsid w:val="00036A57"/>
    <w:rsid w:val="000A190B"/>
    <w:rsid w:val="000C7A8C"/>
    <w:rsid w:val="001114EF"/>
    <w:rsid w:val="0011711E"/>
    <w:rsid w:val="001F1CD3"/>
    <w:rsid w:val="00257447"/>
    <w:rsid w:val="00291BB5"/>
    <w:rsid w:val="002B3E25"/>
    <w:rsid w:val="002C2C53"/>
    <w:rsid w:val="002C53B1"/>
    <w:rsid w:val="002D03D8"/>
    <w:rsid w:val="00316D7B"/>
    <w:rsid w:val="00330D2A"/>
    <w:rsid w:val="00366AE1"/>
    <w:rsid w:val="00397077"/>
    <w:rsid w:val="003C0B95"/>
    <w:rsid w:val="00406489"/>
    <w:rsid w:val="00407940"/>
    <w:rsid w:val="00446C23"/>
    <w:rsid w:val="00457B2F"/>
    <w:rsid w:val="00473698"/>
    <w:rsid w:val="00494044"/>
    <w:rsid w:val="004A7475"/>
    <w:rsid w:val="004C38A1"/>
    <w:rsid w:val="004E3BDE"/>
    <w:rsid w:val="004F0D9D"/>
    <w:rsid w:val="00507BDB"/>
    <w:rsid w:val="005B60F6"/>
    <w:rsid w:val="00674E11"/>
    <w:rsid w:val="006B744A"/>
    <w:rsid w:val="006D7B8E"/>
    <w:rsid w:val="00765835"/>
    <w:rsid w:val="00766826"/>
    <w:rsid w:val="00775DEF"/>
    <w:rsid w:val="007B40F3"/>
    <w:rsid w:val="007D2CD7"/>
    <w:rsid w:val="00833E0F"/>
    <w:rsid w:val="00894B00"/>
    <w:rsid w:val="008B7E0E"/>
    <w:rsid w:val="008E04D7"/>
    <w:rsid w:val="009848DB"/>
    <w:rsid w:val="009E2B3C"/>
    <w:rsid w:val="009F2160"/>
    <w:rsid w:val="00A17A91"/>
    <w:rsid w:val="00A42964"/>
    <w:rsid w:val="00B26D25"/>
    <w:rsid w:val="00B26FE8"/>
    <w:rsid w:val="00B32CFB"/>
    <w:rsid w:val="00B71268"/>
    <w:rsid w:val="00BD1EB8"/>
    <w:rsid w:val="00BF451B"/>
    <w:rsid w:val="00C24C08"/>
    <w:rsid w:val="00C70376"/>
    <w:rsid w:val="00CA6208"/>
    <w:rsid w:val="00CC54C0"/>
    <w:rsid w:val="00CC6B41"/>
    <w:rsid w:val="00CD3CDF"/>
    <w:rsid w:val="00D11C30"/>
    <w:rsid w:val="00D13CD6"/>
    <w:rsid w:val="00D23C21"/>
    <w:rsid w:val="00D3086C"/>
    <w:rsid w:val="00D4367B"/>
    <w:rsid w:val="00D9018D"/>
    <w:rsid w:val="00DC237B"/>
    <w:rsid w:val="00DD1D23"/>
    <w:rsid w:val="00DE1357"/>
    <w:rsid w:val="00DF52F8"/>
    <w:rsid w:val="00EA2816"/>
    <w:rsid w:val="00EB5FEE"/>
    <w:rsid w:val="00ED4EB6"/>
    <w:rsid w:val="00F0025B"/>
    <w:rsid w:val="00F04CF1"/>
    <w:rsid w:val="00F624A7"/>
    <w:rsid w:val="00F741A0"/>
    <w:rsid w:val="00FC6F21"/>
    <w:rsid w:val="00FE4593"/>
    <w:rsid w:val="00FF2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FE8"/>
  </w:style>
  <w:style w:type="paragraph" w:styleId="Heading1">
    <w:name w:val="heading 1"/>
    <w:basedOn w:val="Normal"/>
    <w:link w:val="Heading1Char"/>
    <w:uiPriority w:val="1"/>
    <w:qFormat/>
    <w:rsid w:val="00BD1EB8"/>
    <w:pPr>
      <w:widowControl w:val="0"/>
      <w:spacing w:after="0" w:line="240" w:lineRule="auto"/>
      <w:ind w:left="10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494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044"/>
  </w:style>
  <w:style w:type="paragraph" w:styleId="Header">
    <w:name w:val="header"/>
    <w:basedOn w:val="Normal"/>
    <w:link w:val="HeaderChar"/>
    <w:uiPriority w:val="99"/>
    <w:unhideWhenUsed/>
    <w:rsid w:val="00494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044"/>
  </w:style>
  <w:style w:type="table" w:styleId="TableGrid">
    <w:name w:val="Table Grid"/>
    <w:basedOn w:val="TableNormal"/>
    <w:uiPriority w:val="39"/>
    <w:rsid w:val="00A42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A42964"/>
    <w:pPr>
      <w:widowControl w:val="0"/>
      <w:spacing w:after="0" w:line="240" w:lineRule="auto"/>
      <w:ind w:left="460"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A42964"/>
    <w:rPr>
      <w:rFonts w:ascii="Times New Roman" w:eastAsia="Times New Roman" w:hAnsi="Times New Roman"/>
      <w:sz w:val="24"/>
      <w:szCs w:val="24"/>
    </w:rPr>
  </w:style>
  <w:style w:type="character" w:customStyle="1" w:styleId="Heading1Char">
    <w:name w:val="Heading 1 Char"/>
    <w:basedOn w:val="DefaultParagraphFont"/>
    <w:link w:val="Heading1"/>
    <w:uiPriority w:val="1"/>
    <w:rsid w:val="00BD1EB8"/>
    <w:rPr>
      <w:rFonts w:ascii="Times New Roman" w:eastAsia="Times New Roman" w:hAnsi="Times New Roman"/>
      <w:b/>
      <w:bCs/>
      <w:sz w:val="24"/>
      <w:szCs w:val="24"/>
    </w:rPr>
  </w:style>
  <w:style w:type="paragraph" w:styleId="ListParagraph">
    <w:name w:val="List Paragraph"/>
    <w:basedOn w:val="Normal"/>
    <w:uiPriority w:val="1"/>
    <w:qFormat/>
    <w:rsid w:val="009E2B3C"/>
    <w:pPr>
      <w:ind w:left="720"/>
      <w:contextualSpacing/>
    </w:pPr>
  </w:style>
  <w:style w:type="paragraph" w:styleId="BalloonText">
    <w:name w:val="Balloon Text"/>
    <w:basedOn w:val="Normal"/>
    <w:link w:val="BalloonTextChar"/>
    <w:uiPriority w:val="99"/>
    <w:semiHidden/>
    <w:unhideWhenUsed/>
    <w:rsid w:val="00EB5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FEE"/>
    <w:rPr>
      <w:rFonts w:ascii="Tahoma" w:hAnsi="Tahoma" w:cs="Tahoma"/>
      <w:sz w:val="16"/>
      <w:szCs w:val="16"/>
    </w:rPr>
  </w:style>
  <w:style w:type="character" w:styleId="CommentReference">
    <w:name w:val="annotation reference"/>
    <w:basedOn w:val="DefaultParagraphFont"/>
    <w:uiPriority w:val="99"/>
    <w:semiHidden/>
    <w:unhideWhenUsed/>
    <w:rsid w:val="00ED4EB6"/>
    <w:rPr>
      <w:sz w:val="16"/>
      <w:szCs w:val="16"/>
    </w:rPr>
  </w:style>
  <w:style w:type="paragraph" w:styleId="CommentText">
    <w:name w:val="annotation text"/>
    <w:basedOn w:val="Normal"/>
    <w:link w:val="CommentTextChar"/>
    <w:uiPriority w:val="99"/>
    <w:semiHidden/>
    <w:unhideWhenUsed/>
    <w:rsid w:val="00ED4EB6"/>
    <w:pPr>
      <w:spacing w:line="240" w:lineRule="auto"/>
    </w:pPr>
    <w:rPr>
      <w:sz w:val="20"/>
      <w:szCs w:val="20"/>
    </w:rPr>
  </w:style>
  <w:style w:type="character" w:customStyle="1" w:styleId="CommentTextChar">
    <w:name w:val="Comment Text Char"/>
    <w:basedOn w:val="DefaultParagraphFont"/>
    <w:link w:val="CommentText"/>
    <w:uiPriority w:val="99"/>
    <w:semiHidden/>
    <w:rsid w:val="00ED4EB6"/>
    <w:rPr>
      <w:sz w:val="20"/>
      <w:szCs w:val="20"/>
    </w:rPr>
  </w:style>
  <w:style w:type="paragraph" w:styleId="CommentSubject">
    <w:name w:val="annotation subject"/>
    <w:basedOn w:val="CommentText"/>
    <w:next w:val="CommentText"/>
    <w:link w:val="CommentSubjectChar"/>
    <w:uiPriority w:val="99"/>
    <w:semiHidden/>
    <w:unhideWhenUsed/>
    <w:rsid w:val="00ED4EB6"/>
    <w:rPr>
      <w:b/>
      <w:bCs/>
    </w:rPr>
  </w:style>
  <w:style w:type="character" w:customStyle="1" w:styleId="CommentSubjectChar">
    <w:name w:val="Comment Subject Char"/>
    <w:basedOn w:val="CommentTextChar"/>
    <w:link w:val="CommentSubject"/>
    <w:uiPriority w:val="99"/>
    <w:semiHidden/>
    <w:rsid w:val="00ED4EB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FE8"/>
  </w:style>
  <w:style w:type="paragraph" w:styleId="Heading1">
    <w:name w:val="heading 1"/>
    <w:basedOn w:val="Normal"/>
    <w:link w:val="Heading1Char"/>
    <w:uiPriority w:val="1"/>
    <w:qFormat/>
    <w:rsid w:val="00BD1EB8"/>
    <w:pPr>
      <w:widowControl w:val="0"/>
      <w:spacing w:after="0" w:line="240" w:lineRule="auto"/>
      <w:ind w:left="10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494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044"/>
  </w:style>
  <w:style w:type="paragraph" w:styleId="Header">
    <w:name w:val="header"/>
    <w:basedOn w:val="Normal"/>
    <w:link w:val="HeaderChar"/>
    <w:uiPriority w:val="99"/>
    <w:unhideWhenUsed/>
    <w:rsid w:val="00494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044"/>
  </w:style>
  <w:style w:type="table" w:styleId="TableGrid">
    <w:name w:val="Table Grid"/>
    <w:basedOn w:val="TableNormal"/>
    <w:uiPriority w:val="39"/>
    <w:rsid w:val="00A42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A42964"/>
    <w:pPr>
      <w:widowControl w:val="0"/>
      <w:spacing w:after="0" w:line="240" w:lineRule="auto"/>
      <w:ind w:left="460"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A42964"/>
    <w:rPr>
      <w:rFonts w:ascii="Times New Roman" w:eastAsia="Times New Roman" w:hAnsi="Times New Roman"/>
      <w:sz w:val="24"/>
      <w:szCs w:val="24"/>
    </w:rPr>
  </w:style>
  <w:style w:type="character" w:customStyle="1" w:styleId="Heading1Char">
    <w:name w:val="Heading 1 Char"/>
    <w:basedOn w:val="DefaultParagraphFont"/>
    <w:link w:val="Heading1"/>
    <w:uiPriority w:val="1"/>
    <w:rsid w:val="00BD1EB8"/>
    <w:rPr>
      <w:rFonts w:ascii="Times New Roman" w:eastAsia="Times New Roman" w:hAnsi="Times New Roman"/>
      <w:b/>
      <w:bCs/>
      <w:sz w:val="24"/>
      <w:szCs w:val="24"/>
    </w:rPr>
  </w:style>
  <w:style w:type="paragraph" w:styleId="ListParagraph">
    <w:name w:val="List Paragraph"/>
    <w:basedOn w:val="Normal"/>
    <w:uiPriority w:val="1"/>
    <w:qFormat/>
    <w:rsid w:val="009E2B3C"/>
    <w:pPr>
      <w:ind w:left="720"/>
      <w:contextualSpacing/>
    </w:pPr>
  </w:style>
  <w:style w:type="paragraph" w:styleId="BalloonText">
    <w:name w:val="Balloon Text"/>
    <w:basedOn w:val="Normal"/>
    <w:link w:val="BalloonTextChar"/>
    <w:uiPriority w:val="99"/>
    <w:semiHidden/>
    <w:unhideWhenUsed/>
    <w:rsid w:val="00EB5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FEE"/>
    <w:rPr>
      <w:rFonts w:ascii="Tahoma" w:hAnsi="Tahoma" w:cs="Tahoma"/>
      <w:sz w:val="16"/>
      <w:szCs w:val="16"/>
    </w:rPr>
  </w:style>
  <w:style w:type="character" w:styleId="CommentReference">
    <w:name w:val="annotation reference"/>
    <w:basedOn w:val="DefaultParagraphFont"/>
    <w:uiPriority w:val="99"/>
    <w:semiHidden/>
    <w:unhideWhenUsed/>
    <w:rsid w:val="00ED4EB6"/>
    <w:rPr>
      <w:sz w:val="16"/>
      <w:szCs w:val="16"/>
    </w:rPr>
  </w:style>
  <w:style w:type="paragraph" w:styleId="CommentText">
    <w:name w:val="annotation text"/>
    <w:basedOn w:val="Normal"/>
    <w:link w:val="CommentTextChar"/>
    <w:uiPriority w:val="99"/>
    <w:semiHidden/>
    <w:unhideWhenUsed/>
    <w:rsid w:val="00ED4EB6"/>
    <w:pPr>
      <w:spacing w:line="240" w:lineRule="auto"/>
    </w:pPr>
    <w:rPr>
      <w:sz w:val="20"/>
      <w:szCs w:val="20"/>
    </w:rPr>
  </w:style>
  <w:style w:type="character" w:customStyle="1" w:styleId="CommentTextChar">
    <w:name w:val="Comment Text Char"/>
    <w:basedOn w:val="DefaultParagraphFont"/>
    <w:link w:val="CommentText"/>
    <w:uiPriority w:val="99"/>
    <w:semiHidden/>
    <w:rsid w:val="00ED4EB6"/>
    <w:rPr>
      <w:sz w:val="20"/>
      <w:szCs w:val="20"/>
    </w:rPr>
  </w:style>
  <w:style w:type="paragraph" w:styleId="CommentSubject">
    <w:name w:val="annotation subject"/>
    <w:basedOn w:val="CommentText"/>
    <w:next w:val="CommentText"/>
    <w:link w:val="CommentSubjectChar"/>
    <w:uiPriority w:val="99"/>
    <w:semiHidden/>
    <w:unhideWhenUsed/>
    <w:rsid w:val="00ED4EB6"/>
    <w:rPr>
      <w:b/>
      <w:bCs/>
    </w:rPr>
  </w:style>
  <w:style w:type="character" w:customStyle="1" w:styleId="CommentSubjectChar">
    <w:name w:val="Comment Subject Char"/>
    <w:basedOn w:val="CommentTextChar"/>
    <w:link w:val="CommentSubject"/>
    <w:uiPriority w:val="99"/>
    <w:semiHidden/>
    <w:rsid w:val="00ED4E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32959">
      <w:bodyDiv w:val="1"/>
      <w:marLeft w:val="0"/>
      <w:marRight w:val="0"/>
      <w:marTop w:val="0"/>
      <w:marBottom w:val="0"/>
      <w:divBdr>
        <w:top w:val="none" w:sz="0" w:space="0" w:color="auto"/>
        <w:left w:val="none" w:sz="0" w:space="0" w:color="auto"/>
        <w:bottom w:val="none" w:sz="0" w:space="0" w:color="auto"/>
        <w:right w:val="none" w:sz="0" w:space="0" w:color="auto"/>
      </w:divBdr>
    </w:div>
    <w:div w:id="513111869">
      <w:bodyDiv w:val="1"/>
      <w:marLeft w:val="0"/>
      <w:marRight w:val="0"/>
      <w:marTop w:val="0"/>
      <w:marBottom w:val="0"/>
      <w:divBdr>
        <w:top w:val="none" w:sz="0" w:space="0" w:color="auto"/>
        <w:left w:val="none" w:sz="0" w:space="0" w:color="auto"/>
        <w:bottom w:val="none" w:sz="0" w:space="0" w:color="auto"/>
        <w:right w:val="none" w:sz="0" w:space="0" w:color="auto"/>
      </w:divBdr>
    </w:div>
    <w:div w:id="748504848">
      <w:bodyDiv w:val="1"/>
      <w:marLeft w:val="0"/>
      <w:marRight w:val="0"/>
      <w:marTop w:val="0"/>
      <w:marBottom w:val="0"/>
      <w:divBdr>
        <w:top w:val="none" w:sz="0" w:space="0" w:color="auto"/>
        <w:left w:val="none" w:sz="0" w:space="0" w:color="auto"/>
        <w:bottom w:val="none" w:sz="0" w:space="0" w:color="auto"/>
        <w:right w:val="none" w:sz="0" w:space="0" w:color="auto"/>
      </w:divBdr>
    </w:div>
    <w:div w:id="1081026555">
      <w:bodyDiv w:val="1"/>
      <w:marLeft w:val="0"/>
      <w:marRight w:val="0"/>
      <w:marTop w:val="0"/>
      <w:marBottom w:val="0"/>
      <w:divBdr>
        <w:top w:val="none" w:sz="0" w:space="0" w:color="auto"/>
        <w:left w:val="none" w:sz="0" w:space="0" w:color="auto"/>
        <w:bottom w:val="none" w:sz="0" w:space="0" w:color="auto"/>
        <w:right w:val="none" w:sz="0" w:space="0" w:color="auto"/>
      </w:divBdr>
    </w:div>
    <w:div w:id="1156611107">
      <w:bodyDiv w:val="1"/>
      <w:marLeft w:val="0"/>
      <w:marRight w:val="0"/>
      <w:marTop w:val="0"/>
      <w:marBottom w:val="0"/>
      <w:divBdr>
        <w:top w:val="none" w:sz="0" w:space="0" w:color="auto"/>
        <w:left w:val="none" w:sz="0" w:space="0" w:color="auto"/>
        <w:bottom w:val="none" w:sz="0" w:space="0" w:color="auto"/>
        <w:right w:val="none" w:sz="0" w:space="0" w:color="auto"/>
      </w:divBdr>
    </w:div>
    <w:div w:id="158456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8C74B5CC7984489AAF43BEAF884A52" ma:contentTypeVersion="2" ma:contentTypeDescription="Create a new document." ma:contentTypeScope="" ma:versionID="29338e41a19da4626ceeed1a35f5d1e5">
  <xsd:schema xmlns:xsd="http://www.w3.org/2001/XMLSchema" xmlns:xs="http://www.w3.org/2001/XMLSchema" xmlns:p="http://schemas.microsoft.com/office/2006/metadata/properties" xmlns:ns2="aaccb3e5-8e3e-41f4-92f0-20a9843eeaef" targetNamespace="http://schemas.microsoft.com/office/2006/metadata/properties" ma:root="true" ma:fieldsID="2e59eeac4ce8850c292c07df37281dcf" ns2:_="">
    <xsd:import namespace="aaccb3e5-8e3e-41f4-92f0-20a9843eeae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ccb3e5-8e3e-41f4-92f0-20a9843eeae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03462-A747-4BF1-9C63-795CAA6676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6ED016-5021-43C2-81F7-2E3940E82B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ccb3e5-8e3e-41f4-92f0-20a9843ee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1F1A59-96F7-453B-A642-39D44EBBB063}">
  <ds:schemaRefs>
    <ds:schemaRef ds:uri="http://schemas.microsoft.com/sharepoint/v3/contenttype/forms"/>
  </ds:schemaRefs>
</ds:datastoreItem>
</file>

<file path=customXml/itemProps4.xml><?xml version="1.0" encoding="utf-8"?>
<ds:datastoreItem xmlns:ds="http://schemas.openxmlformats.org/officeDocument/2006/customXml" ds:itemID="{DFBADCEE-D9C3-4783-A52D-50F833029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35</Pages>
  <Words>5048</Words>
  <Characters>28779</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Steven Stein</dc:creator>
  <cp:lastModifiedBy>Duch, Christopher</cp:lastModifiedBy>
  <cp:revision>30</cp:revision>
  <cp:lastPrinted>2017-02-09T22:13:00Z</cp:lastPrinted>
  <dcterms:created xsi:type="dcterms:W3CDTF">2017-02-09T23:54:00Z</dcterms:created>
  <dcterms:modified xsi:type="dcterms:W3CDTF">2017-02-10T17:23:00Z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0x010100EC8C74B5CC7984489AAF43BEAF884A52</vt:lpwstr>
  </property>
</Properties>
</file>