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27" w:rsidRPr="003111F5" w:rsidRDefault="00911ED8" w:rsidP="006714FC">
      <w:pPr>
        <w:pStyle w:val="Heading1"/>
        <w:spacing w:before="1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7728" behindDoc="1" locked="1" layoutInCell="0" allowOverlap="0">
            <wp:simplePos x="0" y="0"/>
            <wp:positionH relativeFrom="page">
              <wp:posOffset>228600</wp:posOffset>
            </wp:positionH>
            <wp:positionV relativeFrom="page">
              <wp:posOffset>457200</wp:posOffset>
            </wp:positionV>
            <wp:extent cx="7315200" cy="1619250"/>
            <wp:effectExtent l="19050" t="0" r="0" b="0"/>
            <wp:wrapNone/>
            <wp:docPr id="3" name="Picture 3" descr="IP_Letterhead_Color_non-bl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_Letterhead_Color_non-ble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B78" w:rsidRPr="003111F5">
        <w:rPr>
          <w:rFonts w:ascii="Times New Roman" w:hAnsi="Times New Roman" w:cs="Times New Roman"/>
          <w:sz w:val="24"/>
        </w:rPr>
        <w:t>LOSS REPLACEMENT DECLARATION</w:t>
      </w:r>
    </w:p>
    <w:p w:rsidR="007F4A5B" w:rsidRPr="003111F5" w:rsidRDefault="007F4A5B" w:rsidP="006714FC">
      <w:r w:rsidRPr="003111F5">
        <w:t>For Idaho Power Company’s Real Power Losses</w:t>
      </w:r>
    </w:p>
    <w:p w:rsidR="003111F5" w:rsidRPr="003111F5" w:rsidRDefault="003111F5" w:rsidP="006714FC"/>
    <w:p w:rsidR="00EB6CF0" w:rsidRPr="003111F5" w:rsidRDefault="00EB6CF0" w:rsidP="00F81F1B">
      <w:pPr>
        <w:numPr>
          <w:ilvl w:val="0"/>
          <w:numId w:val="6"/>
        </w:numPr>
      </w:pPr>
      <w:r w:rsidRPr="003111F5">
        <w:t xml:space="preserve">The Transmission Customer has the option of replacing its Real Power Losses by either </w:t>
      </w:r>
    </w:p>
    <w:p w:rsidR="00EB6CF0" w:rsidRPr="003111F5" w:rsidRDefault="00EB6CF0" w:rsidP="00F81F1B">
      <w:pPr>
        <w:ind w:left="360" w:firstLine="360"/>
      </w:pPr>
      <w:r w:rsidRPr="003111F5">
        <w:t xml:space="preserve">self-supplying the obligation, or contracting with a third party to replace the obligation on </w:t>
      </w:r>
    </w:p>
    <w:p w:rsidR="00EB6CF0" w:rsidRDefault="00EB6CF0" w:rsidP="00F81F1B">
      <w:pPr>
        <w:ind w:left="360" w:firstLine="360"/>
      </w:pPr>
      <w:r w:rsidRPr="003111F5">
        <w:t>its behalf.</w:t>
      </w:r>
    </w:p>
    <w:p w:rsidR="001179E5" w:rsidRPr="003111F5" w:rsidRDefault="001179E5" w:rsidP="00F81F1B">
      <w:pPr>
        <w:ind w:left="360" w:firstLine="360"/>
      </w:pPr>
    </w:p>
    <w:bookmarkStart w:id="0" w:name="Text1"/>
    <w:p w:rsidR="006A4DD6" w:rsidRDefault="00CE7DB5" w:rsidP="00F81F1B">
      <w:pPr>
        <w:numPr>
          <w:ilvl w:val="0"/>
          <w:numId w:val="6"/>
        </w:numPr>
      </w:pPr>
      <w:r w:rsidRPr="00F63BA7">
        <w:rPr>
          <w:b/>
        </w:rPr>
        <w:fldChar w:fldCharType="begin">
          <w:ffData>
            <w:name w:val="Text1"/>
            <w:enabled/>
            <w:calcOnExit w:val="0"/>
            <w:textInput>
              <w:default w:val="Transmission Customer"/>
            </w:textInput>
          </w:ffData>
        </w:fldChar>
      </w:r>
      <w:r w:rsidR="00F63BA7" w:rsidRPr="00F63BA7">
        <w:rPr>
          <w:b/>
        </w:rPr>
        <w:instrText xml:space="preserve"> FORMTEXT </w:instrText>
      </w:r>
      <w:r w:rsidRPr="00F63BA7">
        <w:rPr>
          <w:b/>
        </w:rPr>
      </w:r>
      <w:r w:rsidRPr="00F63BA7">
        <w:rPr>
          <w:b/>
        </w:rPr>
        <w:fldChar w:fldCharType="separate"/>
      </w:r>
      <w:r w:rsidR="00C223DA">
        <w:rPr>
          <w:b/>
        </w:rPr>
        <w:t>(</w:t>
      </w:r>
      <w:r w:rsidR="00F63BA7" w:rsidRPr="00F63BA7">
        <w:rPr>
          <w:b/>
          <w:noProof/>
        </w:rPr>
        <w:t>Transmission Customer</w:t>
      </w:r>
      <w:r w:rsidR="00C223DA">
        <w:rPr>
          <w:b/>
          <w:noProof/>
        </w:rPr>
        <w:t>)</w:t>
      </w:r>
      <w:r w:rsidRPr="00F63BA7">
        <w:rPr>
          <w:b/>
        </w:rPr>
        <w:fldChar w:fldCharType="end"/>
      </w:r>
      <w:bookmarkEnd w:id="0"/>
      <w:r w:rsidR="00F63BA7">
        <w:t xml:space="preserve"> </w:t>
      </w:r>
      <w:r w:rsidR="00BD2598">
        <w:t xml:space="preserve">has declared its election by initialing </w:t>
      </w:r>
      <w:r w:rsidR="00363578" w:rsidRPr="00363578">
        <w:rPr>
          <w:i/>
        </w:rPr>
        <w:t>one</w:t>
      </w:r>
      <w:r w:rsidR="00BD2598">
        <w:t xml:space="preserve"> of the options below: </w:t>
      </w:r>
    </w:p>
    <w:p w:rsidR="005D7E75" w:rsidRPr="003111F5" w:rsidRDefault="005D7E75" w:rsidP="005D1C57"/>
    <w:p w:rsidR="00363578" w:rsidRDefault="00CE7DB5" w:rsidP="00363578">
      <w:pPr>
        <w:tabs>
          <w:tab w:val="left" w:pos="1980"/>
        </w:tabs>
        <w:ind w:left="1980" w:hanging="540"/>
        <w:rPr>
          <w:b/>
          <w:bCs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9952A5">
        <w:instrText xml:space="preserve"> FORMCHECKBOX </w:instrText>
      </w:r>
      <w:r>
        <w:fldChar w:fldCharType="separate"/>
      </w:r>
      <w:r>
        <w:fldChar w:fldCharType="end"/>
      </w:r>
      <w:bookmarkEnd w:id="1"/>
      <w:r w:rsidR="00BA3329">
        <w:t xml:space="preserve">     </w:t>
      </w:r>
      <w:r w:rsidR="005D7E75" w:rsidRPr="003111F5">
        <w:rPr>
          <w:b/>
          <w:bCs/>
        </w:rPr>
        <w:t xml:space="preserve">1. Real Power Losses </w:t>
      </w:r>
      <w:r w:rsidR="00597467">
        <w:rPr>
          <w:b/>
          <w:bCs/>
        </w:rPr>
        <w:t>d</w:t>
      </w:r>
      <w:r w:rsidR="005D7E75" w:rsidRPr="003111F5">
        <w:rPr>
          <w:b/>
          <w:bCs/>
        </w:rPr>
        <w:t xml:space="preserve">elivered to IPCO </w:t>
      </w:r>
      <w:r w:rsidR="006A4DD6" w:rsidRPr="003111F5">
        <w:rPr>
          <w:b/>
          <w:bCs/>
        </w:rPr>
        <w:t>by</w:t>
      </w:r>
      <w:r w:rsidR="005D7E75" w:rsidRPr="003111F5">
        <w:rPr>
          <w:b/>
          <w:bCs/>
        </w:rPr>
        <w:t xml:space="preserve"> </w:t>
      </w:r>
      <w:r w:rsidR="00BD2598">
        <w:rPr>
          <w:b/>
          <w:bCs/>
        </w:rPr>
        <w:t xml:space="preserve">Transmission </w:t>
      </w:r>
      <w:r w:rsidR="005D7E75" w:rsidRPr="003111F5">
        <w:rPr>
          <w:b/>
          <w:bCs/>
        </w:rPr>
        <w:t>Customer</w:t>
      </w:r>
      <w:r w:rsidR="00702FDD">
        <w:rPr>
          <w:b/>
          <w:bCs/>
        </w:rPr>
        <w:t xml:space="preserve"> using the HOURLY LOSS RETURN service to the IPCOLOSS PO</w:t>
      </w:r>
      <w:r w:rsidR="00597467">
        <w:rPr>
          <w:b/>
          <w:bCs/>
        </w:rPr>
        <w:t>D</w:t>
      </w:r>
      <w:r w:rsidR="00087E31">
        <w:rPr>
          <w:b/>
          <w:bCs/>
        </w:rPr>
        <w:t xml:space="preserve"> and IPCO_LOSS sink</w:t>
      </w:r>
      <w:r w:rsidR="00BD2598">
        <w:rPr>
          <w:b/>
          <w:bCs/>
        </w:rPr>
        <w:t>. Effective upon receipt of the executed Declaration by IPCO.</w:t>
      </w:r>
    </w:p>
    <w:p w:rsidR="00525A50" w:rsidRDefault="0011399D">
      <w:pPr>
        <w:ind w:left="2160"/>
        <w:rPr>
          <w:b/>
          <w:bCs/>
        </w:rPr>
      </w:pPr>
      <w:r w:rsidRPr="003111F5">
        <w:rPr>
          <w:b/>
          <w:bCs/>
        </w:rPr>
        <w:t xml:space="preserve">  </w:t>
      </w:r>
      <w:r w:rsidR="005D7E75" w:rsidRPr="003111F5">
        <w:rPr>
          <w:b/>
          <w:bCs/>
        </w:rPr>
        <w:tab/>
      </w:r>
    </w:p>
    <w:p w:rsidR="00525A50" w:rsidRDefault="00CE7DB5" w:rsidP="00FA4D88">
      <w:pPr>
        <w:tabs>
          <w:tab w:val="left" w:pos="1980"/>
        </w:tabs>
        <w:ind w:left="1987" w:hanging="547"/>
        <w:rPr>
          <w:b/>
          <w:bCs/>
        </w:rPr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 w:rsidR="00BA3329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 w:rsidR="00BA3329">
        <w:rPr>
          <w:b/>
          <w:bCs/>
        </w:rPr>
        <w:t xml:space="preserve">     </w:t>
      </w:r>
      <w:r w:rsidR="005D7E75" w:rsidRPr="003111F5">
        <w:rPr>
          <w:b/>
          <w:bCs/>
        </w:rPr>
        <w:t xml:space="preserve">2a. Customer’s Real Power Losses </w:t>
      </w:r>
      <w:r w:rsidR="00597467">
        <w:rPr>
          <w:b/>
          <w:bCs/>
        </w:rPr>
        <w:t>d</w:t>
      </w:r>
      <w:r w:rsidR="005D7E75" w:rsidRPr="003111F5">
        <w:rPr>
          <w:b/>
          <w:bCs/>
        </w:rPr>
        <w:t>elivered to IPCO</w:t>
      </w:r>
      <w:r w:rsidR="00BD2598">
        <w:rPr>
          <w:b/>
          <w:bCs/>
        </w:rPr>
        <w:t xml:space="preserve"> via third party supplier external to IPCO’s system.  Effective upon receipt of the executed declaration and a copy of </w:t>
      </w:r>
      <w:r w:rsidR="009A741A">
        <w:rPr>
          <w:b/>
          <w:bCs/>
        </w:rPr>
        <w:t>the agreement</w:t>
      </w:r>
      <w:r w:rsidR="00BD2598">
        <w:rPr>
          <w:b/>
          <w:bCs/>
        </w:rPr>
        <w:t xml:space="preserve"> from the third party energy supplier.</w:t>
      </w:r>
    </w:p>
    <w:p w:rsidR="00363578" w:rsidRDefault="005D7E75" w:rsidP="00363578">
      <w:pPr>
        <w:tabs>
          <w:tab w:val="left" w:pos="1980"/>
        </w:tabs>
        <w:ind w:left="1440"/>
        <w:rPr>
          <w:b/>
        </w:rPr>
      </w:pPr>
      <w:r w:rsidRPr="003111F5">
        <w:rPr>
          <w:b/>
          <w:bCs/>
        </w:rPr>
        <w:t xml:space="preserve"> </w:t>
      </w:r>
      <w:r w:rsidRPr="003111F5">
        <w:rPr>
          <w:b/>
        </w:rPr>
        <w:tab/>
      </w:r>
    </w:p>
    <w:p w:rsidR="00363578" w:rsidRDefault="00CE7DB5" w:rsidP="00FA4D88">
      <w:pPr>
        <w:ind w:left="1987" w:hanging="547"/>
        <w:rPr>
          <w:b/>
          <w:bCs/>
        </w:rPr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 w:rsidR="00BA3329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 w:rsidR="00BA3329">
        <w:rPr>
          <w:b/>
          <w:bCs/>
        </w:rPr>
        <w:t xml:space="preserve">     </w:t>
      </w:r>
      <w:r w:rsidR="005D7E75" w:rsidRPr="001179E5">
        <w:rPr>
          <w:b/>
          <w:bCs/>
        </w:rPr>
        <w:t xml:space="preserve">2b. </w:t>
      </w:r>
      <w:r w:rsidR="005D7E75" w:rsidRPr="003111F5">
        <w:rPr>
          <w:b/>
          <w:bCs/>
        </w:rPr>
        <w:t xml:space="preserve">Customer’s Real Power Losses </w:t>
      </w:r>
      <w:r w:rsidR="00597467">
        <w:rPr>
          <w:b/>
          <w:bCs/>
        </w:rPr>
        <w:t>d</w:t>
      </w:r>
      <w:r w:rsidR="005D7E75" w:rsidRPr="003111F5">
        <w:rPr>
          <w:b/>
          <w:bCs/>
        </w:rPr>
        <w:t xml:space="preserve">elivered to IPCO </w:t>
      </w:r>
      <w:r w:rsidR="00BD2598">
        <w:rPr>
          <w:b/>
          <w:bCs/>
        </w:rPr>
        <w:t xml:space="preserve">via IPC </w:t>
      </w:r>
      <w:r w:rsidR="00087E31">
        <w:rPr>
          <w:b/>
          <w:bCs/>
        </w:rPr>
        <w:t xml:space="preserve">Balancing </w:t>
      </w:r>
      <w:r w:rsidR="001C3E2C">
        <w:rPr>
          <w:b/>
          <w:bCs/>
        </w:rPr>
        <w:t xml:space="preserve"> Operations</w:t>
      </w:r>
      <w:r w:rsidR="00BD2598">
        <w:rPr>
          <w:b/>
          <w:bCs/>
        </w:rPr>
        <w:t xml:space="preserve"> as the third party supplier.  Effective upon receipt of the executed declaration and a copy of the </w:t>
      </w:r>
      <w:r w:rsidR="00EA13B8">
        <w:rPr>
          <w:b/>
          <w:bCs/>
        </w:rPr>
        <w:t>Confirmation Agreement with</w:t>
      </w:r>
      <w:r w:rsidR="00BD2598">
        <w:rPr>
          <w:b/>
          <w:bCs/>
        </w:rPr>
        <w:t xml:space="preserve"> IPC </w:t>
      </w:r>
      <w:r w:rsidR="00087E31">
        <w:rPr>
          <w:b/>
          <w:bCs/>
        </w:rPr>
        <w:t>Balancing</w:t>
      </w:r>
      <w:r w:rsidR="001C3E2C">
        <w:rPr>
          <w:b/>
          <w:bCs/>
        </w:rPr>
        <w:t xml:space="preserve"> Operations</w:t>
      </w:r>
      <w:r w:rsidR="00BD2598">
        <w:rPr>
          <w:b/>
          <w:bCs/>
        </w:rPr>
        <w:t xml:space="preserve">.  </w:t>
      </w:r>
      <w:r w:rsidR="00FE446B" w:rsidRPr="001179E5">
        <w:rPr>
          <w:b/>
          <w:bCs/>
        </w:rPr>
        <w:t xml:space="preserve">Contact </w:t>
      </w:r>
      <w:r w:rsidR="005B5438" w:rsidRPr="001179E5">
        <w:rPr>
          <w:b/>
          <w:bCs/>
        </w:rPr>
        <w:t>Shaun Jensen</w:t>
      </w:r>
      <w:r w:rsidR="00BD2598" w:rsidRPr="001179E5">
        <w:rPr>
          <w:b/>
          <w:bCs/>
        </w:rPr>
        <w:t xml:space="preserve"> at </w:t>
      </w:r>
      <w:r w:rsidR="00FE446B" w:rsidRPr="001179E5">
        <w:rPr>
          <w:b/>
          <w:bCs/>
        </w:rPr>
        <w:t>208-388-</w:t>
      </w:r>
      <w:r w:rsidR="005B5438" w:rsidRPr="001179E5">
        <w:rPr>
          <w:b/>
          <w:bCs/>
        </w:rPr>
        <w:t>5845</w:t>
      </w:r>
      <w:r w:rsidR="00BD2598" w:rsidRPr="001179E5">
        <w:rPr>
          <w:b/>
          <w:bCs/>
        </w:rPr>
        <w:t>.</w:t>
      </w:r>
    </w:p>
    <w:p w:rsidR="001179E5" w:rsidRDefault="001179E5" w:rsidP="001179E5">
      <w:pPr>
        <w:ind w:left="1440"/>
        <w:rPr>
          <w:b/>
          <w:bCs/>
        </w:rPr>
      </w:pPr>
    </w:p>
    <w:p w:rsidR="001179E5" w:rsidRDefault="001179E5" w:rsidP="001179E5">
      <w:pPr>
        <w:jc w:val="center"/>
      </w:pPr>
      <w:r>
        <w:t xml:space="preserve">Note: </w:t>
      </w:r>
      <w:r w:rsidRPr="003111F5">
        <w:t xml:space="preserve">If option 1 or 2a is selected, please provide a </w:t>
      </w:r>
      <w:r w:rsidR="00702FDD">
        <w:t xml:space="preserve">single </w:t>
      </w:r>
      <w:r w:rsidR="00597467">
        <w:t xml:space="preserve">point of contact for </w:t>
      </w:r>
      <w:r w:rsidRPr="003111F5">
        <w:t>loss notification</w:t>
      </w:r>
      <w:r w:rsidR="00597467">
        <w:t xml:space="preserve"> (i.e. a single distribution group such as IPCATF@idahopower.com)</w:t>
      </w:r>
      <w:r w:rsidRPr="003111F5">
        <w:t>.</w:t>
      </w:r>
    </w:p>
    <w:p w:rsidR="00C03E3F" w:rsidRPr="003111F5" w:rsidRDefault="005D7E75" w:rsidP="00EB0A63">
      <w:pPr>
        <w:ind w:left="2340"/>
      </w:pPr>
      <w:r w:rsidRPr="003111F5">
        <w:tab/>
      </w:r>
      <w:r w:rsidRPr="003111F5">
        <w:tab/>
      </w:r>
    </w:p>
    <w:p w:rsidR="00363578" w:rsidRDefault="00BD2598" w:rsidP="00363578">
      <w:pPr>
        <w:numPr>
          <w:ilvl w:val="0"/>
          <w:numId w:val="6"/>
        </w:numPr>
      </w:pPr>
      <w:r>
        <w:t xml:space="preserve">The Transmission Customer may amend its election by providing IPC </w:t>
      </w:r>
      <w:r w:rsidR="00087E31">
        <w:t xml:space="preserve">Grid Opeartions </w:t>
      </w:r>
      <w:r w:rsidR="00EA13B8">
        <w:t>an updated executed Declaration</w:t>
      </w:r>
      <w:r>
        <w:t xml:space="preserve"> at least ten (10) business days in advance of the requested date of amendment.</w:t>
      </w:r>
      <w:r w:rsidR="00EA13B8">
        <w:t xml:space="preserve">  Changes to the agreement with IPC </w:t>
      </w:r>
      <w:r w:rsidR="00087E31">
        <w:t>Balancing</w:t>
      </w:r>
      <w:r w:rsidR="001C3E2C">
        <w:t xml:space="preserve"> Operations</w:t>
      </w:r>
      <w:r w:rsidR="00EA13B8">
        <w:t xml:space="preserve"> will require an update</w:t>
      </w:r>
      <w:r w:rsidR="001C3E2C">
        <w:t>d</w:t>
      </w:r>
      <w:r w:rsidR="00EA13B8">
        <w:t xml:space="preserve"> copy of the Confirmation Agreement.</w:t>
      </w:r>
      <w:r>
        <w:t xml:space="preserve"> </w:t>
      </w:r>
      <w:r>
        <w:br/>
      </w:r>
    </w:p>
    <w:p w:rsidR="001179E5" w:rsidRDefault="001179E5" w:rsidP="001179E5">
      <w:pPr>
        <w:ind w:left="360"/>
      </w:pPr>
    </w:p>
    <w:p w:rsidR="009560EE" w:rsidRPr="003111F5" w:rsidRDefault="009560EE" w:rsidP="00F55D4C"/>
    <w:p w:rsidR="009560EE" w:rsidRPr="003111F5" w:rsidRDefault="009560EE" w:rsidP="00F55D4C"/>
    <w:p w:rsidR="00F55D4C" w:rsidRDefault="00F55D4C" w:rsidP="00C56E2D">
      <w:r w:rsidRPr="003111F5">
        <w:t>____________________________________</w:t>
      </w:r>
      <w:r w:rsidR="00C56E2D">
        <w:t>_______</w:t>
      </w:r>
      <w:r w:rsidRPr="003111F5">
        <w:t>__</w:t>
      </w:r>
      <w:r w:rsidRPr="003111F5">
        <w:tab/>
      </w:r>
      <w:r w:rsidRPr="003111F5">
        <w:tab/>
        <w:t>____________________</w:t>
      </w:r>
      <w:r w:rsidR="00667B96" w:rsidRPr="003111F5">
        <w:t>_</w:t>
      </w:r>
      <w:r w:rsidR="00667B96">
        <w:t xml:space="preserve"> Transmission</w:t>
      </w:r>
      <w:r w:rsidRPr="003111F5">
        <w:t xml:space="preserve"> Customer</w:t>
      </w:r>
      <w:r w:rsidR="00C56E2D">
        <w:t xml:space="preserve"> (Sign &amp; Print)</w:t>
      </w:r>
      <w:r w:rsidR="00C56E2D">
        <w:tab/>
      </w:r>
      <w:r w:rsidR="00C56E2D">
        <w:tab/>
      </w:r>
      <w:r w:rsidR="00C56E2D">
        <w:tab/>
        <w:t xml:space="preserve">            </w:t>
      </w:r>
      <w:r w:rsidRPr="003111F5">
        <w:t>Date</w:t>
      </w:r>
    </w:p>
    <w:p w:rsidR="00C56E2D" w:rsidRDefault="00C56E2D" w:rsidP="00F55D4C">
      <w:pPr>
        <w:ind w:firstLine="720"/>
      </w:pPr>
    </w:p>
    <w:p w:rsidR="00C56E2D" w:rsidRPr="003111F5" w:rsidRDefault="00C56E2D" w:rsidP="00F55D4C">
      <w:pPr>
        <w:ind w:firstLine="720"/>
      </w:pPr>
    </w:p>
    <w:p w:rsidR="00CB1EFE" w:rsidRPr="003111F5" w:rsidRDefault="00CB1EFE" w:rsidP="00CB1EFE"/>
    <w:p w:rsidR="009560EE" w:rsidRPr="003111F5" w:rsidRDefault="00F55D4C" w:rsidP="00CB1EFE">
      <w:r w:rsidRPr="003111F5">
        <w:t xml:space="preserve">Please return to: </w:t>
      </w:r>
      <w:r w:rsidR="00D47C82">
        <w:tab/>
      </w:r>
      <w:r w:rsidRPr="003111F5">
        <w:t>Idaho Power Grid Operations</w:t>
      </w:r>
      <w:r w:rsidRPr="003111F5">
        <w:tab/>
        <w:t>fax: (208) 388-5504</w:t>
      </w:r>
      <w:r w:rsidRPr="003111F5">
        <w:tab/>
      </w:r>
    </w:p>
    <w:p w:rsidR="009560EE" w:rsidRPr="003111F5" w:rsidRDefault="00D47C82" w:rsidP="00CB1EFE">
      <w:r>
        <w:tab/>
      </w:r>
      <w:r w:rsidR="009560EE" w:rsidRPr="003111F5">
        <w:tab/>
      </w:r>
      <w:r w:rsidR="00F55D4C" w:rsidRPr="003111F5">
        <w:t xml:space="preserve">    </w:t>
      </w:r>
      <w:r>
        <w:tab/>
      </w:r>
      <w:r w:rsidR="009560EE" w:rsidRPr="003111F5">
        <w:t xml:space="preserve">e-mail: </w:t>
      </w:r>
      <w:r w:rsidR="009F7513">
        <w:t xml:space="preserve">Beth Ryan at </w:t>
      </w:r>
      <w:hyperlink r:id="rId9" w:history="1">
        <w:r w:rsidR="009560EE" w:rsidRPr="003111F5">
          <w:rPr>
            <w:rStyle w:val="Hyperlink"/>
          </w:rPr>
          <w:t>bryan@idahopower.com</w:t>
        </w:r>
      </w:hyperlink>
      <w:r w:rsidR="009560EE" w:rsidRPr="003111F5">
        <w:t xml:space="preserve"> AND </w:t>
      </w:r>
      <w:r w:rsidR="009F7513">
        <w:t xml:space="preserve">Kathy Anderson at </w:t>
      </w:r>
      <w:hyperlink r:id="rId10" w:history="1">
        <w:r w:rsidR="009560EE" w:rsidRPr="003111F5">
          <w:rPr>
            <w:rStyle w:val="Hyperlink"/>
          </w:rPr>
          <w:t>kathyanderson@idahopower.com</w:t>
        </w:r>
      </w:hyperlink>
    </w:p>
    <w:sectPr w:rsidR="009560EE" w:rsidRPr="003111F5" w:rsidSect="003111F5">
      <w:footerReference w:type="default" r:id="rId11"/>
      <w:pgSz w:w="12240" w:h="15840"/>
      <w:pgMar w:top="1440" w:right="1397" w:bottom="1008" w:left="13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67" w:rsidRDefault="00597467">
      <w:r>
        <w:separator/>
      </w:r>
    </w:p>
  </w:endnote>
  <w:endnote w:type="continuationSeparator" w:id="0">
    <w:p w:rsidR="00597467" w:rsidRDefault="0059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67" w:rsidRDefault="00597467" w:rsidP="003111F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9F7513">
      <w:rPr>
        <w:sz w:val="16"/>
        <w:szCs w:val="16"/>
      </w:rPr>
      <w:t>02-25-14</w:t>
    </w:r>
  </w:p>
  <w:p w:rsidR="00597467" w:rsidRPr="003111F5" w:rsidRDefault="00597467" w:rsidP="003111F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67" w:rsidRDefault="00597467">
      <w:r>
        <w:separator/>
      </w:r>
    </w:p>
  </w:footnote>
  <w:footnote w:type="continuationSeparator" w:id="0">
    <w:p w:rsidR="00597467" w:rsidRDefault="0059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184C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14B09"/>
    <w:multiLevelType w:val="hybridMultilevel"/>
    <w:tmpl w:val="E63E824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97C78"/>
    <w:multiLevelType w:val="hybridMultilevel"/>
    <w:tmpl w:val="3872DA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46367"/>
    <w:multiLevelType w:val="hybridMultilevel"/>
    <w:tmpl w:val="0A9C52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61E38"/>
    <w:multiLevelType w:val="hybridMultilevel"/>
    <w:tmpl w:val="3BD0E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20B4B"/>
    <w:multiLevelType w:val="hybridMultilevel"/>
    <w:tmpl w:val="57F83C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7670A8"/>
    <w:multiLevelType w:val="hybridMultilevel"/>
    <w:tmpl w:val="84EE44C2"/>
    <w:lvl w:ilvl="0" w:tplc="3EB2C2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996"/>
    <w:rsid w:val="00015436"/>
    <w:rsid w:val="000238E0"/>
    <w:rsid w:val="0003112F"/>
    <w:rsid w:val="00032C9A"/>
    <w:rsid w:val="00041111"/>
    <w:rsid w:val="00065F93"/>
    <w:rsid w:val="00087E31"/>
    <w:rsid w:val="00097E31"/>
    <w:rsid w:val="000F2947"/>
    <w:rsid w:val="00110843"/>
    <w:rsid w:val="0011399D"/>
    <w:rsid w:val="00114363"/>
    <w:rsid w:val="001179E5"/>
    <w:rsid w:val="0017364A"/>
    <w:rsid w:val="0018142C"/>
    <w:rsid w:val="00184D7B"/>
    <w:rsid w:val="001A52A1"/>
    <w:rsid w:val="001C3E2C"/>
    <w:rsid w:val="00233BA2"/>
    <w:rsid w:val="002B5C6F"/>
    <w:rsid w:val="003111F5"/>
    <w:rsid w:val="00336844"/>
    <w:rsid w:val="003465A5"/>
    <w:rsid w:val="003553A7"/>
    <w:rsid w:val="00363578"/>
    <w:rsid w:val="00384F6B"/>
    <w:rsid w:val="00390194"/>
    <w:rsid w:val="00390B7E"/>
    <w:rsid w:val="0044314A"/>
    <w:rsid w:val="00451088"/>
    <w:rsid w:val="00454286"/>
    <w:rsid w:val="00475102"/>
    <w:rsid w:val="00480EE3"/>
    <w:rsid w:val="00482E00"/>
    <w:rsid w:val="00492DFD"/>
    <w:rsid w:val="004B44B1"/>
    <w:rsid w:val="00525A50"/>
    <w:rsid w:val="00591EBE"/>
    <w:rsid w:val="00597467"/>
    <w:rsid w:val="005A1CD9"/>
    <w:rsid w:val="005B5438"/>
    <w:rsid w:val="005D1C57"/>
    <w:rsid w:val="005D7E75"/>
    <w:rsid w:val="00607AAA"/>
    <w:rsid w:val="00624ABE"/>
    <w:rsid w:val="00654600"/>
    <w:rsid w:val="00667B96"/>
    <w:rsid w:val="006714FC"/>
    <w:rsid w:val="006A4DD6"/>
    <w:rsid w:val="00702FDD"/>
    <w:rsid w:val="00757592"/>
    <w:rsid w:val="007F4A5B"/>
    <w:rsid w:val="00817A06"/>
    <w:rsid w:val="008475BC"/>
    <w:rsid w:val="008651AF"/>
    <w:rsid w:val="008940AD"/>
    <w:rsid w:val="00894B98"/>
    <w:rsid w:val="008E5092"/>
    <w:rsid w:val="008F3996"/>
    <w:rsid w:val="008F3CBC"/>
    <w:rsid w:val="00911ED8"/>
    <w:rsid w:val="00925A19"/>
    <w:rsid w:val="009344CA"/>
    <w:rsid w:val="00944AEB"/>
    <w:rsid w:val="009560EE"/>
    <w:rsid w:val="00984C51"/>
    <w:rsid w:val="009861F4"/>
    <w:rsid w:val="009952A5"/>
    <w:rsid w:val="009A741A"/>
    <w:rsid w:val="009F7513"/>
    <w:rsid w:val="00A2096D"/>
    <w:rsid w:val="00A95B32"/>
    <w:rsid w:val="00B14B9E"/>
    <w:rsid w:val="00B806CE"/>
    <w:rsid w:val="00BA3329"/>
    <w:rsid w:val="00BB58C9"/>
    <w:rsid w:val="00BC6A46"/>
    <w:rsid w:val="00BD2598"/>
    <w:rsid w:val="00C03E3F"/>
    <w:rsid w:val="00C223DA"/>
    <w:rsid w:val="00C56E2D"/>
    <w:rsid w:val="00C81AC0"/>
    <w:rsid w:val="00CB1EFE"/>
    <w:rsid w:val="00CE63AA"/>
    <w:rsid w:val="00CE7DB5"/>
    <w:rsid w:val="00D24BEA"/>
    <w:rsid w:val="00D47C82"/>
    <w:rsid w:val="00DC662B"/>
    <w:rsid w:val="00DF1B78"/>
    <w:rsid w:val="00DF3E27"/>
    <w:rsid w:val="00DF73E3"/>
    <w:rsid w:val="00E42599"/>
    <w:rsid w:val="00EA13B8"/>
    <w:rsid w:val="00EB0A63"/>
    <w:rsid w:val="00EB6CF0"/>
    <w:rsid w:val="00EE715B"/>
    <w:rsid w:val="00F04E1B"/>
    <w:rsid w:val="00F55D4C"/>
    <w:rsid w:val="00F63BA7"/>
    <w:rsid w:val="00F81F1B"/>
    <w:rsid w:val="00FA4D88"/>
    <w:rsid w:val="00FB3227"/>
    <w:rsid w:val="00FE446B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592"/>
    <w:rPr>
      <w:sz w:val="24"/>
      <w:szCs w:val="24"/>
    </w:rPr>
  </w:style>
  <w:style w:type="paragraph" w:styleId="Heading1">
    <w:name w:val="heading 1"/>
    <w:basedOn w:val="Normal"/>
    <w:next w:val="Normal"/>
    <w:qFormat/>
    <w:rsid w:val="007575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7592"/>
    <w:pPr>
      <w:ind w:left="-360"/>
    </w:pPr>
  </w:style>
  <w:style w:type="paragraph" w:styleId="BodyText">
    <w:name w:val="Body Text"/>
    <w:basedOn w:val="Normal"/>
    <w:rsid w:val="00757592"/>
    <w:pPr>
      <w:ind w:right="-126"/>
    </w:pPr>
    <w:rPr>
      <w:rFonts w:ascii="Albertus Extra Bold" w:hAnsi="Albertus Extra Bold"/>
      <w:sz w:val="22"/>
      <w:szCs w:val="20"/>
    </w:rPr>
  </w:style>
  <w:style w:type="paragraph" w:styleId="BodyTextIndent2">
    <w:name w:val="Body Text Indent 2"/>
    <w:basedOn w:val="Normal"/>
    <w:rsid w:val="00757592"/>
    <w:pPr>
      <w:ind w:left="720"/>
    </w:pPr>
    <w:rPr>
      <w:rFonts w:ascii="Arial" w:hAnsi="Arial" w:cs="Arial"/>
      <w:sz w:val="20"/>
    </w:rPr>
  </w:style>
  <w:style w:type="paragraph" w:styleId="ListBullet">
    <w:name w:val="List Bullet"/>
    <w:basedOn w:val="Normal"/>
    <w:rsid w:val="007F4A5B"/>
    <w:pPr>
      <w:numPr>
        <w:numId w:val="3"/>
      </w:numPr>
    </w:pPr>
  </w:style>
  <w:style w:type="character" w:styleId="Hyperlink">
    <w:name w:val="Hyperlink"/>
    <w:basedOn w:val="DefaultParagraphFont"/>
    <w:rsid w:val="009560EE"/>
    <w:rPr>
      <w:color w:val="0000FF"/>
      <w:u w:val="single"/>
    </w:rPr>
  </w:style>
  <w:style w:type="paragraph" w:styleId="Header">
    <w:name w:val="header"/>
    <w:basedOn w:val="Normal"/>
    <w:rsid w:val="004B4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44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D1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C5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79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179E5"/>
    <w:rPr>
      <w:color w:val="808080"/>
    </w:rPr>
  </w:style>
  <w:style w:type="character" w:customStyle="1" w:styleId="Style1">
    <w:name w:val="Style1"/>
    <w:basedOn w:val="DefaultParagraphFont"/>
    <w:uiPriority w:val="1"/>
    <w:rsid w:val="001179E5"/>
  </w:style>
  <w:style w:type="character" w:customStyle="1" w:styleId="Style2">
    <w:name w:val="Style2"/>
    <w:basedOn w:val="DefaultParagraphFont"/>
    <w:uiPriority w:val="1"/>
    <w:rsid w:val="00C56E2D"/>
    <w:rPr>
      <w:b/>
    </w:rPr>
  </w:style>
  <w:style w:type="character" w:customStyle="1" w:styleId="Style3">
    <w:name w:val="Style3"/>
    <w:basedOn w:val="DefaultParagraphFont"/>
    <w:uiPriority w:val="1"/>
    <w:rsid w:val="003553A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hyanderson@idahopow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yan@idaho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24A3-6468-46D5-89EF-9BED82DA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POWER LOSS POLICY</vt:lpstr>
    </vt:vector>
  </TitlesOfParts>
  <Company>(TRANSMISSION CUSTOMER)</Company>
  <LinksUpToDate>false</LinksUpToDate>
  <CharactersWithSpaces>2015</CharactersWithSpaces>
  <SharedDoc>false</SharedDoc>
  <HLinks>
    <vt:vector size="12" baseType="variant">
      <vt:variant>
        <vt:i4>4063233</vt:i4>
      </vt:variant>
      <vt:variant>
        <vt:i4>15</vt:i4>
      </vt:variant>
      <vt:variant>
        <vt:i4>0</vt:i4>
      </vt:variant>
      <vt:variant>
        <vt:i4>5</vt:i4>
      </vt:variant>
      <vt:variant>
        <vt:lpwstr>mailto:kathyanderson@idahopower.com</vt:lpwstr>
      </vt:variant>
      <vt:variant>
        <vt:lpwstr/>
      </vt:variant>
      <vt:variant>
        <vt:i4>3866627</vt:i4>
      </vt:variant>
      <vt:variant>
        <vt:i4>12</vt:i4>
      </vt:variant>
      <vt:variant>
        <vt:i4>0</vt:i4>
      </vt:variant>
      <vt:variant>
        <vt:i4>5</vt:i4>
      </vt:variant>
      <vt:variant>
        <vt:lpwstr>mailto:bryan@idahopower.com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LOSS POLICY</dc:title>
  <dc:creator>eaw5645</dc:creator>
  <cp:lastModifiedBy>eaw5645</cp:lastModifiedBy>
  <cp:revision>2</cp:revision>
  <cp:lastPrinted>2012-01-27T16:17:00Z</cp:lastPrinted>
  <dcterms:created xsi:type="dcterms:W3CDTF">2014-02-26T17:36:00Z</dcterms:created>
  <dcterms:modified xsi:type="dcterms:W3CDTF">2014-02-26T17:36:00Z</dcterms:modified>
</cp:coreProperties>
</file>