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83" w:rsidRDefault="00510C83">
      <w:pPr>
        <w:tabs>
          <w:tab w:val="right" w:pos="9350"/>
        </w:tabs>
        <w:rPr>
          <w:b/>
          <w:bCs/>
          <w:sz w:val="20"/>
        </w:rPr>
      </w:pPr>
      <w:r>
        <w:rPr>
          <w:b/>
          <w:bCs/>
        </w:rPr>
        <w:t xml:space="preserve">DRAFT – </w:t>
      </w:r>
      <w:r w:rsidR="00622A9E">
        <w:rPr>
          <w:b/>
          <w:bCs/>
        </w:rPr>
        <w:t xml:space="preserve">August </w:t>
      </w:r>
      <w:r w:rsidR="00340428">
        <w:rPr>
          <w:b/>
          <w:bCs/>
        </w:rPr>
        <w:t>26</w:t>
      </w:r>
      <w:r w:rsidR="00622A9E">
        <w:rPr>
          <w:b/>
          <w:bCs/>
        </w:rPr>
        <w:t>, 2009</w:t>
      </w:r>
      <w:r>
        <w:rPr>
          <w:b/>
          <w:bCs/>
        </w:rPr>
        <w:tab/>
      </w:r>
      <w:r>
        <w:rPr>
          <w:b/>
          <w:bCs/>
          <w:sz w:val="20"/>
        </w:rPr>
        <w:t>Privileged and Confidential</w:t>
      </w:r>
    </w:p>
    <w:p w:rsidR="00510C83" w:rsidRDefault="008B58F1">
      <w:pPr>
        <w:tabs>
          <w:tab w:val="right" w:pos="9350"/>
        </w:tabs>
        <w:rPr>
          <w:b/>
          <w:bCs/>
          <w:sz w:val="20"/>
        </w:rPr>
      </w:pPr>
      <w:r w:rsidRPr="00F2777B">
        <w:rPr>
          <w:snapToGrid w:val="0"/>
          <w:sz w:val="20"/>
        </w:rPr>
        <w:fldChar w:fldCharType="begin"/>
      </w:r>
      <w:r w:rsidR="00510C83" w:rsidRPr="00F2777B">
        <w:rPr>
          <w:snapToGrid w:val="0"/>
          <w:sz w:val="20"/>
        </w:rPr>
        <w:instrText xml:space="preserve"> FILENAME \p </w:instrText>
      </w:r>
      <w:r w:rsidRPr="00F2777B">
        <w:rPr>
          <w:snapToGrid w:val="0"/>
          <w:sz w:val="20"/>
        </w:rPr>
        <w:fldChar w:fldCharType="separate"/>
      </w:r>
      <w:r w:rsidR="001A77EE">
        <w:rPr>
          <w:noProof/>
          <w:snapToGrid w:val="0"/>
          <w:sz w:val="20"/>
        </w:rPr>
        <w:t>M:\WDOX\CLIENTS\005FPC\00028469.DOCX</w:t>
      </w:r>
      <w:r w:rsidRPr="00F2777B">
        <w:rPr>
          <w:snapToGrid w:val="0"/>
          <w:sz w:val="20"/>
        </w:rPr>
        <w:fldChar w:fldCharType="end"/>
      </w:r>
      <w:r w:rsidR="00510C83">
        <w:tab/>
      </w:r>
      <w:r w:rsidR="00510C83">
        <w:rPr>
          <w:b/>
          <w:bCs/>
          <w:sz w:val="20"/>
        </w:rPr>
        <w:t>Attorney/Client Communication</w:t>
      </w:r>
    </w:p>
    <w:p w:rsidR="00510C83" w:rsidRDefault="00510C83">
      <w:pPr>
        <w:pStyle w:val="Heading4"/>
      </w:pPr>
      <w:r>
        <w:tab/>
        <w:t>Attorney Work Product</w:t>
      </w:r>
    </w:p>
    <w:p w:rsidR="007A1EB1" w:rsidRPr="009B6339" w:rsidRDefault="007A1EB1" w:rsidP="007A1EB1">
      <w:pPr>
        <w:tabs>
          <w:tab w:val="right" w:pos="9360"/>
        </w:tabs>
        <w:rPr>
          <w:b/>
        </w:rPr>
      </w:pPr>
      <w:r>
        <w:tab/>
      </w:r>
      <w:r w:rsidRPr="009B6339">
        <w:rPr>
          <w:b/>
          <w:sz w:val="20"/>
        </w:rPr>
        <w:t>Progress Energy Proprietary</w:t>
      </w:r>
    </w:p>
    <w:p w:rsidR="00510C83" w:rsidRDefault="00510C83">
      <w:pPr>
        <w:tabs>
          <w:tab w:val="right" w:pos="9350"/>
        </w:tabs>
      </w:pPr>
    </w:p>
    <w:p w:rsidR="00510C83" w:rsidRDefault="00510C83">
      <w:pPr>
        <w:tabs>
          <w:tab w:val="right" w:pos="9350"/>
        </w:tabs>
      </w:pPr>
    </w:p>
    <w:p w:rsidR="00510C83" w:rsidRDefault="00510C83"/>
    <w:p w:rsidR="00510C83" w:rsidRDefault="00510C83">
      <w:pPr>
        <w:pStyle w:val="Header"/>
        <w:tabs>
          <w:tab w:val="clear" w:pos="4320"/>
          <w:tab w:val="clear" w:pos="9360"/>
        </w:tabs>
      </w:pPr>
    </w:p>
    <w:p w:rsidR="00510C83" w:rsidRDefault="00510C83"/>
    <w:p w:rsidR="00510C83" w:rsidRDefault="00510C83"/>
    <w:p w:rsidR="00510C83" w:rsidRDefault="00510C83"/>
    <w:p w:rsidR="00510C83" w:rsidRDefault="00510C83"/>
    <w:p w:rsidR="00510C83" w:rsidRDefault="00510C83">
      <w:pPr>
        <w:pStyle w:val="E-Mail"/>
        <w:rPr>
          <w:rFonts w:ascii="Arial Narrow" w:hAnsi="Arial Narrow"/>
        </w:rPr>
      </w:pPr>
      <w:r>
        <w:rPr>
          <w:rFonts w:ascii="Arial Narrow" w:hAnsi="Arial Narrow"/>
        </w:rPr>
        <w:t xml:space="preserve"> </w:t>
      </w:r>
      <w:r w:rsidR="00622A9E">
        <w:rPr>
          <w:rFonts w:ascii="Arial Narrow" w:hAnsi="Arial Narrow"/>
        </w:rPr>
        <w:t>lskizuka</w:t>
      </w:r>
      <w:r>
        <w:rPr>
          <w:rFonts w:ascii="Arial Narrow" w:hAnsi="Arial Narrow"/>
        </w:rPr>
        <w:t>@brudergentile.com</w:t>
      </w:r>
    </w:p>
    <w:p w:rsidR="00510C83" w:rsidRDefault="00510C83"/>
    <w:p w:rsidR="00510C83" w:rsidRDefault="00622A9E">
      <w:pPr>
        <w:jc w:val="center"/>
        <w:rPr>
          <w:rFonts w:cs="Arial"/>
        </w:rPr>
      </w:pPr>
      <w:r>
        <w:rPr>
          <w:rFonts w:cs="Arial"/>
        </w:rPr>
        <w:t>August ___, 2009</w:t>
      </w:r>
    </w:p>
    <w:p w:rsidR="00510C83" w:rsidRDefault="00510C83">
      <w:pPr>
        <w:rPr>
          <w:rFonts w:cs="Arial"/>
        </w:rPr>
      </w:pPr>
    </w:p>
    <w:p w:rsidR="00510C83" w:rsidRDefault="00510C83">
      <w:pPr>
        <w:rPr>
          <w:rFonts w:cs="Arial"/>
        </w:rPr>
      </w:pPr>
    </w:p>
    <w:p w:rsidR="00510C83" w:rsidRDefault="00510C83">
      <w:pPr>
        <w:rPr>
          <w:rFonts w:cs="Arial"/>
        </w:rPr>
      </w:pPr>
    </w:p>
    <w:p w:rsidR="00510C83" w:rsidRDefault="00510C83">
      <w:pPr>
        <w:rPr>
          <w:rFonts w:cs="Arial"/>
        </w:rPr>
      </w:pPr>
    </w:p>
    <w:p w:rsidR="00F2777B" w:rsidRDefault="00F2777B">
      <w:pPr>
        <w:rPr>
          <w:rFonts w:cs="Arial"/>
        </w:rPr>
      </w:pPr>
      <w:r>
        <w:rPr>
          <w:rFonts w:cs="Arial"/>
        </w:rPr>
        <w:t xml:space="preserve">The Honorable Kimberly D. Bose </w:t>
      </w:r>
    </w:p>
    <w:p w:rsidR="00510C83" w:rsidRDefault="00510C83">
      <w:pPr>
        <w:rPr>
          <w:rFonts w:cs="Arial"/>
        </w:rPr>
      </w:pPr>
      <w:r>
        <w:rPr>
          <w:rFonts w:cs="Arial"/>
        </w:rPr>
        <w:t>Secretary</w:t>
      </w:r>
    </w:p>
    <w:p w:rsidR="00510C83" w:rsidRDefault="00510C83">
      <w:pPr>
        <w:rPr>
          <w:rFonts w:cs="Arial"/>
        </w:rPr>
      </w:pPr>
      <w:r>
        <w:rPr>
          <w:rFonts w:cs="Arial"/>
        </w:rPr>
        <w:t>Federal Energy Regulatory Commission</w:t>
      </w:r>
    </w:p>
    <w:p w:rsidR="00510C83" w:rsidRDefault="00510C83">
      <w:pPr>
        <w:rPr>
          <w:rFonts w:cs="Arial"/>
        </w:rPr>
      </w:pPr>
      <w:r>
        <w:rPr>
          <w:rFonts w:cs="Arial"/>
        </w:rPr>
        <w:t>888 First Street, N.E.</w:t>
      </w:r>
    </w:p>
    <w:p w:rsidR="00510C83" w:rsidRDefault="00510C83">
      <w:pPr>
        <w:rPr>
          <w:rFonts w:cs="Arial"/>
        </w:rPr>
      </w:pPr>
      <w:r>
        <w:rPr>
          <w:rFonts w:cs="Arial"/>
        </w:rPr>
        <w:t>Washington, D.C. 20426</w:t>
      </w:r>
    </w:p>
    <w:p w:rsidR="00510C83" w:rsidRDefault="00510C83">
      <w:pPr>
        <w:rPr>
          <w:rFonts w:cs="Arial"/>
        </w:rPr>
      </w:pPr>
    </w:p>
    <w:p w:rsidR="00622A9E" w:rsidRPr="00622A9E" w:rsidRDefault="00622A9E" w:rsidP="00622A9E">
      <w:pPr>
        <w:ind w:left="1440"/>
        <w:rPr>
          <w:rFonts w:cs="Arial"/>
          <w:b/>
        </w:rPr>
      </w:pPr>
      <w:r w:rsidRPr="00622A9E">
        <w:rPr>
          <w:rFonts w:cs="Arial"/>
          <w:b/>
        </w:rPr>
        <w:t>Re:</w:t>
      </w:r>
      <w:r w:rsidRPr="00622A9E">
        <w:rPr>
          <w:rFonts w:cs="Arial"/>
          <w:b/>
        </w:rPr>
        <w:tab/>
      </w:r>
      <w:r w:rsidRPr="00622A9E">
        <w:rPr>
          <w:rFonts w:cs="Arial"/>
          <w:b/>
          <w:i/>
        </w:rPr>
        <w:t>Florida Power Corporation</w:t>
      </w:r>
      <w:r w:rsidRPr="00622A9E">
        <w:rPr>
          <w:rFonts w:cs="Arial"/>
          <w:b/>
        </w:rPr>
        <w:t>;</w:t>
      </w:r>
    </w:p>
    <w:p w:rsidR="00622A9E" w:rsidRPr="00622A9E" w:rsidRDefault="00622A9E" w:rsidP="00622A9E">
      <w:pPr>
        <w:ind w:left="2160"/>
        <w:rPr>
          <w:rFonts w:cs="Arial"/>
          <w:b/>
        </w:rPr>
      </w:pPr>
      <w:r w:rsidRPr="00622A9E">
        <w:rPr>
          <w:rFonts w:cs="Arial"/>
          <w:b/>
        </w:rPr>
        <w:t xml:space="preserve">Revisions to </w:t>
      </w:r>
      <w:proofErr w:type="spellStart"/>
      <w:r>
        <w:rPr>
          <w:rFonts w:cs="Arial"/>
          <w:b/>
        </w:rPr>
        <w:t>OATT</w:t>
      </w:r>
      <w:proofErr w:type="spellEnd"/>
      <w:r w:rsidRPr="00622A9E">
        <w:rPr>
          <w:rFonts w:cs="Arial"/>
          <w:b/>
        </w:rPr>
        <w:t xml:space="preserve"> </w:t>
      </w:r>
      <w:r w:rsidR="00440727">
        <w:rPr>
          <w:rFonts w:cs="Arial"/>
          <w:b/>
        </w:rPr>
        <w:t>Power Factor Requirements</w:t>
      </w:r>
    </w:p>
    <w:p w:rsidR="00622A9E" w:rsidRPr="00622A9E" w:rsidRDefault="00622A9E" w:rsidP="00622A9E">
      <w:pPr>
        <w:ind w:left="1440"/>
        <w:rPr>
          <w:rFonts w:cs="Arial"/>
          <w:b/>
        </w:rPr>
      </w:pPr>
      <w:r w:rsidRPr="00622A9E">
        <w:rPr>
          <w:rFonts w:cs="Arial"/>
          <w:b/>
        </w:rPr>
        <w:tab/>
        <w:t>Docket No. ER09-___-000</w:t>
      </w:r>
    </w:p>
    <w:p w:rsidR="00622A9E" w:rsidRDefault="00622A9E">
      <w:pPr>
        <w:rPr>
          <w:rFonts w:cs="Arial"/>
        </w:rPr>
      </w:pPr>
    </w:p>
    <w:p w:rsidR="00510C83" w:rsidRDefault="00510C83">
      <w:pPr>
        <w:rPr>
          <w:rFonts w:cs="Arial"/>
        </w:rPr>
      </w:pPr>
      <w:r>
        <w:rPr>
          <w:rFonts w:cs="Arial"/>
        </w:rPr>
        <w:t xml:space="preserve">Dear Secretary </w:t>
      </w:r>
      <w:r w:rsidR="00622A9E">
        <w:rPr>
          <w:rFonts w:cs="Arial"/>
        </w:rPr>
        <w:t>Bose</w:t>
      </w:r>
      <w:r>
        <w:rPr>
          <w:rFonts w:cs="Arial"/>
        </w:rPr>
        <w:t>:</w:t>
      </w:r>
    </w:p>
    <w:p w:rsidR="00510C83" w:rsidRDefault="00510C83">
      <w:pPr>
        <w:rPr>
          <w:rFonts w:cs="Arial"/>
        </w:rPr>
      </w:pPr>
    </w:p>
    <w:p w:rsidR="00D94616" w:rsidRDefault="00510C83">
      <w:pPr>
        <w:rPr>
          <w:rFonts w:cs="Arial"/>
        </w:rPr>
      </w:pPr>
      <w:r>
        <w:tab/>
      </w:r>
      <w:r w:rsidR="00622A9E">
        <w:t xml:space="preserve">Pursuant to Section 205 of the Federal Power Act and Part 35 of the Commission’s regulations, 18 </w:t>
      </w:r>
      <w:proofErr w:type="spellStart"/>
      <w:r w:rsidR="00622A9E">
        <w:t>C.F.R.</w:t>
      </w:r>
      <w:proofErr w:type="spellEnd"/>
      <w:r w:rsidR="00622A9E">
        <w:t xml:space="preserve"> </w:t>
      </w:r>
      <w:r w:rsidR="00622A9E">
        <w:rPr>
          <w:rFonts w:cs="Arial"/>
        </w:rPr>
        <w:t>Part 35 (2009)</w:t>
      </w:r>
      <w:r w:rsidR="005508AC">
        <w:rPr>
          <w:rFonts w:cs="Arial"/>
        </w:rPr>
        <w:t>, Florida Power Corporation, doing business as Progress Energy Florida, Inc. (“</w:t>
      </w:r>
      <w:proofErr w:type="spellStart"/>
      <w:r w:rsidR="005508AC">
        <w:rPr>
          <w:rFonts w:cs="Arial"/>
        </w:rPr>
        <w:t>PEF</w:t>
      </w:r>
      <w:proofErr w:type="spellEnd"/>
      <w:r w:rsidR="005508AC">
        <w:rPr>
          <w:rFonts w:cs="Arial"/>
        </w:rPr>
        <w:t xml:space="preserve">”), hereby tenders for filing revisions to </w:t>
      </w:r>
      <w:proofErr w:type="gramStart"/>
      <w:r w:rsidR="005F5773">
        <w:rPr>
          <w:rFonts w:cs="Arial"/>
        </w:rPr>
        <w:t>provisions</w:t>
      </w:r>
      <w:proofErr w:type="gramEnd"/>
      <w:r w:rsidR="005F5773">
        <w:rPr>
          <w:rFonts w:cs="Arial"/>
        </w:rPr>
        <w:t xml:space="preserve"> of </w:t>
      </w:r>
      <w:r w:rsidR="005508AC">
        <w:rPr>
          <w:rFonts w:cs="Arial"/>
        </w:rPr>
        <w:t>its Open Access Transmission Tariff (“</w:t>
      </w:r>
      <w:proofErr w:type="spellStart"/>
      <w:r w:rsidR="005508AC">
        <w:rPr>
          <w:rFonts w:cs="Arial"/>
        </w:rPr>
        <w:t>OATT</w:t>
      </w:r>
      <w:proofErr w:type="spellEnd"/>
      <w:r w:rsidR="005508AC">
        <w:rPr>
          <w:rFonts w:cs="Arial"/>
        </w:rPr>
        <w:t xml:space="preserve">”) </w:t>
      </w:r>
      <w:r w:rsidR="005F5773">
        <w:rPr>
          <w:rFonts w:cs="Arial"/>
        </w:rPr>
        <w:t xml:space="preserve">governing </w:t>
      </w:r>
      <w:r w:rsidR="00440727">
        <w:rPr>
          <w:rFonts w:cs="Arial"/>
        </w:rPr>
        <w:t>power factor requirements</w:t>
      </w:r>
      <w:r w:rsidR="005F5773">
        <w:rPr>
          <w:rFonts w:cs="Arial"/>
        </w:rPr>
        <w:t xml:space="preserve">.  These revisions </w:t>
      </w:r>
      <w:r w:rsidR="00BE0490">
        <w:rPr>
          <w:rFonts w:cs="Arial"/>
        </w:rPr>
        <w:t>add a ne</w:t>
      </w:r>
      <w:r w:rsidR="00340428">
        <w:rPr>
          <w:rFonts w:cs="Arial"/>
        </w:rPr>
        <w:t xml:space="preserve">w Attachment V to the </w:t>
      </w:r>
      <w:proofErr w:type="spellStart"/>
      <w:r w:rsidR="00340428">
        <w:rPr>
          <w:rFonts w:cs="Arial"/>
        </w:rPr>
        <w:t>PEF</w:t>
      </w:r>
      <w:proofErr w:type="spellEnd"/>
      <w:r w:rsidR="00340428">
        <w:rPr>
          <w:rFonts w:cs="Arial"/>
        </w:rPr>
        <w:t xml:space="preserve"> </w:t>
      </w:r>
      <w:proofErr w:type="spellStart"/>
      <w:r w:rsidR="00340428">
        <w:rPr>
          <w:rFonts w:cs="Arial"/>
        </w:rPr>
        <w:t>OATT</w:t>
      </w:r>
      <w:proofErr w:type="spellEnd"/>
      <w:r w:rsidR="00340428">
        <w:rPr>
          <w:rFonts w:cs="Arial"/>
        </w:rPr>
        <w:t xml:space="preserve"> and modif</w:t>
      </w:r>
      <w:r w:rsidR="00B961DC">
        <w:rPr>
          <w:rFonts w:cs="Arial"/>
        </w:rPr>
        <w:t>y</w:t>
      </w:r>
      <w:r w:rsidR="00340428">
        <w:rPr>
          <w:rFonts w:cs="Arial"/>
        </w:rPr>
        <w:t xml:space="preserve"> the </w:t>
      </w:r>
      <w:r w:rsidR="00BE0490">
        <w:rPr>
          <w:rFonts w:cs="Arial"/>
        </w:rPr>
        <w:t xml:space="preserve">power factor provisions located in Section 24.3 of the </w:t>
      </w:r>
      <w:proofErr w:type="spellStart"/>
      <w:r w:rsidR="00AD6770">
        <w:rPr>
          <w:rFonts w:cs="Arial"/>
        </w:rPr>
        <w:t>PEF</w:t>
      </w:r>
      <w:proofErr w:type="spellEnd"/>
      <w:r w:rsidR="00AD6770">
        <w:rPr>
          <w:rFonts w:cs="Arial"/>
        </w:rPr>
        <w:t xml:space="preserve"> </w:t>
      </w:r>
      <w:proofErr w:type="spellStart"/>
      <w:r w:rsidR="00BE0490">
        <w:rPr>
          <w:rFonts w:cs="Arial"/>
        </w:rPr>
        <w:t>OATT</w:t>
      </w:r>
      <w:proofErr w:type="spellEnd"/>
      <w:r w:rsidR="00BE0490">
        <w:rPr>
          <w:rFonts w:cs="Arial"/>
        </w:rPr>
        <w:t xml:space="preserve">.  </w:t>
      </w:r>
    </w:p>
    <w:p w:rsidR="00BE0490" w:rsidRDefault="00BE0490">
      <w:pPr>
        <w:rPr>
          <w:rFonts w:cs="Arial"/>
        </w:rPr>
      </w:pPr>
    </w:p>
    <w:p w:rsidR="00D94616" w:rsidRDefault="00D94616">
      <w:pPr>
        <w:rPr>
          <w:rFonts w:cs="Arial"/>
        </w:rPr>
      </w:pPr>
      <w:r>
        <w:rPr>
          <w:rFonts w:cs="Arial"/>
        </w:rPr>
        <w:tab/>
      </w:r>
      <w:proofErr w:type="spellStart"/>
      <w:r>
        <w:rPr>
          <w:rFonts w:cs="Arial"/>
        </w:rPr>
        <w:t>PEF</w:t>
      </w:r>
      <w:proofErr w:type="spellEnd"/>
      <w:r>
        <w:rPr>
          <w:rFonts w:cs="Arial"/>
        </w:rPr>
        <w:t xml:space="preserve"> respectfully requests that the Commission act on its filing within sixty days after the date of</w:t>
      </w:r>
      <w:r w:rsidR="00055820">
        <w:rPr>
          <w:rFonts w:cs="Arial"/>
        </w:rPr>
        <w:t xml:space="preserve"> this</w:t>
      </w:r>
      <w:r>
        <w:rPr>
          <w:rFonts w:cs="Arial"/>
        </w:rPr>
        <w:t xml:space="preserve"> filing, which is __________, 2009.</w:t>
      </w:r>
    </w:p>
    <w:p w:rsidR="00D94616" w:rsidRDefault="00D94616">
      <w:pPr>
        <w:rPr>
          <w:rFonts w:cs="Arial"/>
        </w:rPr>
      </w:pPr>
    </w:p>
    <w:p w:rsidR="00D94616" w:rsidRDefault="00D94616" w:rsidP="00D94616">
      <w:pPr>
        <w:pStyle w:val="Heading1"/>
      </w:pPr>
      <w:r>
        <w:t>I.</w:t>
      </w:r>
      <w:r>
        <w:tab/>
        <w:t>Background</w:t>
      </w:r>
    </w:p>
    <w:p w:rsidR="00D94616" w:rsidRDefault="00D94616" w:rsidP="00D94616">
      <w:r>
        <w:tab/>
      </w:r>
      <w:proofErr w:type="spellStart"/>
      <w:r>
        <w:t>PEF</w:t>
      </w:r>
      <w:proofErr w:type="spellEnd"/>
      <w:r>
        <w:t xml:space="preserve"> is an investor-owned utility that provides generation, transmission and distribution services to retail customers in the State of Florida.  It is also a power supplier for a number of wholesale customers in the State of Florida.  </w:t>
      </w:r>
      <w:proofErr w:type="spellStart"/>
      <w:r>
        <w:t>PEF</w:t>
      </w:r>
      <w:proofErr w:type="spellEnd"/>
      <w:r>
        <w:t xml:space="preserve"> provides open access transmission services pursuant to its </w:t>
      </w:r>
      <w:proofErr w:type="spellStart"/>
      <w:r>
        <w:t>OATT</w:t>
      </w:r>
      <w:proofErr w:type="spellEnd"/>
      <w:r>
        <w:t>.</w:t>
      </w:r>
    </w:p>
    <w:p w:rsidR="00FF24B2" w:rsidRDefault="00FF24B2" w:rsidP="00D94616"/>
    <w:p w:rsidR="00FF24B2" w:rsidRDefault="00FF24B2" w:rsidP="00D94616">
      <w:r>
        <w:tab/>
        <w:t xml:space="preserve">Under the current provisions </w:t>
      </w:r>
      <w:r w:rsidR="00B961DC">
        <w:t xml:space="preserve">in Section 24.3 </w:t>
      </w:r>
      <w:r>
        <w:t xml:space="preserve">of the </w:t>
      </w:r>
      <w:proofErr w:type="spellStart"/>
      <w:r>
        <w:t>PEF</w:t>
      </w:r>
      <w:proofErr w:type="spellEnd"/>
      <w:r>
        <w:t xml:space="preserve"> </w:t>
      </w:r>
      <w:proofErr w:type="spellStart"/>
      <w:r>
        <w:t>OATT</w:t>
      </w:r>
      <w:proofErr w:type="spellEnd"/>
      <w:r>
        <w:t xml:space="preserve">, </w:t>
      </w:r>
      <w:r w:rsidR="00B961DC">
        <w:t xml:space="preserve">an </w:t>
      </w:r>
      <w:proofErr w:type="spellStart"/>
      <w:r w:rsidR="00B961DC">
        <w:t>OATT</w:t>
      </w:r>
      <w:proofErr w:type="spellEnd"/>
      <w:r w:rsidR="00BE0490">
        <w:t xml:space="preserve"> transmission customer is required to maintain a power factor within the same range as </w:t>
      </w:r>
      <w:proofErr w:type="spellStart"/>
      <w:r w:rsidR="00BE0490">
        <w:lastRenderedPageBreak/>
        <w:t>PEF</w:t>
      </w:r>
      <w:proofErr w:type="spellEnd"/>
      <w:r w:rsidR="00BE0490">
        <w:t xml:space="preserve"> pursuant to Good Utility Practices.</w:t>
      </w:r>
      <w:r w:rsidR="00BE0490">
        <w:rPr>
          <w:rStyle w:val="FootnoteReference"/>
        </w:rPr>
        <w:footnoteReference w:id="2"/>
      </w:r>
      <w:r w:rsidR="00BE0490">
        <w:t xml:space="preserve">  The power factor requirements are specified in a service agreement where applicable.</w:t>
      </w:r>
      <w:r w:rsidR="00BE0490">
        <w:rPr>
          <w:rStyle w:val="FootnoteReference"/>
        </w:rPr>
        <w:footnoteReference w:id="3"/>
      </w:r>
      <w:r>
        <w:t xml:space="preserve">  </w:t>
      </w:r>
      <w:r w:rsidR="00166033">
        <w:t xml:space="preserve">In this filing, </w:t>
      </w:r>
      <w:proofErr w:type="spellStart"/>
      <w:r w:rsidR="00166033">
        <w:t>PEF</w:t>
      </w:r>
      <w:proofErr w:type="spellEnd"/>
      <w:r w:rsidR="00166033">
        <w:t xml:space="preserve"> is revising its </w:t>
      </w:r>
      <w:proofErr w:type="spellStart"/>
      <w:r w:rsidR="00166033">
        <w:t>OATT</w:t>
      </w:r>
      <w:proofErr w:type="spellEnd"/>
      <w:r w:rsidR="00166033">
        <w:t xml:space="preserve"> to provide </w:t>
      </w:r>
      <w:r w:rsidR="00BE0490">
        <w:t xml:space="preserve">more </w:t>
      </w:r>
      <w:r w:rsidR="00232E1F">
        <w:t>detailed</w:t>
      </w:r>
      <w:r w:rsidR="00BE0490">
        <w:t xml:space="preserve"> power factor requirements.  </w:t>
      </w:r>
    </w:p>
    <w:p w:rsidR="00D94616" w:rsidRDefault="00D94616" w:rsidP="00D94616"/>
    <w:p w:rsidR="00D94616" w:rsidRDefault="001C4C76" w:rsidP="001C4C76">
      <w:pPr>
        <w:pStyle w:val="Heading1"/>
      </w:pPr>
      <w:r>
        <w:t>II.</w:t>
      </w:r>
      <w:r>
        <w:tab/>
        <w:t>Instant Filing</w:t>
      </w:r>
      <w:r w:rsidR="00D94616">
        <w:t xml:space="preserve"> </w:t>
      </w:r>
    </w:p>
    <w:p w:rsidR="00392F09" w:rsidRDefault="001C4C76" w:rsidP="005525EC">
      <w:r>
        <w:tab/>
      </w:r>
      <w:proofErr w:type="spellStart"/>
      <w:r w:rsidR="001E0279">
        <w:t>PEF</w:t>
      </w:r>
      <w:proofErr w:type="spellEnd"/>
      <w:r w:rsidR="001E0279">
        <w:t xml:space="preserve"> proposes revisions to its </w:t>
      </w:r>
      <w:proofErr w:type="spellStart"/>
      <w:r w:rsidR="001E0279">
        <w:t>OATT</w:t>
      </w:r>
      <w:proofErr w:type="spellEnd"/>
      <w:r w:rsidR="001E0279">
        <w:t xml:space="preserve"> in the form of </w:t>
      </w:r>
      <w:r w:rsidR="00BE0490">
        <w:t xml:space="preserve">a new </w:t>
      </w:r>
      <w:r w:rsidR="00321A39">
        <w:t>A</w:t>
      </w:r>
      <w:r w:rsidR="00BE0490">
        <w:t xml:space="preserve">ttachment </w:t>
      </w:r>
      <w:r w:rsidR="005525EC">
        <w:t>V e</w:t>
      </w:r>
      <w:r w:rsidR="001E0279">
        <w:t xml:space="preserve">stablishing </w:t>
      </w:r>
      <w:r w:rsidR="00BE0490">
        <w:t>power factor requirements</w:t>
      </w:r>
      <w:r w:rsidR="005525EC">
        <w:t xml:space="preserve"> and a revised Section 24.3 of the </w:t>
      </w:r>
      <w:proofErr w:type="spellStart"/>
      <w:r w:rsidR="005525EC">
        <w:t>OATT</w:t>
      </w:r>
      <w:proofErr w:type="spellEnd"/>
      <w:r w:rsidR="00E14027">
        <w:t>, which refers</w:t>
      </w:r>
      <w:r w:rsidR="005525EC">
        <w:t xml:space="preserve"> to the Attachment V power factor requirements</w:t>
      </w:r>
      <w:r w:rsidR="00BE0490">
        <w:t>.</w:t>
      </w:r>
      <w:r w:rsidR="001E0279">
        <w:t xml:space="preserve">  </w:t>
      </w:r>
      <w:r w:rsidR="00321A39">
        <w:t xml:space="preserve">Attachment V </w:t>
      </w:r>
      <w:r w:rsidR="00B961DC">
        <w:t xml:space="preserve">allows for a transition period in which a new </w:t>
      </w:r>
      <w:proofErr w:type="spellStart"/>
      <w:r w:rsidR="00B961DC">
        <w:t>OATT</w:t>
      </w:r>
      <w:proofErr w:type="spellEnd"/>
      <w:r w:rsidR="00B961DC">
        <w:t xml:space="preserve"> transmission customer must achieve compliance with the </w:t>
      </w:r>
      <w:proofErr w:type="spellStart"/>
      <w:r w:rsidR="00B961DC">
        <w:t>OATT</w:t>
      </w:r>
      <w:proofErr w:type="spellEnd"/>
      <w:r w:rsidR="00B961DC">
        <w:t xml:space="preserve"> power factor requirements.  Specifically, </w:t>
      </w:r>
      <w:proofErr w:type="spellStart"/>
      <w:r w:rsidR="00B961DC">
        <w:t>OATT</w:t>
      </w:r>
      <w:proofErr w:type="spellEnd"/>
      <w:r w:rsidR="00B961DC">
        <w:t xml:space="preserve"> Attachment V requires the </w:t>
      </w:r>
      <w:proofErr w:type="spellStart"/>
      <w:r w:rsidR="00B961DC">
        <w:t>OATT</w:t>
      </w:r>
      <w:proofErr w:type="spellEnd"/>
      <w:r w:rsidR="00B961DC">
        <w:t xml:space="preserve"> transmission customer to </w:t>
      </w:r>
      <w:r w:rsidR="00321A39">
        <w:t xml:space="preserve">have in place no later than forty-two </w:t>
      </w:r>
      <w:r w:rsidR="00783E9A">
        <w:t xml:space="preserve">months after </w:t>
      </w:r>
      <w:r w:rsidR="00B961DC">
        <w:t>the</w:t>
      </w:r>
      <w:r w:rsidR="00783E9A">
        <w:t xml:space="preserve"> customer’s service commences under the Tariff </w:t>
      </w:r>
      <w:r w:rsidR="00DE631D">
        <w:t>(</w:t>
      </w:r>
      <w:r w:rsidR="00763391">
        <w:t xml:space="preserve">the </w:t>
      </w:r>
      <w:r w:rsidR="00DE631D">
        <w:t xml:space="preserve">“Initial Compliance Period”) </w:t>
      </w:r>
      <w:r w:rsidR="00783E9A">
        <w:t>sufficient reactive compensation and control to meet the power factor set forth in Attachment</w:t>
      </w:r>
      <w:r w:rsidR="00B961DC">
        <w:t xml:space="preserve"> V</w:t>
      </w:r>
      <w:r w:rsidR="00783E9A">
        <w:t>.</w:t>
      </w:r>
      <w:r w:rsidR="00DE631D">
        <w:rPr>
          <w:rStyle w:val="FootnoteReference"/>
        </w:rPr>
        <w:footnoteReference w:id="4"/>
      </w:r>
      <w:r w:rsidR="00783E9A">
        <w:t xml:space="preserve">  </w:t>
      </w:r>
      <w:r w:rsidR="00DE631D">
        <w:t xml:space="preserve">If </w:t>
      </w:r>
      <w:r w:rsidR="00B961DC">
        <w:t xml:space="preserve">the new </w:t>
      </w:r>
      <w:proofErr w:type="spellStart"/>
      <w:r w:rsidR="00B961DC">
        <w:t>OATT</w:t>
      </w:r>
      <w:proofErr w:type="spellEnd"/>
      <w:r w:rsidR="00B961DC">
        <w:t xml:space="preserve"> transmission customer</w:t>
      </w:r>
      <w:r w:rsidR="00DE631D">
        <w:t xml:space="preserve"> </w:t>
      </w:r>
      <w:r w:rsidR="005525EC">
        <w:t xml:space="preserve">does not meet the power factor standard by the end of the Initial Compliance Period, </w:t>
      </w:r>
      <w:proofErr w:type="spellStart"/>
      <w:r w:rsidR="005525EC">
        <w:t>PEF</w:t>
      </w:r>
      <w:proofErr w:type="spellEnd"/>
      <w:r w:rsidR="005525EC" w:rsidRPr="00845656">
        <w:t xml:space="preserve"> shall </w:t>
      </w:r>
      <w:r w:rsidR="00763391">
        <w:t xml:space="preserve">provide </w:t>
      </w:r>
      <w:r w:rsidR="005525EC">
        <w:t>the customer</w:t>
      </w:r>
      <w:r w:rsidR="005525EC" w:rsidRPr="00845656">
        <w:t xml:space="preserve"> with written notice of any alleged non-compliance</w:t>
      </w:r>
      <w:r w:rsidR="005525EC">
        <w:t xml:space="preserve"> (along with the data upon which such assertion is based)</w:t>
      </w:r>
      <w:r w:rsidR="005525EC" w:rsidRPr="00845656">
        <w:t>, and</w:t>
      </w:r>
      <w:r w:rsidR="005525EC">
        <w:t>,</w:t>
      </w:r>
      <w:r w:rsidR="005525EC" w:rsidRPr="00845656">
        <w:t xml:space="preserve"> </w:t>
      </w:r>
      <w:r w:rsidR="005525EC">
        <w:t xml:space="preserve">unless within sixty (60) days of receipt of such notice the customer has initiated Dispute Resolution Procedures under </w:t>
      </w:r>
      <w:proofErr w:type="spellStart"/>
      <w:r w:rsidR="00763391">
        <w:t>OATT</w:t>
      </w:r>
      <w:proofErr w:type="spellEnd"/>
      <w:r w:rsidR="005525EC">
        <w:t xml:space="preserve"> Section 12 to determine whether it has met the power factor standards set forth herein, </w:t>
      </w:r>
      <w:proofErr w:type="spellStart"/>
      <w:r w:rsidR="005525EC">
        <w:t>PEF</w:t>
      </w:r>
      <w:proofErr w:type="spellEnd"/>
      <w:r w:rsidR="005525EC" w:rsidRPr="00341866">
        <w:t xml:space="preserve"> shall have the</w:t>
      </w:r>
      <w:r w:rsidR="005525EC">
        <w:t xml:space="preserve"> </w:t>
      </w:r>
      <w:r w:rsidR="005525EC" w:rsidRPr="00341866">
        <w:t>unilateral right to install such necessary equipment to meet the standard</w:t>
      </w:r>
      <w:r w:rsidR="00DE631D">
        <w:t>.</w:t>
      </w:r>
      <w:r w:rsidR="00DE631D">
        <w:rPr>
          <w:rStyle w:val="FootnoteReference"/>
        </w:rPr>
        <w:footnoteReference w:id="5"/>
      </w:r>
      <w:r w:rsidR="00DE631D">
        <w:t xml:space="preserve">  The exercise of this right must be on a comparable basis as to all power factor aggregation zones of all other </w:t>
      </w:r>
      <w:proofErr w:type="spellStart"/>
      <w:r w:rsidR="00763391">
        <w:t>OATT</w:t>
      </w:r>
      <w:proofErr w:type="spellEnd"/>
      <w:r w:rsidR="00763391">
        <w:t xml:space="preserve"> </w:t>
      </w:r>
      <w:r w:rsidR="00DE631D">
        <w:t xml:space="preserve">transmission customers and </w:t>
      </w:r>
      <w:proofErr w:type="spellStart"/>
      <w:r w:rsidR="00DE631D">
        <w:t>PEF</w:t>
      </w:r>
      <w:proofErr w:type="spellEnd"/>
      <w:r w:rsidR="00DE631D">
        <w:t xml:space="preserve"> itself.</w:t>
      </w:r>
      <w:r w:rsidR="00DE631D">
        <w:rPr>
          <w:rStyle w:val="FootnoteReference"/>
        </w:rPr>
        <w:footnoteReference w:id="6"/>
      </w:r>
      <w:r w:rsidR="00DE631D">
        <w:t xml:space="preserve">  </w:t>
      </w:r>
    </w:p>
    <w:p w:rsidR="00DE631D" w:rsidRDefault="00DE631D" w:rsidP="001C4C76"/>
    <w:p w:rsidR="00DE631D" w:rsidRDefault="005525EC" w:rsidP="001C4C76">
      <w:r>
        <w:tab/>
        <w:t>Attachment V also states</w:t>
      </w:r>
      <w:r w:rsidR="00DE631D">
        <w:t xml:space="preserve"> that each month, </w:t>
      </w:r>
      <w:proofErr w:type="spellStart"/>
      <w:r w:rsidR="00DE631D">
        <w:t>PEF</w:t>
      </w:r>
      <w:proofErr w:type="spellEnd"/>
      <w:r w:rsidR="00DE631D">
        <w:t xml:space="preserve"> will provide </w:t>
      </w:r>
      <w:r>
        <w:t xml:space="preserve">to the </w:t>
      </w:r>
      <w:proofErr w:type="spellStart"/>
      <w:r>
        <w:t>OATT</w:t>
      </w:r>
      <w:proofErr w:type="spellEnd"/>
      <w:r>
        <w:t xml:space="preserve"> </w:t>
      </w:r>
      <w:r w:rsidR="00DE631D">
        <w:t xml:space="preserve">transmission customer </w:t>
      </w:r>
      <w:r w:rsidR="00763391" w:rsidRPr="003431D9">
        <w:t xml:space="preserve">a report of the power factor information as measured at the </w:t>
      </w:r>
      <w:r w:rsidR="00763391">
        <w:t>p</w:t>
      </w:r>
      <w:r w:rsidR="00763391" w:rsidRPr="003431D9">
        <w:t xml:space="preserve">oint of </w:t>
      </w:r>
      <w:r w:rsidR="00763391">
        <w:t>d</w:t>
      </w:r>
      <w:r w:rsidR="00763391" w:rsidRPr="003431D9">
        <w:t xml:space="preserve">elivery for each </w:t>
      </w:r>
      <w:r w:rsidR="00763391">
        <w:t>p</w:t>
      </w:r>
      <w:r w:rsidR="00763391" w:rsidRPr="003431D9">
        <w:t xml:space="preserve">oint of </w:t>
      </w:r>
      <w:r w:rsidR="00763391">
        <w:t>d</w:t>
      </w:r>
      <w:r w:rsidR="00763391" w:rsidRPr="003431D9">
        <w:t xml:space="preserve">elivery and by power factor aggregation zones for the Transmission Provider’s Monthly Transmission System Peak for both </w:t>
      </w:r>
      <w:proofErr w:type="spellStart"/>
      <w:r w:rsidR="00763391">
        <w:t>PEF</w:t>
      </w:r>
      <w:proofErr w:type="spellEnd"/>
      <w:r w:rsidR="00763391">
        <w:t xml:space="preserve"> and </w:t>
      </w:r>
      <w:r w:rsidR="00763391" w:rsidRPr="003431D9">
        <w:t xml:space="preserve">all </w:t>
      </w:r>
      <w:proofErr w:type="spellStart"/>
      <w:r w:rsidR="00763391">
        <w:t>OATT</w:t>
      </w:r>
      <w:proofErr w:type="spellEnd"/>
      <w:r w:rsidR="00763391">
        <w:t xml:space="preserve"> </w:t>
      </w:r>
      <w:r w:rsidR="00763391">
        <w:lastRenderedPageBreak/>
        <w:t>t</w:t>
      </w:r>
      <w:r w:rsidR="00763391" w:rsidRPr="003431D9">
        <w:t xml:space="preserve">ransmission </w:t>
      </w:r>
      <w:r w:rsidR="00763391">
        <w:t>c</w:t>
      </w:r>
      <w:r w:rsidR="00763391" w:rsidRPr="003431D9">
        <w:t>ustomers.</w:t>
      </w:r>
      <w:r w:rsidR="00941969">
        <w:rPr>
          <w:rStyle w:val="FootnoteReference"/>
        </w:rPr>
        <w:footnoteReference w:id="7"/>
      </w:r>
      <w:r w:rsidR="00DE631D">
        <w:t xml:space="preserve">  Each customer will be provided monthly the above information as to all other </w:t>
      </w:r>
      <w:proofErr w:type="spellStart"/>
      <w:r>
        <w:t>OATT</w:t>
      </w:r>
      <w:proofErr w:type="spellEnd"/>
      <w:r>
        <w:t xml:space="preserve"> </w:t>
      </w:r>
      <w:r w:rsidR="00DE631D">
        <w:t xml:space="preserve">transmission customers and </w:t>
      </w:r>
      <w:proofErr w:type="spellStart"/>
      <w:r w:rsidR="00DE631D">
        <w:t>PEF</w:t>
      </w:r>
      <w:proofErr w:type="spellEnd"/>
      <w:r w:rsidR="00DE631D">
        <w:t>.</w:t>
      </w:r>
      <w:r w:rsidR="00941969">
        <w:rPr>
          <w:rStyle w:val="FootnoteReference"/>
        </w:rPr>
        <w:footnoteReference w:id="8"/>
      </w:r>
      <w:r w:rsidR="00941969">
        <w:t xml:space="preserve">  </w:t>
      </w:r>
      <w:proofErr w:type="spellStart"/>
      <w:r w:rsidR="00941969">
        <w:t>PEF’s</w:t>
      </w:r>
      <w:proofErr w:type="spellEnd"/>
      <w:r w:rsidR="00941969">
        <w:t xml:space="preserve"> and </w:t>
      </w:r>
      <w:r>
        <w:t xml:space="preserve">the </w:t>
      </w:r>
      <w:proofErr w:type="spellStart"/>
      <w:r>
        <w:t>OATT</w:t>
      </w:r>
      <w:proofErr w:type="spellEnd"/>
      <w:r>
        <w:t xml:space="preserve"> </w:t>
      </w:r>
      <w:r w:rsidR="00941969">
        <w:t>transmission customers’ power factor for distribution points of delivery will be adjusted down by two percent to convert to the transmission voltage level and will be included in the appropriate power factor aggregation zone.</w:t>
      </w:r>
      <w:r w:rsidR="00941969">
        <w:rPr>
          <w:rStyle w:val="FootnoteReference"/>
        </w:rPr>
        <w:footnoteReference w:id="9"/>
      </w:r>
      <w:r w:rsidR="00941969">
        <w:t xml:space="preserve">  </w:t>
      </w:r>
    </w:p>
    <w:p w:rsidR="00941969" w:rsidRDefault="00941969" w:rsidP="001C4C76"/>
    <w:p w:rsidR="00941969" w:rsidRDefault="00941969" w:rsidP="001C4C76">
      <w:r>
        <w:tab/>
        <w:t>By January 1</w:t>
      </w:r>
      <w:r w:rsidRPr="00941969">
        <w:rPr>
          <w:vertAlign w:val="superscript"/>
        </w:rPr>
        <w:t>st</w:t>
      </w:r>
      <w:r>
        <w:t xml:space="preserve"> of each year, </w:t>
      </w:r>
      <w:proofErr w:type="spellStart"/>
      <w:r>
        <w:t>PEF</w:t>
      </w:r>
      <w:proofErr w:type="spellEnd"/>
      <w:r>
        <w:t xml:space="preserve"> and </w:t>
      </w:r>
      <w:r w:rsidR="005525EC">
        <w:t xml:space="preserve">the </w:t>
      </w:r>
      <w:proofErr w:type="spellStart"/>
      <w:r w:rsidR="005525EC">
        <w:t>OATT</w:t>
      </w:r>
      <w:proofErr w:type="spellEnd"/>
      <w:r w:rsidR="005525EC">
        <w:t xml:space="preserve"> </w:t>
      </w:r>
      <w:r>
        <w:t>transmission customer will each provide to the other the forecast summer and winter peak season power factor at the point of delivery for each of their respective points of delivery and by power factor aggregation zones for the ten-year transmission planning horizon.</w:t>
      </w:r>
      <w:r>
        <w:rPr>
          <w:rStyle w:val="FootnoteReference"/>
        </w:rPr>
        <w:footnoteReference w:id="10"/>
      </w:r>
      <w:r>
        <w:t xml:space="preserve">  By February 1</w:t>
      </w:r>
      <w:r w:rsidRPr="00941969">
        <w:rPr>
          <w:vertAlign w:val="superscript"/>
        </w:rPr>
        <w:t>st</w:t>
      </w:r>
      <w:r>
        <w:t>, they will each provide plans on how they will meet the power factor standard where it is not currently being met or is forecasted not to be met for a specific power factor aggregation zone.</w:t>
      </w:r>
      <w:r>
        <w:rPr>
          <w:rStyle w:val="FootnoteReference"/>
        </w:rPr>
        <w:footnoteReference w:id="11"/>
      </w:r>
      <w:r>
        <w:t xml:space="preserve">  </w:t>
      </w:r>
      <w:r w:rsidR="00E7291C">
        <w:t xml:space="preserve">The power factor standard that </w:t>
      </w:r>
      <w:proofErr w:type="spellStart"/>
      <w:r w:rsidR="00E7291C">
        <w:t>PEF</w:t>
      </w:r>
      <w:proofErr w:type="spellEnd"/>
      <w:r w:rsidR="00E7291C">
        <w:t xml:space="preserve"> and </w:t>
      </w:r>
      <w:r w:rsidR="008A7AF2">
        <w:t>the</w:t>
      </w:r>
      <w:r w:rsidR="00E7291C">
        <w:t xml:space="preserve"> transmission customer must adhere to requires that each power factor aggregation zone be between 95% lagging and 99% leading measured at the times coincident with </w:t>
      </w:r>
      <w:proofErr w:type="spellStart"/>
      <w:r w:rsidR="00E7291C">
        <w:t>PEF’s</w:t>
      </w:r>
      <w:proofErr w:type="spellEnd"/>
      <w:r w:rsidR="00E7291C">
        <w:t xml:space="preserve"> transmission system summer and winter peak loads.</w:t>
      </w:r>
      <w:r w:rsidR="00E7291C">
        <w:rPr>
          <w:rStyle w:val="FootnoteReference"/>
        </w:rPr>
        <w:footnoteReference w:id="12"/>
      </w:r>
      <w:r w:rsidR="00E7291C">
        <w:t xml:space="preserve">  </w:t>
      </w:r>
    </w:p>
    <w:p w:rsidR="001F517D" w:rsidRDefault="001F517D" w:rsidP="001C4C76"/>
    <w:p w:rsidR="001F517D" w:rsidRDefault="001F517D" w:rsidP="001C4C76">
      <w:r>
        <w:tab/>
        <w:t>Attachment V also provides that the power factor aggregation zones</w:t>
      </w:r>
      <w:r w:rsidR="008A7AF2">
        <w:t>, which are defined on a geographic basis,</w:t>
      </w:r>
      <w:r>
        <w:t xml:space="preserve"> for </w:t>
      </w:r>
      <w:proofErr w:type="spellStart"/>
      <w:r>
        <w:t>PEF</w:t>
      </w:r>
      <w:proofErr w:type="spellEnd"/>
      <w:r>
        <w:t xml:space="preserve"> and each </w:t>
      </w:r>
      <w:proofErr w:type="spellStart"/>
      <w:r w:rsidR="008A7AF2">
        <w:t>OATT</w:t>
      </w:r>
      <w:proofErr w:type="spellEnd"/>
      <w:r w:rsidR="008A7AF2">
        <w:t xml:space="preserve"> </w:t>
      </w:r>
      <w:r>
        <w:t>transmission custome</w:t>
      </w:r>
      <w:r w:rsidR="00106320">
        <w:t>r</w:t>
      </w:r>
      <w:r>
        <w:t>, will be set forth in the network integration service agreement and/or network operating agreement that is applicable to it.</w:t>
      </w:r>
      <w:r>
        <w:rPr>
          <w:rStyle w:val="FootnoteReference"/>
        </w:rPr>
        <w:footnoteReference w:id="13"/>
      </w:r>
      <w:r>
        <w:t xml:space="preserve">  </w:t>
      </w:r>
      <w:proofErr w:type="spellStart"/>
      <w:r>
        <w:t>PEF</w:t>
      </w:r>
      <w:proofErr w:type="spellEnd"/>
      <w:r>
        <w:t xml:space="preserve"> will also post and maintain on its OASIS a list of power factor aggregation zones for </w:t>
      </w:r>
      <w:proofErr w:type="spellStart"/>
      <w:r>
        <w:t>PEF</w:t>
      </w:r>
      <w:proofErr w:type="spellEnd"/>
      <w:r>
        <w:t xml:space="preserve"> and each current and pending transmission customer.</w:t>
      </w:r>
      <w:r>
        <w:rPr>
          <w:rStyle w:val="FootnoteReference"/>
        </w:rPr>
        <w:footnoteReference w:id="14"/>
      </w:r>
      <w:r>
        <w:t xml:space="preserve">  </w:t>
      </w:r>
    </w:p>
    <w:p w:rsidR="001A77EE" w:rsidRDefault="001A77EE" w:rsidP="001C4C76"/>
    <w:p w:rsidR="001A77EE" w:rsidRDefault="001A77EE" w:rsidP="001C4C76">
      <w:r>
        <w:lastRenderedPageBreak/>
        <w:tab/>
      </w:r>
      <w:r w:rsidR="00106320" w:rsidRPr="00845656">
        <w:t xml:space="preserve">If, after the </w:t>
      </w:r>
      <w:proofErr w:type="spellStart"/>
      <w:r w:rsidR="00106320">
        <w:t>OATT</w:t>
      </w:r>
      <w:proofErr w:type="spellEnd"/>
      <w:r w:rsidR="00106320">
        <w:t xml:space="preserve"> t</w:t>
      </w:r>
      <w:r w:rsidR="00106320" w:rsidRPr="00845656">
        <w:t xml:space="preserve">ransmission </w:t>
      </w:r>
      <w:r w:rsidR="00106320">
        <w:t>c</w:t>
      </w:r>
      <w:r w:rsidR="00106320" w:rsidRPr="00845656">
        <w:t>ustomer fully complies with the power factor standard during the Initial Compliance Period</w:t>
      </w:r>
      <w:r w:rsidR="00106320">
        <w:t>,</w:t>
      </w:r>
      <w:r w:rsidR="00106320" w:rsidRPr="00845656">
        <w:t xml:space="preserve"> </w:t>
      </w:r>
      <w:r w:rsidR="00106320">
        <w:t>the customer</w:t>
      </w:r>
      <w:r w:rsidR="00106320" w:rsidRPr="00845656">
        <w:t xml:space="preserve"> then does not maintain and provide the necessary reactive compensation and control, on an on-going basis, to continue to comply with the power factor standard, </w:t>
      </w:r>
      <w:proofErr w:type="spellStart"/>
      <w:r w:rsidR="00106320">
        <w:t>PEF</w:t>
      </w:r>
      <w:proofErr w:type="spellEnd"/>
      <w:r w:rsidR="00106320">
        <w:t xml:space="preserve"> </w:t>
      </w:r>
      <w:r w:rsidR="00106320" w:rsidRPr="00845656">
        <w:t xml:space="preserve">shall provide </w:t>
      </w:r>
      <w:r w:rsidR="00106320">
        <w:t>the customer</w:t>
      </w:r>
      <w:r w:rsidR="00106320" w:rsidRPr="00845656">
        <w:t xml:space="preserve"> with written notice of any alleged non-compliance</w:t>
      </w:r>
      <w:r w:rsidR="00106320">
        <w:t>.</w:t>
      </w:r>
      <w:r>
        <w:rPr>
          <w:rStyle w:val="FootnoteReference"/>
        </w:rPr>
        <w:footnoteReference w:id="15"/>
      </w:r>
      <w:r>
        <w:t xml:space="preserve">  If the transmission customer does not resolve the matter </w:t>
      </w:r>
      <w:r w:rsidR="00106320">
        <w:t xml:space="preserve">to </w:t>
      </w:r>
      <w:proofErr w:type="spellStart"/>
      <w:r w:rsidR="00106320">
        <w:t>PEF’s</w:t>
      </w:r>
      <w:proofErr w:type="spellEnd"/>
      <w:r w:rsidR="00106320">
        <w:t xml:space="preserve"> reasonable satisfaction </w:t>
      </w:r>
      <w:r>
        <w:t xml:space="preserve">within twenty-four months, </w:t>
      </w:r>
      <w:proofErr w:type="spellStart"/>
      <w:r>
        <w:t>PEF</w:t>
      </w:r>
      <w:proofErr w:type="spellEnd"/>
      <w:r>
        <w:t xml:space="preserve"> will have the unilateral right to install necessary equipment to meet the standard and will have the right to seek to recover related expenses.</w:t>
      </w:r>
      <w:r>
        <w:rPr>
          <w:rStyle w:val="FootnoteReference"/>
        </w:rPr>
        <w:footnoteReference w:id="16"/>
      </w:r>
    </w:p>
    <w:p w:rsidR="001C4C76" w:rsidRDefault="001C4C76" w:rsidP="001C4C76"/>
    <w:p w:rsidR="001C4C76" w:rsidRDefault="001C4C76" w:rsidP="001C4C76">
      <w:pPr>
        <w:pStyle w:val="Heading1"/>
      </w:pPr>
      <w:r>
        <w:t>III.</w:t>
      </w:r>
      <w:r>
        <w:tab/>
        <w:t>Effective Date</w:t>
      </w:r>
    </w:p>
    <w:p w:rsidR="001C4C76" w:rsidRDefault="001C4C76" w:rsidP="001C4C76">
      <w:r>
        <w:tab/>
      </w:r>
      <w:proofErr w:type="spellStart"/>
      <w:r>
        <w:t>PEF</w:t>
      </w:r>
      <w:proofErr w:type="spellEnd"/>
      <w:r>
        <w:t xml:space="preserve"> requests that </w:t>
      </w:r>
      <w:r w:rsidR="001A77EE">
        <w:t xml:space="preserve">the </w:t>
      </w:r>
      <w:proofErr w:type="spellStart"/>
      <w:r w:rsidR="00877333">
        <w:t>OATT</w:t>
      </w:r>
      <w:proofErr w:type="spellEnd"/>
      <w:r w:rsidR="00877333">
        <w:t xml:space="preserve"> revisions</w:t>
      </w:r>
      <w:r>
        <w:t xml:space="preserve"> become effective</w:t>
      </w:r>
      <w:r w:rsidR="00055820">
        <w:t xml:space="preserve"> sixty days after the date of this filing, which is ________________, 2009.</w:t>
      </w:r>
    </w:p>
    <w:p w:rsidR="00055820" w:rsidRDefault="00055820" w:rsidP="001C4C76"/>
    <w:p w:rsidR="00055820" w:rsidRDefault="00055820" w:rsidP="00055820">
      <w:pPr>
        <w:pStyle w:val="Heading1"/>
      </w:pPr>
      <w:r>
        <w:t>IV.</w:t>
      </w:r>
      <w:r>
        <w:tab/>
        <w:t>Contents of Filing</w:t>
      </w:r>
    </w:p>
    <w:p w:rsidR="00055820" w:rsidRDefault="00055820" w:rsidP="00055820">
      <w:r>
        <w:tab/>
      </w:r>
      <w:r w:rsidR="002F5D02">
        <w:t>The following documents are included in this filing</w:t>
      </w:r>
      <w:r>
        <w:t>:</w:t>
      </w:r>
    </w:p>
    <w:p w:rsidR="00055820" w:rsidRDefault="00055820" w:rsidP="00055820"/>
    <w:p w:rsidR="00055820" w:rsidRDefault="00C3455C" w:rsidP="00C3455C">
      <w:pPr>
        <w:numPr>
          <w:ilvl w:val="0"/>
          <w:numId w:val="1"/>
        </w:numPr>
      </w:pPr>
      <w:r>
        <w:t xml:space="preserve">The new </w:t>
      </w:r>
      <w:proofErr w:type="spellStart"/>
      <w:r>
        <w:t>OATT</w:t>
      </w:r>
      <w:proofErr w:type="spellEnd"/>
      <w:r>
        <w:t xml:space="preserve"> </w:t>
      </w:r>
      <w:r w:rsidR="00055820">
        <w:t xml:space="preserve">Attachment </w:t>
      </w:r>
      <w:r w:rsidR="001A77EE">
        <w:t>V</w:t>
      </w:r>
      <w:r w:rsidR="00055820">
        <w:t xml:space="preserve"> to the </w:t>
      </w:r>
      <w:proofErr w:type="spellStart"/>
      <w:r w:rsidR="00055820">
        <w:t>PEF</w:t>
      </w:r>
      <w:proofErr w:type="spellEnd"/>
      <w:r w:rsidR="00055820">
        <w:t xml:space="preserve"> </w:t>
      </w:r>
      <w:proofErr w:type="spellStart"/>
      <w:r w:rsidR="00055820">
        <w:t>OATT</w:t>
      </w:r>
      <w:proofErr w:type="spellEnd"/>
      <w:r w:rsidR="00055820">
        <w:t xml:space="preserve"> governing </w:t>
      </w:r>
      <w:r w:rsidR="001A77EE">
        <w:t>power factor requirements</w:t>
      </w:r>
      <w:r w:rsidR="00055820">
        <w:t xml:space="preserve"> (“Attachment </w:t>
      </w:r>
      <w:r w:rsidR="002F5D02">
        <w:t>1</w:t>
      </w:r>
      <w:r w:rsidR="00055820">
        <w:t>”)</w:t>
      </w:r>
      <w:r>
        <w:t>;</w:t>
      </w:r>
      <w:r>
        <w:rPr>
          <w:rStyle w:val="FootnoteReference"/>
        </w:rPr>
        <w:footnoteReference w:id="17"/>
      </w:r>
      <w:r>
        <w:t xml:space="preserve"> and </w:t>
      </w:r>
    </w:p>
    <w:p w:rsidR="00C3455C" w:rsidRDefault="00C3455C" w:rsidP="00C3455C">
      <w:pPr>
        <w:ind w:left="1080"/>
      </w:pPr>
    </w:p>
    <w:p w:rsidR="00C3455C" w:rsidRDefault="00C3455C" w:rsidP="00C3455C">
      <w:pPr>
        <w:numPr>
          <w:ilvl w:val="0"/>
          <w:numId w:val="1"/>
        </w:numPr>
      </w:pPr>
      <w:r>
        <w:t xml:space="preserve">Clean and redlined copies of revised </w:t>
      </w:r>
      <w:proofErr w:type="spellStart"/>
      <w:r>
        <w:t>OATT</w:t>
      </w:r>
      <w:proofErr w:type="spellEnd"/>
      <w:r>
        <w:t xml:space="preserve"> Section 24.3.</w:t>
      </w:r>
      <w:r w:rsidR="007977D1">
        <w:rPr>
          <w:rStyle w:val="FootnoteReference"/>
        </w:rPr>
        <w:footnoteReference w:id="18"/>
      </w:r>
    </w:p>
    <w:p w:rsidR="00055820" w:rsidRDefault="00055820" w:rsidP="00055820"/>
    <w:p w:rsidR="00055820" w:rsidRDefault="00055820" w:rsidP="00055820">
      <w:pPr>
        <w:pStyle w:val="Heading1"/>
      </w:pPr>
      <w:r>
        <w:t>V.</w:t>
      </w:r>
      <w:r>
        <w:tab/>
        <w:t>List of Persons on Whom this Filing Is Being Served</w:t>
      </w:r>
    </w:p>
    <w:p w:rsidR="00055820" w:rsidRDefault="00055820" w:rsidP="00055820">
      <w:pPr>
        <w:rPr>
          <w:rFonts w:cs="Arial"/>
        </w:rPr>
      </w:pPr>
      <w:r>
        <w:tab/>
        <w:t xml:space="preserve">Pursuant to 18 </w:t>
      </w:r>
      <w:proofErr w:type="spellStart"/>
      <w:r>
        <w:t>C.F.R.</w:t>
      </w:r>
      <w:proofErr w:type="spellEnd"/>
      <w:r>
        <w:t xml:space="preserve"> § 385.2010(f)(</w:t>
      </w:r>
      <w:proofErr w:type="spellStart"/>
      <w:r>
        <w:t>i</w:t>
      </w:r>
      <w:proofErr w:type="spellEnd"/>
      <w:r>
        <w:t>) of the Commission’s Regulations, a</w:t>
      </w:r>
      <w:r w:rsidRPr="003C4293">
        <w:rPr>
          <w:rFonts w:cs="Arial"/>
        </w:rPr>
        <w:t xml:space="preserve"> copy of this filing is </w:t>
      </w:r>
      <w:r>
        <w:rPr>
          <w:rFonts w:cs="Arial"/>
        </w:rPr>
        <w:t xml:space="preserve">being served by electronic means on the </w:t>
      </w:r>
      <w:r w:rsidR="002F5D02">
        <w:rPr>
          <w:rFonts w:cs="Arial"/>
        </w:rPr>
        <w:t>Florida Public Service Commission</w:t>
      </w:r>
      <w:r>
        <w:rPr>
          <w:rFonts w:cs="Arial"/>
        </w:rPr>
        <w:t xml:space="preserve"> and </w:t>
      </w:r>
      <w:proofErr w:type="spellStart"/>
      <w:r>
        <w:rPr>
          <w:rFonts w:cs="Arial"/>
        </w:rPr>
        <w:t>PEF’s</w:t>
      </w:r>
      <w:proofErr w:type="spellEnd"/>
      <w:r>
        <w:rPr>
          <w:rFonts w:cs="Arial"/>
        </w:rPr>
        <w:t xml:space="preserve"> </w:t>
      </w:r>
      <w:r w:rsidR="007977D1">
        <w:rPr>
          <w:rFonts w:cs="Arial"/>
        </w:rPr>
        <w:t xml:space="preserve">and </w:t>
      </w:r>
      <w:proofErr w:type="spellStart"/>
      <w:r w:rsidR="007977D1">
        <w:rPr>
          <w:rFonts w:cs="Arial"/>
        </w:rPr>
        <w:t>PEC’s</w:t>
      </w:r>
      <w:proofErr w:type="spellEnd"/>
      <w:r w:rsidR="007977D1">
        <w:rPr>
          <w:rFonts w:cs="Arial"/>
        </w:rPr>
        <w:t xml:space="preserve"> </w:t>
      </w:r>
      <w:proofErr w:type="spellStart"/>
      <w:r>
        <w:rPr>
          <w:rFonts w:cs="Arial"/>
        </w:rPr>
        <w:t>OATT</w:t>
      </w:r>
      <w:proofErr w:type="spellEnd"/>
      <w:r>
        <w:rPr>
          <w:rFonts w:cs="Arial"/>
        </w:rPr>
        <w:t xml:space="preserve"> transmission customers.  Specifically, on the date of this filing, </w:t>
      </w:r>
      <w:proofErr w:type="spellStart"/>
      <w:r>
        <w:rPr>
          <w:rFonts w:cs="Arial"/>
        </w:rPr>
        <w:t>PE</w:t>
      </w:r>
      <w:r w:rsidR="002F5D02">
        <w:rPr>
          <w:rFonts w:cs="Arial"/>
        </w:rPr>
        <w:t>F</w:t>
      </w:r>
      <w:proofErr w:type="spellEnd"/>
      <w:r>
        <w:rPr>
          <w:rFonts w:cs="Arial"/>
        </w:rPr>
        <w:t xml:space="preserve"> will submit an e-mail that notifies the </w:t>
      </w:r>
      <w:r w:rsidR="002F5D02">
        <w:rPr>
          <w:rFonts w:cs="Arial"/>
        </w:rPr>
        <w:t xml:space="preserve">Florida Public Service </w:t>
      </w:r>
      <w:r w:rsidR="002F5D02">
        <w:rPr>
          <w:rFonts w:cs="Arial"/>
        </w:rPr>
        <w:lastRenderedPageBreak/>
        <w:t>Commission</w:t>
      </w:r>
      <w:r>
        <w:rPr>
          <w:rFonts w:cs="Arial"/>
        </w:rPr>
        <w:t xml:space="preserve"> and </w:t>
      </w:r>
      <w:proofErr w:type="spellStart"/>
      <w:r>
        <w:rPr>
          <w:rFonts w:cs="Arial"/>
        </w:rPr>
        <w:t>PEF’s</w:t>
      </w:r>
      <w:proofErr w:type="spellEnd"/>
      <w:r>
        <w:rPr>
          <w:rFonts w:cs="Arial"/>
        </w:rPr>
        <w:t xml:space="preserve"> </w:t>
      </w:r>
      <w:r w:rsidR="007977D1">
        <w:rPr>
          <w:rFonts w:cs="Arial"/>
        </w:rPr>
        <w:t xml:space="preserve">and </w:t>
      </w:r>
      <w:proofErr w:type="spellStart"/>
      <w:r w:rsidR="007977D1">
        <w:rPr>
          <w:rFonts w:cs="Arial"/>
        </w:rPr>
        <w:t>PEC’s</w:t>
      </w:r>
      <w:proofErr w:type="spellEnd"/>
      <w:r w:rsidR="007977D1">
        <w:rPr>
          <w:rFonts w:cs="Arial"/>
        </w:rPr>
        <w:t xml:space="preserve"> </w:t>
      </w:r>
      <w:proofErr w:type="spellStart"/>
      <w:r>
        <w:rPr>
          <w:rFonts w:cs="Arial"/>
        </w:rPr>
        <w:t>OATT</w:t>
      </w:r>
      <w:proofErr w:type="spellEnd"/>
      <w:r>
        <w:rPr>
          <w:rFonts w:cs="Arial"/>
        </w:rPr>
        <w:t xml:space="preserve"> transmission customers that its revisions to the </w:t>
      </w:r>
      <w:proofErr w:type="spellStart"/>
      <w:r>
        <w:rPr>
          <w:rFonts w:cs="Arial"/>
        </w:rPr>
        <w:t>PE</w:t>
      </w:r>
      <w:r w:rsidR="002F5D02">
        <w:rPr>
          <w:rFonts w:cs="Arial"/>
        </w:rPr>
        <w:t>F</w:t>
      </w:r>
      <w:proofErr w:type="spellEnd"/>
      <w:r>
        <w:rPr>
          <w:rFonts w:cs="Arial"/>
        </w:rPr>
        <w:t xml:space="preserve"> </w:t>
      </w:r>
      <w:proofErr w:type="spellStart"/>
      <w:r w:rsidR="002F5D02">
        <w:rPr>
          <w:rFonts w:cs="Arial"/>
        </w:rPr>
        <w:t>OATT</w:t>
      </w:r>
      <w:proofErr w:type="spellEnd"/>
      <w:r>
        <w:rPr>
          <w:rFonts w:cs="Arial"/>
        </w:rPr>
        <w:t xml:space="preserve"> are available from </w:t>
      </w:r>
      <w:proofErr w:type="spellStart"/>
      <w:r>
        <w:rPr>
          <w:rFonts w:cs="Arial"/>
        </w:rPr>
        <w:t>PE</w:t>
      </w:r>
      <w:r w:rsidR="002F5D02">
        <w:rPr>
          <w:rFonts w:cs="Arial"/>
        </w:rPr>
        <w:t>F</w:t>
      </w:r>
      <w:r>
        <w:rPr>
          <w:rFonts w:cs="Arial"/>
        </w:rPr>
        <w:t>’s</w:t>
      </w:r>
      <w:proofErr w:type="spellEnd"/>
      <w:r>
        <w:rPr>
          <w:rFonts w:cs="Arial"/>
        </w:rPr>
        <w:t xml:space="preserve"> OASIS site at </w:t>
      </w:r>
      <w:r w:rsidRPr="00D107B2">
        <w:rPr>
          <w:rFonts w:cs="Arial"/>
        </w:rPr>
        <w:t>http://www.oatioasis.com/</w:t>
      </w:r>
      <w:r w:rsidR="002F5D02">
        <w:rPr>
          <w:rFonts w:cs="Arial"/>
        </w:rPr>
        <w:t>FPC</w:t>
      </w:r>
      <w:r w:rsidRPr="00D107B2">
        <w:rPr>
          <w:rFonts w:cs="Arial"/>
        </w:rPr>
        <w:t>/</w:t>
      </w:r>
      <w:r>
        <w:rPr>
          <w:rFonts w:cs="Arial"/>
        </w:rPr>
        <w:t>,</w:t>
      </w:r>
      <w:r w:rsidRPr="00DC39C3">
        <w:rPr>
          <w:rFonts w:cs="Arial"/>
        </w:rPr>
        <w:t xml:space="preserve"> </w:t>
      </w:r>
      <w:r>
        <w:rPr>
          <w:rFonts w:cs="Arial"/>
        </w:rPr>
        <w:t xml:space="preserve">on the </w:t>
      </w:r>
      <w:r>
        <w:t>Open Access Transmission Tariff (</w:t>
      </w:r>
      <w:proofErr w:type="spellStart"/>
      <w:r>
        <w:t>OATT</w:t>
      </w:r>
      <w:proofErr w:type="spellEnd"/>
      <w:r>
        <w:t>) Information</w:t>
      </w:r>
      <w:r>
        <w:rPr>
          <w:rFonts w:cs="Arial"/>
        </w:rPr>
        <w:t xml:space="preserve"> page, as well as Progress Energy’s corporate website at </w:t>
      </w:r>
      <w:hyperlink r:id="rId8" w:history="1">
        <w:r w:rsidR="002F5D02" w:rsidRPr="003A17FF">
          <w:rPr>
            <w:rStyle w:val="Hyperlink"/>
            <w:rFonts w:cs="Arial"/>
          </w:rPr>
          <w:t>http://www.progress-energy.com/aboutenergy/ferc/index.asp</w:t>
        </w:r>
      </w:hyperlink>
      <w:r w:rsidRPr="00D107B2">
        <w:rPr>
          <w:rFonts w:cs="Arial"/>
        </w:rPr>
        <w:t>.</w:t>
      </w:r>
    </w:p>
    <w:p w:rsidR="007977D1" w:rsidRDefault="007977D1" w:rsidP="00055820">
      <w:pPr>
        <w:rPr>
          <w:rFonts w:cs="Arial"/>
        </w:rPr>
      </w:pPr>
    </w:p>
    <w:p w:rsidR="007977D1" w:rsidRDefault="007977D1" w:rsidP="007977D1">
      <w:pPr>
        <w:ind w:firstLine="720"/>
        <w:rPr>
          <w:rFonts w:cs="Arial"/>
        </w:rPr>
      </w:pPr>
      <w:r>
        <w:rPr>
          <w:rFonts w:cs="Arial"/>
        </w:rPr>
        <w:t xml:space="preserve">Over three weeks ago, </w:t>
      </w:r>
      <w:proofErr w:type="spellStart"/>
      <w:r>
        <w:rPr>
          <w:rFonts w:cs="Arial"/>
        </w:rPr>
        <w:t>PEF</w:t>
      </w:r>
      <w:proofErr w:type="spellEnd"/>
      <w:r>
        <w:rPr>
          <w:rFonts w:cs="Arial"/>
        </w:rPr>
        <w:t xml:space="preserve"> made available draft copies of the filing letter and new </w:t>
      </w:r>
      <w:proofErr w:type="spellStart"/>
      <w:r>
        <w:rPr>
          <w:rFonts w:cs="Arial"/>
        </w:rPr>
        <w:t>OATT</w:t>
      </w:r>
      <w:proofErr w:type="spellEnd"/>
      <w:r>
        <w:rPr>
          <w:rFonts w:cs="Arial"/>
        </w:rPr>
        <w:t xml:space="preserve"> Attachment V for this filing to all </w:t>
      </w:r>
      <w:proofErr w:type="spellStart"/>
      <w:r>
        <w:rPr>
          <w:rFonts w:cs="Arial"/>
        </w:rPr>
        <w:t>PEF</w:t>
      </w:r>
      <w:proofErr w:type="spellEnd"/>
      <w:r>
        <w:rPr>
          <w:rFonts w:cs="Arial"/>
        </w:rPr>
        <w:t xml:space="preserve"> and </w:t>
      </w:r>
      <w:proofErr w:type="spellStart"/>
      <w:r>
        <w:rPr>
          <w:rFonts w:cs="Arial"/>
        </w:rPr>
        <w:t>PEC</w:t>
      </w:r>
      <w:proofErr w:type="spellEnd"/>
      <w:r>
        <w:rPr>
          <w:rFonts w:cs="Arial"/>
        </w:rPr>
        <w:t xml:space="preserve"> </w:t>
      </w:r>
      <w:proofErr w:type="spellStart"/>
      <w:r>
        <w:rPr>
          <w:rFonts w:cs="Arial"/>
        </w:rPr>
        <w:t>OATT</w:t>
      </w:r>
      <w:proofErr w:type="spellEnd"/>
      <w:r>
        <w:rPr>
          <w:rFonts w:cs="Arial"/>
        </w:rPr>
        <w:t xml:space="preserve"> customers through e-mail and a posting on </w:t>
      </w:r>
      <w:proofErr w:type="spellStart"/>
      <w:r>
        <w:rPr>
          <w:rFonts w:cs="Arial"/>
        </w:rPr>
        <w:t>PEF’s</w:t>
      </w:r>
      <w:proofErr w:type="spellEnd"/>
      <w:r>
        <w:rPr>
          <w:rFonts w:cs="Arial"/>
        </w:rPr>
        <w:t xml:space="preserve"> OASIS site.  </w:t>
      </w:r>
      <w:proofErr w:type="spellStart"/>
      <w:r>
        <w:rPr>
          <w:rFonts w:cs="Arial"/>
        </w:rPr>
        <w:t>PEF</w:t>
      </w:r>
      <w:proofErr w:type="spellEnd"/>
      <w:r>
        <w:rPr>
          <w:rFonts w:cs="Arial"/>
        </w:rPr>
        <w:t xml:space="preserve"> made these drafts available to the </w:t>
      </w:r>
      <w:proofErr w:type="spellStart"/>
      <w:r>
        <w:rPr>
          <w:rFonts w:cs="Arial"/>
        </w:rPr>
        <w:t>OATT</w:t>
      </w:r>
      <w:proofErr w:type="spellEnd"/>
      <w:r>
        <w:rPr>
          <w:rFonts w:cs="Arial"/>
        </w:rPr>
        <w:t xml:space="preserve"> customers in order to provide them with an opportunity to review and comment on the filing in advance of </w:t>
      </w:r>
      <w:proofErr w:type="spellStart"/>
      <w:r>
        <w:rPr>
          <w:rFonts w:cs="Arial"/>
        </w:rPr>
        <w:t>PEF’s</w:t>
      </w:r>
      <w:proofErr w:type="spellEnd"/>
      <w:r>
        <w:rPr>
          <w:rFonts w:cs="Arial"/>
        </w:rPr>
        <w:t xml:space="preserve"> filing.</w:t>
      </w:r>
    </w:p>
    <w:p w:rsidR="007977D1" w:rsidRDefault="007977D1" w:rsidP="00055820">
      <w:pPr>
        <w:rPr>
          <w:rFonts w:cs="Arial"/>
        </w:rPr>
      </w:pPr>
    </w:p>
    <w:p w:rsidR="002F5D02" w:rsidRPr="003C4293" w:rsidRDefault="002F5D02" w:rsidP="002F5D02">
      <w:pPr>
        <w:spacing w:before="240"/>
        <w:outlineLvl w:val="0"/>
        <w:rPr>
          <w:b/>
          <w:smallCaps/>
          <w:sz w:val="28"/>
          <w:szCs w:val="28"/>
        </w:rPr>
      </w:pPr>
      <w:r>
        <w:rPr>
          <w:b/>
          <w:smallCaps/>
          <w:sz w:val="28"/>
          <w:szCs w:val="28"/>
        </w:rPr>
        <w:t>VI</w:t>
      </w:r>
      <w:r w:rsidRPr="003C4293">
        <w:rPr>
          <w:b/>
          <w:smallCaps/>
          <w:sz w:val="28"/>
          <w:szCs w:val="28"/>
        </w:rPr>
        <w:t>.</w:t>
      </w:r>
      <w:r w:rsidRPr="003C4293">
        <w:rPr>
          <w:b/>
          <w:smallCaps/>
          <w:sz w:val="28"/>
          <w:szCs w:val="28"/>
        </w:rPr>
        <w:tab/>
        <w:t>Miscellaneous</w:t>
      </w:r>
    </w:p>
    <w:p w:rsidR="002F5D02" w:rsidRPr="004D6DF0" w:rsidRDefault="002F5D02" w:rsidP="002F5D02"/>
    <w:p w:rsidR="002F5D02" w:rsidRPr="003C4293" w:rsidRDefault="00726B91" w:rsidP="002F5D02">
      <w:pPr>
        <w:spacing w:after="120"/>
        <w:ind w:firstLine="720"/>
        <w:rPr>
          <w:rFonts w:cs="Arial"/>
        </w:rPr>
      </w:pPr>
      <w:r>
        <w:rPr>
          <w:rFonts w:cs="Arial"/>
        </w:rPr>
        <w:t xml:space="preserve">No costs or expenses </w:t>
      </w:r>
      <w:r w:rsidR="007977D1">
        <w:rPr>
          <w:rFonts w:cs="Arial"/>
        </w:rPr>
        <w:t>concerning the tariff sheets</w:t>
      </w:r>
      <w:r>
        <w:rPr>
          <w:rFonts w:cs="Arial"/>
        </w:rPr>
        <w:t xml:space="preserve"> set forth </w:t>
      </w:r>
      <w:r w:rsidR="002F5D02" w:rsidRPr="003C4293">
        <w:rPr>
          <w:rFonts w:cs="Arial"/>
        </w:rPr>
        <w:t>in this filing that have been alleged or adjudged in any administrative or judicial proceeding to be illegal, duplicative, or unnecessary costs, nor has any expense or cost been demonstrated to be the product of discriminatory employment practices.</w:t>
      </w:r>
      <w:r>
        <w:rPr>
          <w:rFonts w:cs="Arial"/>
        </w:rPr>
        <w:t xml:space="preserve">  </w:t>
      </w:r>
    </w:p>
    <w:p w:rsidR="002F5D02" w:rsidRPr="003C4293" w:rsidRDefault="002F5D02" w:rsidP="002F5D02">
      <w:pPr>
        <w:keepNext/>
        <w:keepLines/>
        <w:spacing w:before="240"/>
        <w:ind w:left="720" w:hanging="720"/>
        <w:outlineLvl w:val="0"/>
        <w:rPr>
          <w:b/>
          <w:smallCaps/>
          <w:sz w:val="28"/>
          <w:szCs w:val="28"/>
        </w:rPr>
      </w:pPr>
      <w:r>
        <w:rPr>
          <w:b/>
          <w:smallCaps/>
          <w:sz w:val="28"/>
          <w:szCs w:val="28"/>
        </w:rPr>
        <w:t>VII</w:t>
      </w:r>
      <w:r w:rsidRPr="003C4293">
        <w:rPr>
          <w:b/>
          <w:smallCaps/>
          <w:sz w:val="28"/>
          <w:szCs w:val="28"/>
        </w:rPr>
        <w:t>.</w:t>
      </w:r>
      <w:r w:rsidRPr="003C4293">
        <w:rPr>
          <w:b/>
          <w:smallCaps/>
          <w:sz w:val="28"/>
          <w:szCs w:val="28"/>
        </w:rPr>
        <w:tab/>
        <w:t xml:space="preserve">Persons </w:t>
      </w:r>
      <w:r>
        <w:rPr>
          <w:b/>
          <w:smallCaps/>
          <w:sz w:val="28"/>
          <w:szCs w:val="28"/>
        </w:rPr>
        <w:t>t</w:t>
      </w:r>
      <w:r w:rsidRPr="003C4293">
        <w:rPr>
          <w:b/>
          <w:smallCaps/>
          <w:sz w:val="28"/>
          <w:szCs w:val="28"/>
        </w:rPr>
        <w:t>o Whom Correspondence Should Be Addressed</w:t>
      </w:r>
    </w:p>
    <w:p w:rsidR="002F5D02" w:rsidRPr="003C4293" w:rsidRDefault="002F5D02" w:rsidP="002F5D02">
      <w:pPr>
        <w:keepNext/>
        <w:keepLines/>
        <w:rPr>
          <w:b/>
          <w:u w:val="single"/>
        </w:rPr>
      </w:pPr>
    </w:p>
    <w:p w:rsidR="002F5D02" w:rsidRDefault="002F5D02" w:rsidP="002F5D02">
      <w:pPr>
        <w:keepNext/>
        <w:keepLines/>
      </w:pPr>
      <w:r w:rsidRPr="00866EA4">
        <w:tab/>
      </w:r>
      <w:r>
        <w:t xml:space="preserve">The following persons should receive </w:t>
      </w:r>
      <w:r w:rsidRPr="00866EA4">
        <w:t>communications regarding this filing</w:t>
      </w:r>
      <w:r>
        <w:t>:</w:t>
      </w:r>
    </w:p>
    <w:p w:rsidR="002F5D02" w:rsidRDefault="002F5D02" w:rsidP="002F5D02">
      <w:pPr>
        <w:keepNext/>
        <w:keepLines/>
      </w:pPr>
    </w:p>
    <w:p w:rsidR="002F5D02" w:rsidRDefault="002F5D02" w:rsidP="002F5D02">
      <w:pPr>
        <w:keepNext/>
        <w:keepLines/>
        <w:ind w:firstLine="720"/>
      </w:pPr>
      <w:r>
        <w:t>Kendal Bowman, Esq.</w:t>
      </w:r>
    </w:p>
    <w:p w:rsidR="002F5D02" w:rsidRDefault="002F5D02" w:rsidP="002F5D02">
      <w:pPr>
        <w:keepNext/>
        <w:ind w:firstLine="720"/>
        <w:jc w:val="both"/>
        <w:rPr>
          <w:rFonts w:cs="Arial"/>
        </w:rPr>
      </w:pPr>
      <w:r>
        <w:t>Associate General Counsel</w:t>
      </w:r>
      <w:r w:rsidRPr="00931B97">
        <w:rPr>
          <w:rFonts w:cs="Arial"/>
        </w:rPr>
        <w:t xml:space="preserve"> </w:t>
      </w:r>
    </w:p>
    <w:p w:rsidR="002F5D02" w:rsidRPr="00931B97" w:rsidRDefault="002F5D02" w:rsidP="002F5D02">
      <w:pPr>
        <w:ind w:firstLine="720"/>
        <w:jc w:val="both"/>
        <w:rPr>
          <w:rFonts w:cs="Arial"/>
        </w:rPr>
      </w:pPr>
      <w:bookmarkStart w:id="0" w:name="OLE_LINK17"/>
      <w:bookmarkStart w:id="1" w:name="OLE_LINK18"/>
      <w:r w:rsidRPr="00931B97">
        <w:rPr>
          <w:rFonts w:cs="Arial"/>
        </w:rPr>
        <w:t>Progress Energy</w:t>
      </w:r>
      <w:r>
        <w:rPr>
          <w:rFonts w:cs="Arial"/>
        </w:rPr>
        <w:t xml:space="preserve"> Service Company, LLC</w:t>
      </w:r>
    </w:p>
    <w:bookmarkEnd w:id="0"/>
    <w:bookmarkEnd w:id="1"/>
    <w:p w:rsidR="002F5D02" w:rsidRDefault="002F5D02" w:rsidP="002F5D02">
      <w:pPr>
        <w:ind w:firstLine="720"/>
        <w:jc w:val="both"/>
      </w:pPr>
      <w:r w:rsidRPr="00931B97">
        <w:rPr>
          <w:rFonts w:cs="Arial"/>
        </w:rPr>
        <w:t>P.O. Box 1551</w:t>
      </w:r>
      <w:r>
        <w:rPr>
          <w:rFonts w:cs="Arial"/>
        </w:rPr>
        <w:t xml:space="preserve">, </w:t>
      </w:r>
      <w:proofErr w:type="spellStart"/>
      <w:r>
        <w:rPr>
          <w:rFonts w:cs="Arial"/>
        </w:rPr>
        <w:t>PEB</w:t>
      </w:r>
      <w:proofErr w:type="spellEnd"/>
      <w:r>
        <w:rPr>
          <w:rFonts w:cs="Arial"/>
        </w:rPr>
        <w:t xml:space="preserve"> 17B2</w:t>
      </w:r>
    </w:p>
    <w:p w:rsidR="002F5D02" w:rsidRDefault="002F5D02" w:rsidP="002F5D02">
      <w:pPr>
        <w:ind w:firstLine="720"/>
        <w:jc w:val="both"/>
      </w:pPr>
      <w:r>
        <w:t>Raleigh, NC  27602</w:t>
      </w:r>
    </w:p>
    <w:p w:rsidR="002F5D02" w:rsidRDefault="002F5D02" w:rsidP="002F5D02">
      <w:pPr>
        <w:ind w:firstLine="720"/>
        <w:jc w:val="both"/>
      </w:pPr>
      <w:r>
        <w:t>Telephone: 919/546-6794</w:t>
      </w:r>
    </w:p>
    <w:p w:rsidR="002F5D02" w:rsidRPr="00006605" w:rsidRDefault="002F5D02" w:rsidP="002F5D02">
      <w:pPr>
        <w:ind w:firstLine="748"/>
        <w:jc w:val="both"/>
      </w:pPr>
      <w:r w:rsidRPr="00006605">
        <w:t>Facsimile: 919/546-</w:t>
      </w:r>
      <w:r>
        <w:t>2920</w:t>
      </w:r>
    </w:p>
    <w:p w:rsidR="002F5D02" w:rsidRDefault="002F5D02" w:rsidP="002F5D02">
      <w:pPr>
        <w:ind w:left="748"/>
      </w:pPr>
      <w:r w:rsidRPr="00006605">
        <w:t>E-Mail:</w:t>
      </w:r>
      <w:r>
        <w:t xml:space="preserve"> kendal.bowman</w:t>
      </w:r>
      <w:r w:rsidRPr="006C42F5">
        <w:t>@pgnmail.com</w:t>
      </w:r>
    </w:p>
    <w:p w:rsidR="002F5D02" w:rsidRDefault="002F5D02" w:rsidP="002F5D02">
      <w:pPr>
        <w:ind w:left="748"/>
        <w:rPr>
          <w:rFonts w:cs="Arial"/>
        </w:rPr>
      </w:pPr>
    </w:p>
    <w:p w:rsidR="002F5D02" w:rsidRDefault="002F5D02" w:rsidP="002F5D02">
      <w:pPr>
        <w:ind w:left="748"/>
        <w:rPr>
          <w:rFonts w:cs="Arial"/>
        </w:rPr>
      </w:pPr>
      <w:proofErr w:type="gramStart"/>
      <w:r>
        <w:rPr>
          <w:rFonts w:cs="Arial"/>
        </w:rPr>
        <w:t>a</w:t>
      </w:r>
      <w:r w:rsidRPr="00A6058F">
        <w:rPr>
          <w:rFonts w:cs="Arial"/>
        </w:rPr>
        <w:t>nd</w:t>
      </w:r>
      <w:proofErr w:type="gramEnd"/>
    </w:p>
    <w:p w:rsidR="002F5D02" w:rsidRPr="00A6058F" w:rsidRDefault="002F5D02" w:rsidP="002F5D02">
      <w:pPr>
        <w:ind w:left="748"/>
        <w:rPr>
          <w:rFonts w:cs="Arial"/>
        </w:rPr>
      </w:pPr>
    </w:p>
    <w:p w:rsidR="002F5D02" w:rsidRDefault="002F5D02" w:rsidP="002F5D02">
      <w:pPr>
        <w:keepNext/>
        <w:keepLines/>
        <w:rPr>
          <w:rFonts w:cs="Arial"/>
        </w:rPr>
      </w:pPr>
      <w:r w:rsidRPr="00A6058F">
        <w:rPr>
          <w:rFonts w:cs="Arial"/>
        </w:rPr>
        <w:tab/>
        <w:t>Antonia A. Frost</w:t>
      </w:r>
      <w:r>
        <w:rPr>
          <w:rFonts w:cs="Arial"/>
        </w:rPr>
        <w:t>, Esq.</w:t>
      </w:r>
    </w:p>
    <w:p w:rsidR="002F5D02" w:rsidRPr="00A6058F" w:rsidRDefault="002F5D02" w:rsidP="002F5D02">
      <w:pPr>
        <w:keepNext/>
        <w:keepLines/>
        <w:rPr>
          <w:rFonts w:cs="Arial"/>
        </w:rPr>
      </w:pPr>
      <w:r>
        <w:rPr>
          <w:rFonts w:cs="Arial"/>
        </w:rPr>
        <w:tab/>
      </w:r>
      <w:r w:rsidR="00726B91">
        <w:rPr>
          <w:rFonts w:cs="Arial"/>
        </w:rPr>
        <w:t>Linda S. Kizuka</w:t>
      </w:r>
      <w:r>
        <w:rPr>
          <w:rFonts w:cs="Arial"/>
        </w:rPr>
        <w:t>, Esq.</w:t>
      </w:r>
    </w:p>
    <w:p w:rsidR="002F5D02" w:rsidRPr="00A6058F" w:rsidRDefault="002F5D02" w:rsidP="002F5D02">
      <w:pPr>
        <w:keepNext/>
        <w:keepLines/>
        <w:ind w:left="748"/>
        <w:rPr>
          <w:rFonts w:cs="Arial"/>
        </w:rPr>
      </w:pPr>
      <w:proofErr w:type="gramStart"/>
      <w:r w:rsidRPr="00A6058F">
        <w:rPr>
          <w:rFonts w:cs="Arial"/>
        </w:rPr>
        <w:t xml:space="preserve">Bruder, Gentile &amp; Marcoux, </w:t>
      </w:r>
      <w:proofErr w:type="spellStart"/>
      <w:r w:rsidRPr="00A6058F">
        <w:rPr>
          <w:rFonts w:cs="Arial"/>
        </w:rPr>
        <w:t>L.L.P.</w:t>
      </w:r>
      <w:proofErr w:type="spellEnd"/>
      <w:proofErr w:type="gramEnd"/>
    </w:p>
    <w:p w:rsidR="002F5D02" w:rsidRPr="00A6058F" w:rsidRDefault="002F5D02" w:rsidP="002F5D02">
      <w:pPr>
        <w:keepNext/>
        <w:keepLines/>
        <w:ind w:left="748"/>
        <w:rPr>
          <w:rFonts w:cs="Arial"/>
        </w:rPr>
      </w:pPr>
      <w:r w:rsidRPr="00A6058F">
        <w:rPr>
          <w:rFonts w:cs="Arial"/>
        </w:rPr>
        <w:t>1701 Pennsylvania Avenue, N.W.</w:t>
      </w:r>
    </w:p>
    <w:p w:rsidR="002F5D02" w:rsidRPr="00A6058F" w:rsidRDefault="002F5D02" w:rsidP="002F5D02">
      <w:pPr>
        <w:ind w:left="748"/>
        <w:rPr>
          <w:rFonts w:cs="Arial"/>
        </w:rPr>
      </w:pPr>
      <w:r w:rsidRPr="00A6058F">
        <w:rPr>
          <w:rFonts w:cs="Arial"/>
        </w:rPr>
        <w:t>Suite 900</w:t>
      </w:r>
    </w:p>
    <w:p w:rsidR="002F5D02" w:rsidRPr="00A6058F" w:rsidRDefault="002F5D02" w:rsidP="002F5D02">
      <w:pPr>
        <w:ind w:left="748"/>
        <w:rPr>
          <w:rFonts w:cs="Arial"/>
        </w:rPr>
      </w:pPr>
      <w:r w:rsidRPr="00A6058F">
        <w:rPr>
          <w:rFonts w:cs="Arial"/>
        </w:rPr>
        <w:lastRenderedPageBreak/>
        <w:t>Washington, D.C.  20006-5807</w:t>
      </w:r>
    </w:p>
    <w:p w:rsidR="002F5D02" w:rsidRPr="00A6058F" w:rsidRDefault="002F5D02" w:rsidP="002F5D02">
      <w:pPr>
        <w:ind w:left="748"/>
        <w:rPr>
          <w:rFonts w:cs="Arial"/>
        </w:rPr>
      </w:pPr>
      <w:r w:rsidRPr="00A6058F">
        <w:rPr>
          <w:rFonts w:cs="Arial"/>
        </w:rPr>
        <w:t>Telephone:</w:t>
      </w:r>
      <w:r>
        <w:rPr>
          <w:rFonts w:cs="Arial"/>
        </w:rPr>
        <w:t xml:space="preserve"> </w:t>
      </w:r>
      <w:r w:rsidRPr="00A6058F">
        <w:rPr>
          <w:rFonts w:cs="Arial"/>
        </w:rPr>
        <w:t>202</w:t>
      </w:r>
      <w:r>
        <w:rPr>
          <w:rFonts w:cs="Arial"/>
        </w:rPr>
        <w:t>/</w:t>
      </w:r>
      <w:r w:rsidRPr="00A6058F">
        <w:rPr>
          <w:rFonts w:cs="Arial"/>
        </w:rPr>
        <w:t>296-1500</w:t>
      </w:r>
    </w:p>
    <w:p w:rsidR="002F5D02" w:rsidRPr="00A6058F" w:rsidRDefault="002F5D02" w:rsidP="002F5D02">
      <w:pPr>
        <w:ind w:left="748"/>
        <w:rPr>
          <w:rFonts w:cs="Arial"/>
        </w:rPr>
      </w:pPr>
      <w:r>
        <w:rPr>
          <w:rFonts w:cs="Arial"/>
        </w:rPr>
        <w:t xml:space="preserve">Facsimile: </w:t>
      </w:r>
      <w:r w:rsidRPr="00A6058F">
        <w:rPr>
          <w:rFonts w:cs="Arial"/>
        </w:rPr>
        <w:t>202</w:t>
      </w:r>
      <w:r>
        <w:rPr>
          <w:rFonts w:cs="Arial"/>
        </w:rPr>
        <w:t>/</w:t>
      </w:r>
      <w:r w:rsidRPr="00A6058F">
        <w:rPr>
          <w:rFonts w:cs="Arial"/>
        </w:rPr>
        <w:t>296-0627</w:t>
      </w:r>
    </w:p>
    <w:p w:rsidR="002F5D02" w:rsidRDefault="002F5D02" w:rsidP="002F5D02">
      <w:pPr>
        <w:ind w:left="748" w:hanging="28"/>
        <w:rPr>
          <w:rFonts w:cs="Arial"/>
        </w:rPr>
      </w:pPr>
      <w:r>
        <w:rPr>
          <w:rFonts w:cs="Arial"/>
        </w:rPr>
        <w:t xml:space="preserve">E-Mail: </w:t>
      </w:r>
      <w:r w:rsidRPr="00D9445B">
        <w:rPr>
          <w:rFonts w:cs="Arial"/>
        </w:rPr>
        <w:t>aafrost@brudergentile.com</w:t>
      </w:r>
    </w:p>
    <w:p w:rsidR="003A3ABD" w:rsidRPr="003A3ABD" w:rsidRDefault="002F5D02" w:rsidP="003A3ABD">
      <w:pPr>
        <w:rPr>
          <w:rFonts w:cs="Arial"/>
        </w:rPr>
      </w:pPr>
      <w:r>
        <w:rPr>
          <w:rFonts w:cs="Arial"/>
        </w:rPr>
        <w:t xml:space="preserve"> </w:t>
      </w:r>
      <w:r>
        <w:rPr>
          <w:rFonts w:cs="Arial"/>
        </w:rPr>
        <w:tab/>
        <w:t xml:space="preserve"> </w:t>
      </w:r>
      <w:r w:rsidR="00CC02E8">
        <w:rPr>
          <w:rFonts w:cs="Arial"/>
        </w:rPr>
        <w:tab/>
        <w:t xml:space="preserve"> </w:t>
      </w:r>
      <w:hyperlink r:id="rId9" w:history="1">
        <w:r w:rsidR="003A3ABD" w:rsidRPr="003A3ABD">
          <w:rPr>
            <w:rStyle w:val="Hyperlink"/>
            <w:rFonts w:cs="Arial"/>
            <w:color w:val="auto"/>
            <w:u w:val="none"/>
          </w:rPr>
          <w:t>lskizuka@brudergentile.com</w:t>
        </w:r>
      </w:hyperlink>
    </w:p>
    <w:p w:rsidR="003A3ABD" w:rsidRDefault="003A3ABD" w:rsidP="003A3ABD">
      <w:pPr>
        <w:rPr>
          <w:rFonts w:cs="Arial"/>
        </w:rPr>
      </w:pPr>
    </w:p>
    <w:p w:rsidR="00726B91" w:rsidRPr="00EB2F6F" w:rsidRDefault="00726B91" w:rsidP="003A3ABD">
      <w:pPr>
        <w:rPr>
          <w:rFonts w:cs="Arial"/>
          <w:lang w:val="de-DE"/>
        </w:rPr>
      </w:pPr>
      <w:r>
        <w:rPr>
          <w:rFonts w:cs="Arial"/>
          <w:b/>
          <w:smallCaps/>
          <w:sz w:val="28"/>
          <w:lang w:val="de-DE"/>
        </w:rPr>
        <w:t>VIII.</w:t>
      </w:r>
      <w:r>
        <w:rPr>
          <w:rFonts w:cs="Arial"/>
          <w:b/>
          <w:smallCaps/>
          <w:sz w:val="28"/>
          <w:lang w:val="de-DE"/>
        </w:rPr>
        <w:tab/>
      </w:r>
      <w:r w:rsidRPr="005E025C">
        <w:rPr>
          <w:rFonts w:cs="Arial"/>
          <w:b/>
          <w:smallCaps/>
          <w:sz w:val="28"/>
          <w:lang w:val="de-DE"/>
        </w:rPr>
        <w:t>Conclusion</w:t>
      </w:r>
    </w:p>
    <w:p w:rsidR="00726B91" w:rsidRPr="005E025C" w:rsidRDefault="00726B91" w:rsidP="001A77EE">
      <w:pPr>
        <w:keepNext/>
        <w:keepLines/>
        <w:ind w:firstLine="720"/>
        <w:rPr>
          <w:rFonts w:cs="Arial"/>
          <w:lang w:val="de-DE"/>
        </w:rPr>
      </w:pPr>
    </w:p>
    <w:p w:rsidR="00726B91" w:rsidRDefault="00726B91" w:rsidP="001A77EE">
      <w:pPr>
        <w:keepNext/>
        <w:keepLines/>
        <w:ind w:firstLine="720"/>
        <w:rPr>
          <w:rFonts w:cs="Arial"/>
        </w:rPr>
      </w:pPr>
      <w:proofErr w:type="spellStart"/>
      <w:r>
        <w:rPr>
          <w:rFonts w:cs="Arial"/>
        </w:rPr>
        <w:t>PEF</w:t>
      </w:r>
      <w:proofErr w:type="spellEnd"/>
      <w:r>
        <w:rPr>
          <w:rFonts w:cs="Arial"/>
        </w:rPr>
        <w:t xml:space="preserve"> respectfully requests that the </w:t>
      </w:r>
      <w:r w:rsidRPr="00A6058F">
        <w:rPr>
          <w:rFonts w:cs="Arial"/>
        </w:rPr>
        <w:t xml:space="preserve">Commission accept the </w:t>
      </w:r>
      <w:proofErr w:type="spellStart"/>
      <w:r>
        <w:rPr>
          <w:rFonts w:cs="Arial"/>
        </w:rPr>
        <w:t>OATT</w:t>
      </w:r>
      <w:proofErr w:type="spellEnd"/>
      <w:r>
        <w:rPr>
          <w:rFonts w:cs="Arial"/>
        </w:rPr>
        <w:t xml:space="preserve"> provisions as </w:t>
      </w:r>
      <w:r w:rsidRPr="00A6058F">
        <w:rPr>
          <w:rFonts w:cs="Arial"/>
        </w:rPr>
        <w:t>just</w:t>
      </w:r>
      <w:r>
        <w:rPr>
          <w:rFonts w:cs="Arial"/>
        </w:rPr>
        <w:t>,</w:t>
      </w:r>
      <w:r w:rsidRPr="00A6058F">
        <w:rPr>
          <w:rFonts w:cs="Arial"/>
        </w:rPr>
        <w:t xml:space="preserve"> reasonable</w:t>
      </w:r>
      <w:r>
        <w:rPr>
          <w:rFonts w:cs="Arial"/>
        </w:rPr>
        <w:t xml:space="preserve"> and not unduly preferential </w:t>
      </w:r>
      <w:r w:rsidRPr="00A6058F">
        <w:rPr>
          <w:rFonts w:cs="Arial"/>
        </w:rPr>
        <w:t>under Sectio</w:t>
      </w:r>
      <w:r>
        <w:rPr>
          <w:rFonts w:cs="Arial"/>
        </w:rPr>
        <w:t xml:space="preserve">n 205 of the Federal Power Act and grant the requested effective date.  </w:t>
      </w:r>
    </w:p>
    <w:p w:rsidR="00726B91" w:rsidRDefault="00726B91" w:rsidP="001A77EE">
      <w:pPr>
        <w:keepNext/>
        <w:keepLines/>
        <w:ind w:firstLine="720"/>
        <w:rPr>
          <w:rFonts w:cs="Arial"/>
        </w:rPr>
      </w:pPr>
    </w:p>
    <w:p w:rsidR="00726B91" w:rsidRPr="00055820" w:rsidRDefault="00726B91" w:rsidP="001A77EE">
      <w:pPr>
        <w:keepNext/>
        <w:keepLines/>
        <w:ind w:firstLine="720"/>
      </w:pPr>
      <w:r>
        <w:rPr>
          <w:rFonts w:cs="Arial"/>
        </w:rPr>
        <w:t>Progress t</w:t>
      </w:r>
      <w:r w:rsidRPr="00A6058F">
        <w:rPr>
          <w:rFonts w:cs="Arial"/>
        </w:rPr>
        <w:t>hank</w:t>
      </w:r>
      <w:r>
        <w:rPr>
          <w:rFonts w:cs="Arial"/>
        </w:rPr>
        <w:t>s</w:t>
      </w:r>
      <w:r w:rsidRPr="00A6058F">
        <w:rPr>
          <w:rFonts w:cs="Arial"/>
        </w:rPr>
        <w:t xml:space="preserve"> the Commission for its consideration of this filing.  Please contact the undersigned if yo</w:t>
      </w:r>
      <w:r>
        <w:rPr>
          <w:rFonts w:cs="Arial"/>
        </w:rPr>
        <w:t xml:space="preserve">u </w:t>
      </w:r>
      <w:r w:rsidRPr="00A6058F">
        <w:rPr>
          <w:rFonts w:cs="Arial"/>
        </w:rPr>
        <w:t>have any questions.</w:t>
      </w:r>
    </w:p>
    <w:p w:rsidR="00510C83" w:rsidRDefault="00510C83" w:rsidP="001A77EE">
      <w:pPr>
        <w:keepNext/>
        <w:keepLines/>
        <w:rPr>
          <w:rFonts w:cs="Arial"/>
        </w:rPr>
      </w:pPr>
    </w:p>
    <w:p w:rsidR="00510C83" w:rsidRDefault="00510C83" w:rsidP="001A77EE">
      <w:pPr>
        <w:keepNext/>
        <w:keepLine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Very truly yours,</w:t>
      </w:r>
    </w:p>
    <w:p w:rsidR="00510C83" w:rsidRDefault="00510C83" w:rsidP="001A77EE">
      <w:pPr>
        <w:keepNext/>
        <w:keepLines/>
      </w:pPr>
    </w:p>
    <w:p w:rsidR="00510C83" w:rsidRDefault="00510C83" w:rsidP="001A77EE">
      <w:pPr>
        <w:keepNext/>
        <w:keepLines/>
        <w:rPr>
          <w:rFonts w:cs="Arial"/>
        </w:rPr>
      </w:pPr>
    </w:p>
    <w:p w:rsidR="00510C83" w:rsidRDefault="00510C83" w:rsidP="001A77EE">
      <w:pPr>
        <w:keepNext/>
        <w:keepLines/>
        <w:rPr>
          <w:rFonts w:cs="Arial"/>
        </w:rPr>
      </w:pPr>
    </w:p>
    <w:p w:rsidR="00510C83" w:rsidRDefault="00510C83" w:rsidP="001A77EE">
      <w:pPr>
        <w:keepNext/>
        <w:keepLine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726B91">
        <w:rPr>
          <w:rFonts w:cs="Arial"/>
        </w:rPr>
        <w:t>Antonia A. Frost</w:t>
      </w:r>
    </w:p>
    <w:p w:rsidR="00726B91" w:rsidRDefault="00726B91" w:rsidP="001A77EE">
      <w:pPr>
        <w:keepNext/>
        <w:keepLine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Linda S. Kizuka</w:t>
      </w:r>
    </w:p>
    <w:p w:rsidR="00510C83" w:rsidRDefault="00510C83" w:rsidP="001A77EE">
      <w:pPr>
        <w:keepNext/>
        <w:keepLine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Counsel for</w:t>
      </w:r>
      <w:r w:rsidR="00726B91">
        <w:rPr>
          <w:rFonts w:cs="Arial"/>
        </w:rPr>
        <w:t xml:space="preserve"> Florida Power Corporation</w:t>
      </w:r>
    </w:p>
    <w:p w:rsidR="00510C83" w:rsidRDefault="00510C83" w:rsidP="001A77EE">
      <w:pPr>
        <w:keepNext/>
        <w:keepLines/>
        <w:rPr>
          <w:rFonts w:cs="Arial"/>
        </w:rPr>
      </w:pPr>
    </w:p>
    <w:p w:rsidR="007977D1" w:rsidRDefault="007977D1" w:rsidP="001A77EE">
      <w:pPr>
        <w:keepNext/>
        <w:keepLines/>
        <w:rPr>
          <w:rFonts w:cs="Arial"/>
        </w:rPr>
      </w:pPr>
    </w:p>
    <w:p w:rsidR="007977D1" w:rsidRDefault="007977D1" w:rsidP="001A77EE">
      <w:pPr>
        <w:keepNext/>
        <w:keepLines/>
        <w:rPr>
          <w:rFonts w:cs="Arial"/>
        </w:rPr>
      </w:pPr>
    </w:p>
    <w:p w:rsidR="007977D1" w:rsidRDefault="007977D1" w:rsidP="001A77EE">
      <w:pPr>
        <w:keepNext/>
        <w:keepLines/>
        <w:rPr>
          <w:rFonts w:cs="Arial"/>
        </w:rPr>
      </w:pPr>
    </w:p>
    <w:p w:rsidR="007977D1" w:rsidRDefault="007977D1" w:rsidP="001A77EE">
      <w:pPr>
        <w:keepNext/>
        <w:keepLines/>
        <w:rPr>
          <w:rFonts w:cs="Arial"/>
        </w:rPr>
      </w:pPr>
    </w:p>
    <w:p w:rsidR="007977D1" w:rsidRDefault="007977D1" w:rsidP="001A77EE">
      <w:pPr>
        <w:keepNext/>
        <w:keepLines/>
        <w:rPr>
          <w:rFonts w:cs="Arial"/>
        </w:rPr>
      </w:pPr>
    </w:p>
    <w:p w:rsidR="003A3ABD" w:rsidRDefault="003A3ABD" w:rsidP="001A77EE">
      <w:pPr>
        <w:keepNext/>
        <w:keepLines/>
        <w:rPr>
          <w:rFonts w:cs="Arial"/>
        </w:rPr>
      </w:pPr>
    </w:p>
    <w:p w:rsidR="003A3ABD" w:rsidRDefault="003A3ABD" w:rsidP="001A77EE">
      <w:pPr>
        <w:keepNext/>
        <w:keepLines/>
        <w:rPr>
          <w:rFonts w:cs="Arial"/>
        </w:rPr>
      </w:pPr>
    </w:p>
    <w:p w:rsidR="003A3ABD" w:rsidRDefault="003A3ABD" w:rsidP="001A77EE">
      <w:pPr>
        <w:keepNext/>
        <w:keepLines/>
        <w:rPr>
          <w:rFonts w:cs="Arial"/>
        </w:rPr>
      </w:pPr>
    </w:p>
    <w:p w:rsidR="003A3ABD" w:rsidRDefault="003A3ABD" w:rsidP="001A77EE">
      <w:pPr>
        <w:keepNext/>
        <w:keepLines/>
        <w:rPr>
          <w:rFonts w:cs="Arial"/>
        </w:rPr>
      </w:pPr>
    </w:p>
    <w:p w:rsidR="003A3ABD" w:rsidRDefault="003A3ABD" w:rsidP="001A77EE">
      <w:pPr>
        <w:keepNext/>
        <w:keepLines/>
        <w:rPr>
          <w:rFonts w:cs="Arial"/>
        </w:rPr>
      </w:pPr>
    </w:p>
    <w:p w:rsidR="003A3ABD" w:rsidRDefault="003A3ABD" w:rsidP="001A77EE">
      <w:pPr>
        <w:keepNext/>
        <w:keepLines/>
        <w:rPr>
          <w:rFonts w:cs="Arial"/>
        </w:rPr>
      </w:pPr>
    </w:p>
    <w:p w:rsidR="003A3ABD" w:rsidRDefault="003A3ABD" w:rsidP="001A77EE">
      <w:pPr>
        <w:keepNext/>
        <w:keepLines/>
        <w:rPr>
          <w:rFonts w:cs="Arial"/>
        </w:rPr>
      </w:pPr>
    </w:p>
    <w:p w:rsidR="003A3ABD" w:rsidRDefault="003A3ABD" w:rsidP="001A77EE">
      <w:pPr>
        <w:keepNext/>
        <w:keepLines/>
        <w:rPr>
          <w:rFonts w:cs="Arial"/>
        </w:rPr>
      </w:pPr>
    </w:p>
    <w:p w:rsidR="003A3ABD" w:rsidRDefault="003A3ABD" w:rsidP="001A77EE">
      <w:pPr>
        <w:keepNext/>
        <w:keepLines/>
        <w:rPr>
          <w:rFonts w:cs="Arial"/>
        </w:rPr>
      </w:pPr>
    </w:p>
    <w:p w:rsidR="00510C83" w:rsidRPr="00F2777B" w:rsidRDefault="008B58F1" w:rsidP="001A77EE">
      <w:pPr>
        <w:keepNext/>
        <w:keepLines/>
        <w:rPr>
          <w:rFonts w:cs="Arial"/>
          <w:snapToGrid w:val="0"/>
          <w:sz w:val="20"/>
        </w:rPr>
      </w:pPr>
      <w:r w:rsidRPr="00F2777B">
        <w:rPr>
          <w:rFonts w:cs="Arial"/>
          <w:snapToGrid w:val="0"/>
          <w:sz w:val="20"/>
        </w:rPr>
        <w:fldChar w:fldCharType="begin"/>
      </w:r>
      <w:r w:rsidR="00510C83" w:rsidRPr="00F2777B">
        <w:rPr>
          <w:rFonts w:cs="Arial"/>
          <w:snapToGrid w:val="0"/>
          <w:sz w:val="20"/>
        </w:rPr>
        <w:instrText xml:space="preserve"> FILENAME \p </w:instrText>
      </w:r>
      <w:r w:rsidRPr="00F2777B">
        <w:rPr>
          <w:rFonts w:cs="Arial"/>
          <w:snapToGrid w:val="0"/>
          <w:sz w:val="20"/>
        </w:rPr>
        <w:fldChar w:fldCharType="separate"/>
      </w:r>
      <w:r w:rsidR="001A77EE">
        <w:rPr>
          <w:rFonts w:cs="Arial"/>
          <w:noProof/>
          <w:snapToGrid w:val="0"/>
          <w:sz w:val="20"/>
        </w:rPr>
        <w:t>M:\WDOX\CLIENTS\005FPC\00028469.DOCX</w:t>
      </w:r>
      <w:r w:rsidRPr="00F2777B">
        <w:rPr>
          <w:rFonts w:cs="Arial"/>
          <w:snapToGrid w:val="0"/>
          <w:sz w:val="20"/>
        </w:rPr>
        <w:fldChar w:fldCharType="end"/>
      </w:r>
    </w:p>
    <w:p w:rsidR="00510C83" w:rsidRDefault="00510C83">
      <w:pPr>
        <w:rPr>
          <w:rFonts w:cs="Arial"/>
        </w:rPr>
      </w:pPr>
    </w:p>
    <w:sectPr w:rsidR="00510C83" w:rsidSect="00685686">
      <w:headerReference w:type="default" r:id="rId10"/>
      <w:pgSz w:w="12240" w:h="15840" w:code="1"/>
      <w:pgMar w:top="72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25" w:rsidRDefault="00CD7225">
      <w:r>
        <w:separator/>
      </w:r>
    </w:p>
  </w:endnote>
  <w:endnote w:type="continuationSeparator" w:id="1">
    <w:p w:rsidR="00CD7225" w:rsidRDefault="00CD7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25" w:rsidRDefault="00CD7225">
      <w:r>
        <w:separator/>
      </w:r>
    </w:p>
  </w:footnote>
  <w:footnote w:type="continuationSeparator" w:id="1">
    <w:p w:rsidR="00CD7225" w:rsidRDefault="00CD7225">
      <w:r>
        <w:continuationSeparator/>
      </w:r>
    </w:p>
  </w:footnote>
  <w:footnote w:id="2">
    <w:p w:rsidR="00CD7225" w:rsidRDefault="00CD7225">
      <w:pPr>
        <w:pStyle w:val="FootnoteText"/>
      </w:pPr>
      <w:r>
        <w:rPr>
          <w:rStyle w:val="FootnoteReference"/>
        </w:rPr>
        <w:footnoteRef/>
      </w:r>
      <w:r>
        <w:t xml:space="preserve"> </w:t>
      </w:r>
      <w:r>
        <w:tab/>
        <w:t xml:space="preserve">See </w:t>
      </w:r>
      <w:proofErr w:type="spellStart"/>
      <w:r>
        <w:t>PEF</w:t>
      </w:r>
      <w:proofErr w:type="spellEnd"/>
      <w:r>
        <w:t xml:space="preserve"> </w:t>
      </w:r>
      <w:proofErr w:type="spellStart"/>
      <w:r>
        <w:t>OATT</w:t>
      </w:r>
      <w:proofErr w:type="spellEnd"/>
      <w:r>
        <w:t>, Section 24.3.</w:t>
      </w:r>
    </w:p>
    <w:p w:rsidR="00CD7225" w:rsidRDefault="00CD7225">
      <w:pPr>
        <w:pStyle w:val="FootnoteText"/>
      </w:pPr>
    </w:p>
  </w:footnote>
  <w:footnote w:id="3">
    <w:p w:rsidR="00CD7225" w:rsidRDefault="00CD7225">
      <w:pPr>
        <w:pStyle w:val="FootnoteText"/>
      </w:pPr>
      <w:r>
        <w:rPr>
          <w:rStyle w:val="FootnoteReference"/>
        </w:rPr>
        <w:footnoteRef/>
      </w:r>
      <w:r>
        <w:t xml:space="preserve"> </w:t>
      </w:r>
      <w:r>
        <w:tab/>
        <w:t xml:space="preserve">See </w:t>
      </w:r>
      <w:proofErr w:type="spellStart"/>
      <w:r>
        <w:t>PEF</w:t>
      </w:r>
      <w:proofErr w:type="spellEnd"/>
      <w:r>
        <w:t xml:space="preserve"> </w:t>
      </w:r>
      <w:proofErr w:type="spellStart"/>
      <w:r>
        <w:t>OATT</w:t>
      </w:r>
      <w:proofErr w:type="spellEnd"/>
      <w:r>
        <w:t>, Section 24.3.</w:t>
      </w:r>
    </w:p>
    <w:p w:rsidR="00CD7225" w:rsidRDefault="00CD7225">
      <w:pPr>
        <w:pStyle w:val="FootnoteText"/>
      </w:pPr>
    </w:p>
  </w:footnote>
  <w:footnote w:id="4">
    <w:p w:rsidR="00CD7225" w:rsidRDefault="00CD7225">
      <w:pPr>
        <w:pStyle w:val="FootnoteText"/>
      </w:pPr>
      <w:r>
        <w:rPr>
          <w:rStyle w:val="FootnoteReference"/>
        </w:rPr>
        <w:footnoteRef/>
      </w:r>
      <w:r>
        <w:t xml:space="preserve"> </w:t>
      </w:r>
      <w:r>
        <w:tab/>
        <w:t>See Attachment V, Page 1.</w:t>
      </w:r>
    </w:p>
    <w:p w:rsidR="00CD7225" w:rsidRDefault="00CD7225">
      <w:pPr>
        <w:pStyle w:val="FootnoteText"/>
      </w:pPr>
    </w:p>
  </w:footnote>
  <w:footnote w:id="5">
    <w:p w:rsidR="00CD7225" w:rsidRDefault="00CD7225">
      <w:pPr>
        <w:pStyle w:val="FootnoteText"/>
      </w:pPr>
      <w:r>
        <w:rPr>
          <w:rStyle w:val="FootnoteReference"/>
        </w:rPr>
        <w:footnoteRef/>
      </w:r>
      <w:r>
        <w:t xml:space="preserve"> </w:t>
      </w:r>
      <w:r>
        <w:tab/>
        <w:t>See Attachment V, Page 1.</w:t>
      </w:r>
    </w:p>
    <w:p w:rsidR="00CD7225" w:rsidRDefault="00CD7225">
      <w:pPr>
        <w:pStyle w:val="FootnoteText"/>
      </w:pPr>
    </w:p>
  </w:footnote>
  <w:footnote w:id="6">
    <w:p w:rsidR="00CD7225" w:rsidRDefault="00CD7225">
      <w:pPr>
        <w:pStyle w:val="FootnoteText"/>
      </w:pPr>
      <w:r>
        <w:rPr>
          <w:rStyle w:val="FootnoteReference"/>
        </w:rPr>
        <w:footnoteRef/>
      </w:r>
      <w:r>
        <w:t xml:space="preserve"> </w:t>
      </w:r>
      <w:r>
        <w:tab/>
        <w:t>See Attachment V, Page 1.</w:t>
      </w:r>
    </w:p>
    <w:p w:rsidR="00CD7225" w:rsidRDefault="00CD7225">
      <w:pPr>
        <w:pStyle w:val="FootnoteText"/>
      </w:pPr>
    </w:p>
  </w:footnote>
  <w:footnote w:id="7">
    <w:p w:rsidR="00CD7225" w:rsidRDefault="00CD7225">
      <w:pPr>
        <w:pStyle w:val="FootnoteText"/>
      </w:pPr>
      <w:r>
        <w:rPr>
          <w:rStyle w:val="FootnoteReference"/>
        </w:rPr>
        <w:footnoteRef/>
      </w:r>
      <w:r>
        <w:t xml:space="preserve"> </w:t>
      </w:r>
      <w:r>
        <w:tab/>
        <w:t>See Attachment V, Page 1.</w:t>
      </w:r>
    </w:p>
    <w:p w:rsidR="00CD7225" w:rsidRDefault="00CD7225">
      <w:pPr>
        <w:pStyle w:val="FootnoteText"/>
      </w:pPr>
    </w:p>
  </w:footnote>
  <w:footnote w:id="8">
    <w:p w:rsidR="00CD7225" w:rsidRDefault="00CD7225">
      <w:pPr>
        <w:pStyle w:val="FootnoteText"/>
      </w:pPr>
      <w:r>
        <w:rPr>
          <w:rStyle w:val="FootnoteReference"/>
        </w:rPr>
        <w:footnoteRef/>
      </w:r>
      <w:r>
        <w:t xml:space="preserve"> </w:t>
      </w:r>
      <w:r>
        <w:tab/>
        <w:t>See Attachment V, Page 2.</w:t>
      </w:r>
    </w:p>
    <w:p w:rsidR="00CD7225" w:rsidRDefault="00CD7225">
      <w:pPr>
        <w:pStyle w:val="FootnoteText"/>
      </w:pPr>
    </w:p>
  </w:footnote>
  <w:footnote w:id="9">
    <w:p w:rsidR="00CD7225" w:rsidRDefault="00CD7225">
      <w:pPr>
        <w:pStyle w:val="FootnoteText"/>
      </w:pPr>
      <w:r>
        <w:rPr>
          <w:rStyle w:val="FootnoteReference"/>
        </w:rPr>
        <w:footnoteRef/>
      </w:r>
      <w:r>
        <w:t xml:space="preserve"> </w:t>
      </w:r>
      <w:r>
        <w:tab/>
        <w:t>See Attachment V, Page 2.</w:t>
      </w:r>
    </w:p>
    <w:p w:rsidR="00CD7225" w:rsidRDefault="00CD7225">
      <w:pPr>
        <w:pStyle w:val="FootnoteText"/>
      </w:pPr>
    </w:p>
  </w:footnote>
  <w:footnote w:id="10">
    <w:p w:rsidR="00CD7225" w:rsidRDefault="00CD7225">
      <w:pPr>
        <w:pStyle w:val="FootnoteText"/>
      </w:pPr>
      <w:r>
        <w:rPr>
          <w:rStyle w:val="FootnoteReference"/>
        </w:rPr>
        <w:footnoteRef/>
      </w:r>
      <w:r>
        <w:t xml:space="preserve"> </w:t>
      </w:r>
      <w:r>
        <w:tab/>
        <w:t>See Attachment V, Page 2.</w:t>
      </w:r>
    </w:p>
    <w:p w:rsidR="00CD7225" w:rsidRDefault="00CD7225">
      <w:pPr>
        <w:pStyle w:val="FootnoteText"/>
      </w:pPr>
    </w:p>
  </w:footnote>
  <w:footnote w:id="11">
    <w:p w:rsidR="00CD7225" w:rsidRDefault="00CD7225">
      <w:pPr>
        <w:pStyle w:val="FootnoteText"/>
      </w:pPr>
      <w:r>
        <w:rPr>
          <w:rStyle w:val="FootnoteReference"/>
        </w:rPr>
        <w:footnoteRef/>
      </w:r>
      <w:r>
        <w:t xml:space="preserve"> </w:t>
      </w:r>
      <w:r>
        <w:tab/>
        <w:t>See Attachment V, Page 2.</w:t>
      </w:r>
    </w:p>
    <w:p w:rsidR="00CD7225" w:rsidRDefault="00CD7225">
      <w:pPr>
        <w:pStyle w:val="FootnoteText"/>
      </w:pPr>
    </w:p>
  </w:footnote>
  <w:footnote w:id="12">
    <w:p w:rsidR="00CD7225" w:rsidRDefault="00CD7225">
      <w:pPr>
        <w:pStyle w:val="FootnoteText"/>
      </w:pPr>
      <w:r>
        <w:rPr>
          <w:rStyle w:val="FootnoteReference"/>
        </w:rPr>
        <w:footnoteRef/>
      </w:r>
      <w:r>
        <w:t xml:space="preserve"> </w:t>
      </w:r>
      <w:r>
        <w:tab/>
        <w:t>See Attachment V, Pages 2-3.</w:t>
      </w:r>
    </w:p>
    <w:p w:rsidR="00CD7225" w:rsidRDefault="00CD7225">
      <w:pPr>
        <w:pStyle w:val="FootnoteText"/>
      </w:pPr>
    </w:p>
  </w:footnote>
  <w:footnote w:id="13">
    <w:p w:rsidR="00CD7225" w:rsidRDefault="00CD7225">
      <w:pPr>
        <w:pStyle w:val="FootnoteText"/>
      </w:pPr>
      <w:r>
        <w:rPr>
          <w:rStyle w:val="FootnoteReference"/>
        </w:rPr>
        <w:footnoteRef/>
      </w:r>
      <w:r>
        <w:t xml:space="preserve"> </w:t>
      </w:r>
      <w:r>
        <w:tab/>
        <w:t>See Attachment V, Page 3.</w:t>
      </w:r>
    </w:p>
    <w:p w:rsidR="00CD7225" w:rsidRDefault="00CD7225">
      <w:pPr>
        <w:pStyle w:val="FootnoteText"/>
      </w:pPr>
    </w:p>
  </w:footnote>
  <w:footnote w:id="14">
    <w:p w:rsidR="00CD7225" w:rsidRDefault="00CD7225">
      <w:pPr>
        <w:pStyle w:val="FootnoteText"/>
      </w:pPr>
      <w:r>
        <w:rPr>
          <w:rStyle w:val="FootnoteReference"/>
        </w:rPr>
        <w:footnoteRef/>
      </w:r>
      <w:r>
        <w:t xml:space="preserve"> </w:t>
      </w:r>
      <w:r>
        <w:tab/>
        <w:t>See Attachment V, Page 3.</w:t>
      </w:r>
    </w:p>
    <w:p w:rsidR="00CD7225" w:rsidRDefault="00CD7225">
      <w:pPr>
        <w:pStyle w:val="FootnoteText"/>
      </w:pPr>
    </w:p>
  </w:footnote>
  <w:footnote w:id="15">
    <w:p w:rsidR="00CD7225" w:rsidRDefault="00CD7225">
      <w:pPr>
        <w:pStyle w:val="FootnoteText"/>
      </w:pPr>
      <w:r>
        <w:rPr>
          <w:rStyle w:val="FootnoteReference"/>
        </w:rPr>
        <w:footnoteRef/>
      </w:r>
      <w:r>
        <w:t xml:space="preserve"> </w:t>
      </w:r>
      <w:r>
        <w:tab/>
        <w:t>See Attachment V, Page 3.</w:t>
      </w:r>
    </w:p>
    <w:p w:rsidR="00CD7225" w:rsidRDefault="00CD7225">
      <w:pPr>
        <w:pStyle w:val="FootnoteText"/>
      </w:pPr>
    </w:p>
  </w:footnote>
  <w:footnote w:id="16">
    <w:p w:rsidR="00CD7225" w:rsidRDefault="00CD7225">
      <w:pPr>
        <w:pStyle w:val="FootnoteText"/>
      </w:pPr>
      <w:r>
        <w:rPr>
          <w:rStyle w:val="FootnoteReference"/>
        </w:rPr>
        <w:footnoteRef/>
      </w:r>
      <w:r>
        <w:t xml:space="preserve"> </w:t>
      </w:r>
      <w:r>
        <w:tab/>
        <w:t>See Attachment V, Page 3.</w:t>
      </w:r>
    </w:p>
    <w:p w:rsidR="00CD7225" w:rsidRDefault="00CD7225">
      <w:pPr>
        <w:pStyle w:val="FootnoteText"/>
      </w:pPr>
    </w:p>
  </w:footnote>
  <w:footnote w:id="17">
    <w:p w:rsidR="00C3455C" w:rsidRDefault="00C3455C">
      <w:pPr>
        <w:pStyle w:val="FootnoteText"/>
      </w:pPr>
      <w:r>
        <w:rPr>
          <w:rStyle w:val="FootnoteReference"/>
        </w:rPr>
        <w:footnoteRef/>
      </w:r>
      <w:r>
        <w:t xml:space="preserve"> </w:t>
      </w:r>
      <w:r>
        <w:tab/>
        <w:t xml:space="preserve">Because </w:t>
      </w:r>
      <w:proofErr w:type="spellStart"/>
      <w:r>
        <w:t>PEC</w:t>
      </w:r>
      <w:proofErr w:type="spellEnd"/>
      <w:r>
        <w:t xml:space="preserve"> is submitting an entirely new </w:t>
      </w:r>
      <w:proofErr w:type="spellStart"/>
      <w:r>
        <w:t>OATT</w:t>
      </w:r>
      <w:proofErr w:type="spellEnd"/>
      <w:r>
        <w:t xml:space="preserve"> Attachment (</w:t>
      </w:r>
      <w:proofErr w:type="spellStart"/>
      <w:r>
        <w:t>OATT</w:t>
      </w:r>
      <w:proofErr w:type="spellEnd"/>
      <w:r>
        <w:t xml:space="preserve"> Attachment V), </w:t>
      </w:r>
      <w:proofErr w:type="spellStart"/>
      <w:r>
        <w:t>PEF</w:t>
      </w:r>
      <w:proofErr w:type="spellEnd"/>
      <w:r>
        <w:t xml:space="preserve"> respectfully requests waiver of the Order No. 614 requirement to provide a clean and redlined copy of the new </w:t>
      </w:r>
      <w:proofErr w:type="spellStart"/>
      <w:r>
        <w:t>OATT</w:t>
      </w:r>
      <w:proofErr w:type="spellEnd"/>
      <w:r>
        <w:t xml:space="preserve"> Attachment V.</w:t>
      </w:r>
    </w:p>
    <w:p w:rsidR="007977D1" w:rsidRDefault="007977D1">
      <w:pPr>
        <w:pStyle w:val="FootnoteText"/>
      </w:pPr>
    </w:p>
  </w:footnote>
  <w:footnote w:id="18">
    <w:p w:rsidR="007977D1" w:rsidRDefault="007977D1">
      <w:pPr>
        <w:pStyle w:val="FootnoteText"/>
      </w:pPr>
      <w:r>
        <w:rPr>
          <w:rStyle w:val="FootnoteReference"/>
        </w:rPr>
        <w:footnoteRef/>
      </w:r>
      <w:r>
        <w:t xml:space="preserve"> </w:t>
      </w:r>
      <w:r>
        <w:tab/>
      </w:r>
      <w:proofErr w:type="spellStart"/>
      <w:r>
        <w:t>PEF</w:t>
      </w:r>
      <w:proofErr w:type="spellEnd"/>
      <w:r>
        <w:t xml:space="preserve"> and its affiliate, Carolina Power &amp; Light Company, doing business as Progress Energy Carolinas, Inc. (“</w:t>
      </w:r>
      <w:proofErr w:type="spellStart"/>
      <w:r>
        <w:t>PEC</w:t>
      </w:r>
      <w:proofErr w:type="spellEnd"/>
      <w:r>
        <w:t xml:space="preserve">”), have a joint </w:t>
      </w:r>
      <w:proofErr w:type="spellStart"/>
      <w:r>
        <w:t>OATT</w:t>
      </w:r>
      <w:proofErr w:type="spellEnd"/>
      <w:r>
        <w:t xml:space="preserve">.  Therefore, </w:t>
      </w:r>
      <w:proofErr w:type="spellStart"/>
      <w:r>
        <w:t>PEF</w:t>
      </w:r>
      <w:proofErr w:type="spellEnd"/>
      <w:r>
        <w:t xml:space="preserve"> is submitting tariff sheets for </w:t>
      </w:r>
      <w:proofErr w:type="spellStart"/>
      <w:r>
        <w:t>PEF</w:t>
      </w:r>
      <w:proofErr w:type="spellEnd"/>
      <w:r>
        <w:t xml:space="preserve"> </w:t>
      </w:r>
      <w:proofErr w:type="spellStart"/>
      <w:r>
        <w:t>OATT</w:t>
      </w:r>
      <w:proofErr w:type="spellEnd"/>
      <w:r>
        <w:t xml:space="preserve"> Attachment V and revised </w:t>
      </w:r>
      <w:proofErr w:type="spellStart"/>
      <w:r>
        <w:t>PEF</w:t>
      </w:r>
      <w:proofErr w:type="spellEnd"/>
      <w:r>
        <w:t xml:space="preserve"> </w:t>
      </w:r>
      <w:proofErr w:type="spellStart"/>
      <w:r>
        <w:t>OATT</w:t>
      </w:r>
      <w:proofErr w:type="spellEnd"/>
      <w:r>
        <w:t xml:space="preserve"> Section 24.3 for both the </w:t>
      </w:r>
      <w:proofErr w:type="spellStart"/>
      <w:r>
        <w:t>PEF</w:t>
      </w:r>
      <w:proofErr w:type="spellEnd"/>
      <w:r>
        <w:t xml:space="preserve"> </w:t>
      </w:r>
      <w:proofErr w:type="spellStart"/>
      <w:r>
        <w:t>OATT</w:t>
      </w:r>
      <w:proofErr w:type="spellEnd"/>
      <w:r>
        <w:t xml:space="preserve"> and </w:t>
      </w:r>
      <w:proofErr w:type="spellStart"/>
      <w:r>
        <w:t>PEC</w:t>
      </w:r>
      <w:proofErr w:type="spellEnd"/>
      <w:r>
        <w:t xml:space="preserve"> </w:t>
      </w:r>
      <w:proofErr w:type="spellStart"/>
      <w:r>
        <w:t>OATT</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25" w:rsidRDefault="00CD7225">
    <w:pPr>
      <w:tabs>
        <w:tab w:val="right" w:pos="9350"/>
      </w:tabs>
      <w:rPr>
        <w:b/>
        <w:bCs/>
        <w:sz w:val="20"/>
      </w:rPr>
    </w:pPr>
    <w:r>
      <w:rPr>
        <w:b/>
        <w:bCs/>
      </w:rPr>
      <w:t xml:space="preserve">DRAFT – August </w:t>
    </w:r>
    <w:r w:rsidR="00340428">
      <w:rPr>
        <w:b/>
        <w:bCs/>
      </w:rPr>
      <w:t>26, 2009</w:t>
    </w:r>
    <w:r>
      <w:rPr>
        <w:b/>
        <w:bCs/>
      </w:rPr>
      <w:tab/>
    </w:r>
    <w:r>
      <w:rPr>
        <w:b/>
        <w:bCs/>
        <w:sz w:val="20"/>
      </w:rPr>
      <w:t>Privileged and Confidential</w:t>
    </w:r>
  </w:p>
  <w:p w:rsidR="00CD7225" w:rsidRDefault="008B58F1">
    <w:pPr>
      <w:tabs>
        <w:tab w:val="right" w:pos="9350"/>
      </w:tabs>
      <w:rPr>
        <w:b/>
        <w:bCs/>
        <w:sz w:val="20"/>
      </w:rPr>
    </w:pPr>
    <w:r w:rsidRPr="00F2777B">
      <w:rPr>
        <w:snapToGrid w:val="0"/>
        <w:sz w:val="20"/>
      </w:rPr>
      <w:fldChar w:fldCharType="begin"/>
    </w:r>
    <w:r w:rsidR="00CD7225" w:rsidRPr="00F2777B">
      <w:rPr>
        <w:snapToGrid w:val="0"/>
        <w:sz w:val="20"/>
      </w:rPr>
      <w:instrText xml:space="preserve"> FILENAME \p </w:instrText>
    </w:r>
    <w:r w:rsidRPr="00F2777B">
      <w:rPr>
        <w:snapToGrid w:val="0"/>
        <w:sz w:val="20"/>
      </w:rPr>
      <w:fldChar w:fldCharType="separate"/>
    </w:r>
    <w:r w:rsidR="00415D40">
      <w:rPr>
        <w:noProof/>
        <w:snapToGrid w:val="0"/>
        <w:sz w:val="20"/>
      </w:rPr>
      <w:t>M:\WDOX\CLIENTS\005fpc\00028469.DOCX</w:t>
    </w:r>
    <w:r w:rsidRPr="00F2777B">
      <w:rPr>
        <w:snapToGrid w:val="0"/>
        <w:sz w:val="20"/>
      </w:rPr>
      <w:fldChar w:fldCharType="end"/>
    </w:r>
    <w:r w:rsidR="00CD7225">
      <w:tab/>
    </w:r>
    <w:r w:rsidR="00CD7225">
      <w:rPr>
        <w:b/>
        <w:bCs/>
        <w:sz w:val="20"/>
      </w:rPr>
      <w:t>Attorney/Client Communication</w:t>
    </w:r>
  </w:p>
  <w:p w:rsidR="00CD7225" w:rsidRDefault="00CD7225">
    <w:pPr>
      <w:pStyle w:val="Heading4"/>
    </w:pPr>
    <w:r>
      <w:tab/>
      <w:t>Attorney Work Product</w:t>
    </w:r>
  </w:p>
  <w:p w:rsidR="00CD7225" w:rsidRPr="009B6339" w:rsidRDefault="00CD7225" w:rsidP="007A1EB1">
    <w:pPr>
      <w:tabs>
        <w:tab w:val="right" w:pos="9360"/>
      </w:tabs>
      <w:rPr>
        <w:b/>
      </w:rPr>
    </w:pPr>
    <w:r>
      <w:tab/>
    </w:r>
    <w:r w:rsidRPr="009B6339">
      <w:rPr>
        <w:b/>
        <w:sz w:val="20"/>
      </w:rPr>
      <w:t>Progress Energy Proprietary</w:t>
    </w:r>
  </w:p>
  <w:p w:rsidR="00CD7225" w:rsidRPr="007A1EB1" w:rsidRDefault="00CD7225" w:rsidP="007A1EB1"/>
  <w:p w:rsidR="00CD7225" w:rsidRDefault="00CD7225">
    <w:pPr>
      <w:tabs>
        <w:tab w:val="right" w:pos="9350"/>
      </w:tabs>
    </w:pPr>
    <w:r>
      <w:rPr>
        <w:rFonts w:cs="Arial"/>
      </w:rPr>
      <w:t>The Honorable Kimberly D. Bose</w:t>
    </w:r>
    <w:r>
      <w:t xml:space="preserve"> </w:t>
    </w:r>
  </w:p>
  <w:p w:rsidR="00CD7225" w:rsidRDefault="00CD7225">
    <w:pPr>
      <w:tabs>
        <w:tab w:val="right" w:pos="9350"/>
      </w:tabs>
    </w:pPr>
    <w:r>
      <w:t>August ___, 2009</w:t>
    </w:r>
  </w:p>
  <w:p w:rsidR="00CD7225" w:rsidRDefault="00CD7225">
    <w:pPr>
      <w:tabs>
        <w:tab w:val="right" w:pos="9350"/>
      </w:tabs>
      <w:rPr>
        <w:rStyle w:val="PageNumber"/>
      </w:rPr>
    </w:pPr>
    <w:r>
      <w:t xml:space="preserve">Page </w:t>
    </w:r>
    <w:r w:rsidR="008B58F1">
      <w:rPr>
        <w:rStyle w:val="PageNumber"/>
      </w:rPr>
      <w:fldChar w:fldCharType="begin"/>
    </w:r>
    <w:r>
      <w:rPr>
        <w:rStyle w:val="PageNumber"/>
      </w:rPr>
      <w:instrText xml:space="preserve"> PAGE </w:instrText>
    </w:r>
    <w:r w:rsidR="008B58F1">
      <w:rPr>
        <w:rStyle w:val="PageNumber"/>
      </w:rPr>
      <w:fldChar w:fldCharType="separate"/>
    </w:r>
    <w:r w:rsidR="00D46B93">
      <w:rPr>
        <w:rStyle w:val="PageNumber"/>
        <w:noProof/>
      </w:rPr>
      <w:t>2</w:t>
    </w:r>
    <w:r w:rsidR="008B58F1">
      <w:rPr>
        <w:rStyle w:val="PageNumber"/>
      </w:rPr>
      <w:fldChar w:fldCharType="end"/>
    </w:r>
  </w:p>
  <w:p w:rsidR="00CD7225" w:rsidRDefault="008B58F1">
    <w:pPr>
      <w:tabs>
        <w:tab w:val="right" w:pos="9350"/>
      </w:tabs>
    </w:pPr>
    <w:r w:rsidRPr="008B58F1">
      <w:rPr>
        <w:noProof/>
        <w:sz w:val="20"/>
      </w:rPr>
      <w:pict>
        <v:line id="_x0000_s1025" style="position:absolute;z-index:251657728" from="0,11.8pt" to="468pt,11.8pt" strokeweight="3pt"/>
      </w:pict>
    </w:r>
  </w:p>
  <w:p w:rsidR="00CD7225" w:rsidRDefault="00CD7225">
    <w:pPr>
      <w:tabs>
        <w:tab w:val="right" w:pos="9350"/>
      </w:tabs>
    </w:pPr>
  </w:p>
  <w:p w:rsidR="00CD7225" w:rsidRDefault="00CD7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E6EB4"/>
    <w:multiLevelType w:val="hybridMultilevel"/>
    <w:tmpl w:val="6060BE6E"/>
    <w:lvl w:ilvl="0" w:tplc="682A9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oNotTrackMoves/>
  <w:defaultTabStop w:val="720"/>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8AC"/>
    <w:rsid w:val="00055820"/>
    <w:rsid w:val="000C690B"/>
    <w:rsid w:val="001011D4"/>
    <w:rsid w:val="00102523"/>
    <w:rsid w:val="00106320"/>
    <w:rsid w:val="001273CE"/>
    <w:rsid w:val="001572C1"/>
    <w:rsid w:val="00166033"/>
    <w:rsid w:val="001A77EE"/>
    <w:rsid w:val="001C4C76"/>
    <w:rsid w:val="001D4AB9"/>
    <w:rsid w:val="001E0279"/>
    <w:rsid w:val="001F517D"/>
    <w:rsid w:val="002104F8"/>
    <w:rsid w:val="00213E95"/>
    <w:rsid w:val="00232E1F"/>
    <w:rsid w:val="002F5D02"/>
    <w:rsid w:val="00321A39"/>
    <w:rsid w:val="00340428"/>
    <w:rsid w:val="00392F09"/>
    <w:rsid w:val="003A3ABD"/>
    <w:rsid w:val="003D3A4B"/>
    <w:rsid w:val="003E3964"/>
    <w:rsid w:val="003F60FC"/>
    <w:rsid w:val="00415D40"/>
    <w:rsid w:val="00440727"/>
    <w:rsid w:val="004F4561"/>
    <w:rsid w:val="00510C83"/>
    <w:rsid w:val="00545D9B"/>
    <w:rsid w:val="005508AC"/>
    <w:rsid w:val="005525EC"/>
    <w:rsid w:val="005808F3"/>
    <w:rsid w:val="0058616F"/>
    <w:rsid w:val="005C0730"/>
    <w:rsid w:val="005F5773"/>
    <w:rsid w:val="00622A9E"/>
    <w:rsid w:val="00685686"/>
    <w:rsid w:val="006D2CDC"/>
    <w:rsid w:val="00726B91"/>
    <w:rsid w:val="00756134"/>
    <w:rsid w:val="00763391"/>
    <w:rsid w:val="0077283E"/>
    <w:rsid w:val="00783E9A"/>
    <w:rsid w:val="007977D1"/>
    <w:rsid w:val="007A1EB1"/>
    <w:rsid w:val="00877333"/>
    <w:rsid w:val="008A7AF2"/>
    <w:rsid w:val="008B58F1"/>
    <w:rsid w:val="00941969"/>
    <w:rsid w:val="009745DB"/>
    <w:rsid w:val="009D46BE"/>
    <w:rsid w:val="009D6B09"/>
    <w:rsid w:val="00A36243"/>
    <w:rsid w:val="00AD6770"/>
    <w:rsid w:val="00B36DB0"/>
    <w:rsid w:val="00B961DC"/>
    <w:rsid w:val="00BA2A06"/>
    <w:rsid w:val="00BE0490"/>
    <w:rsid w:val="00C0078A"/>
    <w:rsid w:val="00C3455C"/>
    <w:rsid w:val="00C96E4F"/>
    <w:rsid w:val="00CC02E8"/>
    <w:rsid w:val="00CD7225"/>
    <w:rsid w:val="00D30956"/>
    <w:rsid w:val="00D37971"/>
    <w:rsid w:val="00D46B93"/>
    <w:rsid w:val="00D94616"/>
    <w:rsid w:val="00DE631D"/>
    <w:rsid w:val="00DF7D60"/>
    <w:rsid w:val="00E14027"/>
    <w:rsid w:val="00E60AF1"/>
    <w:rsid w:val="00E7291C"/>
    <w:rsid w:val="00EF776F"/>
    <w:rsid w:val="00F2777B"/>
    <w:rsid w:val="00F66FC6"/>
    <w:rsid w:val="00FF24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686"/>
    <w:rPr>
      <w:rFonts w:ascii="Arial" w:hAnsi="Arial"/>
      <w:sz w:val="24"/>
      <w:szCs w:val="24"/>
    </w:rPr>
  </w:style>
  <w:style w:type="paragraph" w:styleId="Heading1">
    <w:name w:val="heading 1"/>
    <w:basedOn w:val="Normal"/>
    <w:next w:val="Normal"/>
    <w:qFormat/>
    <w:rsid w:val="00685686"/>
    <w:pPr>
      <w:keepNext/>
      <w:keepLines/>
      <w:spacing w:after="240"/>
      <w:ind w:left="720" w:hanging="720"/>
      <w:outlineLvl w:val="0"/>
    </w:pPr>
    <w:rPr>
      <w:rFonts w:cs="Arial"/>
      <w:b/>
      <w:bCs/>
      <w:smallCaps/>
      <w:sz w:val="28"/>
      <w:szCs w:val="32"/>
    </w:rPr>
  </w:style>
  <w:style w:type="paragraph" w:styleId="Heading2">
    <w:name w:val="heading 2"/>
    <w:basedOn w:val="Normal"/>
    <w:next w:val="Normal"/>
    <w:qFormat/>
    <w:rsid w:val="00685686"/>
    <w:pPr>
      <w:keepNext/>
      <w:keepLines/>
      <w:spacing w:after="240"/>
      <w:ind w:left="1440" w:hanging="720"/>
      <w:outlineLvl w:val="1"/>
    </w:pPr>
    <w:rPr>
      <w:rFonts w:cs="Arial"/>
      <w:b/>
      <w:bCs/>
      <w:iCs/>
      <w:smallCaps/>
      <w:sz w:val="26"/>
      <w:szCs w:val="28"/>
    </w:rPr>
  </w:style>
  <w:style w:type="paragraph" w:styleId="Heading3">
    <w:name w:val="heading 3"/>
    <w:basedOn w:val="Normal"/>
    <w:next w:val="Normal"/>
    <w:qFormat/>
    <w:rsid w:val="00685686"/>
    <w:pPr>
      <w:keepNext/>
      <w:keepLines/>
      <w:spacing w:after="240"/>
      <w:ind w:left="2160" w:hanging="720"/>
      <w:outlineLvl w:val="2"/>
    </w:pPr>
    <w:rPr>
      <w:rFonts w:cs="Arial"/>
      <w:b/>
      <w:bCs/>
      <w:smallCaps/>
      <w:szCs w:val="26"/>
    </w:rPr>
  </w:style>
  <w:style w:type="paragraph" w:styleId="Heading4">
    <w:name w:val="heading 4"/>
    <w:basedOn w:val="Normal"/>
    <w:next w:val="Normal"/>
    <w:qFormat/>
    <w:rsid w:val="00685686"/>
    <w:pPr>
      <w:keepNext/>
      <w:tabs>
        <w:tab w:val="right" w:pos="9350"/>
      </w:tabs>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686"/>
    <w:pPr>
      <w:tabs>
        <w:tab w:val="center" w:pos="4320"/>
        <w:tab w:val="right" w:pos="9360"/>
      </w:tabs>
    </w:pPr>
  </w:style>
  <w:style w:type="character" w:styleId="FootnoteReference">
    <w:name w:val="footnote reference"/>
    <w:basedOn w:val="DefaultParagraphFont"/>
    <w:semiHidden/>
    <w:rsid w:val="00685686"/>
    <w:rPr>
      <w:rFonts w:ascii="Arial" w:hAnsi="Arial"/>
      <w:sz w:val="24"/>
      <w:u w:val="single"/>
      <w:vertAlign w:val="superscript"/>
    </w:rPr>
  </w:style>
  <w:style w:type="paragraph" w:styleId="FootnoteText">
    <w:name w:val="footnote text"/>
    <w:basedOn w:val="Normal"/>
    <w:semiHidden/>
    <w:rsid w:val="00685686"/>
    <w:pPr>
      <w:keepNext/>
      <w:keepLines/>
      <w:tabs>
        <w:tab w:val="left" w:pos="432"/>
      </w:tabs>
      <w:ind w:left="432" w:hanging="432"/>
    </w:pPr>
    <w:rPr>
      <w:sz w:val="20"/>
      <w:szCs w:val="20"/>
    </w:rPr>
  </w:style>
  <w:style w:type="paragraph" w:styleId="Footer">
    <w:name w:val="footer"/>
    <w:basedOn w:val="Normal"/>
    <w:rsid w:val="00685686"/>
    <w:pPr>
      <w:tabs>
        <w:tab w:val="center" w:pos="4320"/>
        <w:tab w:val="right" w:pos="9360"/>
      </w:tabs>
    </w:pPr>
  </w:style>
  <w:style w:type="character" w:styleId="PageNumber">
    <w:name w:val="page number"/>
    <w:basedOn w:val="DefaultParagraphFont"/>
    <w:rsid w:val="00685686"/>
  </w:style>
  <w:style w:type="character" w:styleId="Hyperlink">
    <w:name w:val="Hyperlink"/>
    <w:basedOn w:val="DefaultParagraphFont"/>
    <w:rsid w:val="002F5D02"/>
    <w:rPr>
      <w:color w:val="0000FF" w:themeColor="hyperlink"/>
      <w:u w:val="single"/>
    </w:rPr>
  </w:style>
  <w:style w:type="paragraph" w:customStyle="1" w:styleId="E-Mail">
    <w:name w:val="E-Mail"/>
    <w:basedOn w:val="Heading3"/>
    <w:rsid w:val="00685686"/>
    <w:pPr>
      <w:spacing w:after="0"/>
      <w:ind w:left="0" w:firstLine="0"/>
      <w:jc w:val="center"/>
    </w:pPr>
    <w:rPr>
      <w:rFonts w:ascii="Centaur" w:hAnsi="Centaur"/>
      <w:b w:val="0"/>
      <w:bCs w:val="0"/>
      <w:smallCaps w:val="0"/>
      <w:spacing w:val="30"/>
      <w:sz w:val="18"/>
    </w:rPr>
  </w:style>
  <w:style w:type="paragraph" w:styleId="BlockText">
    <w:name w:val="Block Text"/>
    <w:basedOn w:val="Normal"/>
    <w:rsid w:val="00685686"/>
    <w:pPr>
      <w:ind w:left="1440" w:right="1440"/>
    </w:pPr>
  </w:style>
  <w:style w:type="paragraph" w:styleId="BodyText">
    <w:name w:val="Body Text"/>
    <w:basedOn w:val="Normal"/>
    <w:rsid w:val="00685686"/>
    <w:pPr>
      <w:ind w:left="1440" w:right="1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ess-energy.com/aboutenergy/ferc/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kizuka@brudergenti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FilingLetter-ProgressEnerg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3D33-D8DA-49F3-A879-96413E98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FilingLetter-ProgressEnergy</Template>
  <TotalTime>0</TotalTime>
  <Pages>6</Pages>
  <Words>1316</Words>
  <Characters>7309</Characters>
  <Application>Microsoft Office Word</Application>
  <DocSecurity>0</DocSecurity>
  <PresentationFormat>[Compatibility Mode]</PresentationFormat>
  <Lines>202</Lines>
  <Paragraphs>66</Paragraphs>
  <ScaleCrop>false</ScaleCrop>
  <HeadingPairs>
    <vt:vector size="2" baseType="variant">
      <vt:variant>
        <vt:lpstr>Title</vt:lpstr>
      </vt:variant>
      <vt:variant>
        <vt:i4>1</vt:i4>
      </vt:variant>
    </vt:vector>
  </HeadingPairs>
  <TitlesOfParts>
    <vt:vector size="1" baseType="lpstr">
      <vt:lpstr>Tltr for OATT Revisions re Power Factor Requirements (00028469).DOCX</vt:lpstr>
    </vt:vector>
  </TitlesOfParts>
  <Company>Bruder, Gentile, Marcoux</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Tltr for OATT Revisions re Power Factor Requirements (00028469).DOCX</dc:title>
  <dc:subject/>
  <dc:creator>lkizuka</dc:creator>
  <cp:keywords/>
  <dc:description/>
  <cp:lastModifiedBy>Antonia A. Frost</cp:lastModifiedBy>
  <cp:revision>2</cp:revision>
  <cp:lastPrinted>2009-08-26T19:35:00Z</cp:lastPrinted>
  <dcterms:created xsi:type="dcterms:W3CDTF">2009-08-26T20:46:00Z</dcterms:created>
  <dcterms:modified xsi:type="dcterms:W3CDTF">2009-08-26T20:46:00Z</dcterms:modified>
</cp:coreProperties>
</file>