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2A" w:rsidRDefault="0072512A">
      <w:pPr>
        <w:spacing w:line="240" w:lineRule="auto"/>
      </w:pPr>
    </w:p>
    <w:p w:rsidR="0072512A" w:rsidRDefault="0072512A">
      <w:pPr>
        <w:spacing w:line="240" w:lineRule="auto"/>
        <w:jc w:val="center"/>
        <w:rPr>
          <w:b/>
          <w:sz w:val="28"/>
        </w:rPr>
      </w:pPr>
    </w:p>
    <w:p w:rsidR="0072512A" w:rsidRDefault="0072512A">
      <w:pPr>
        <w:pStyle w:val="Heading1"/>
        <w:jc w:val="center"/>
      </w:pPr>
      <w:r>
        <w:t>M E M O R A N D U M</w:t>
      </w:r>
    </w:p>
    <w:p w:rsidR="0072512A" w:rsidRDefault="0072512A">
      <w:pPr>
        <w:spacing w:line="240" w:lineRule="auto"/>
        <w:rPr>
          <w:b/>
          <w:sz w:val="28"/>
        </w:rPr>
      </w:pPr>
    </w:p>
    <w:p w:rsidR="0072512A" w:rsidRDefault="0072512A">
      <w:pPr>
        <w:spacing w:line="240" w:lineRule="auto"/>
        <w:rPr>
          <w:b/>
        </w:rPr>
      </w:pPr>
    </w:p>
    <w:p w:rsidR="0072512A" w:rsidRDefault="0072512A">
      <w:pPr>
        <w:spacing w:line="240" w:lineRule="auto"/>
        <w:rPr>
          <w:b/>
        </w:rPr>
      </w:pPr>
      <w:r>
        <w:rPr>
          <w:b/>
        </w:rPr>
        <w:t>To:</w:t>
      </w:r>
      <w:r>
        <w:rPr>
          <w:b/>
        </w:rPr>
        <w:tab/>
      </w:r>
      <w:r>
        <w:rPr>
          <w:b/>
        </w:rPr>
        <w:tab/>
      </w:r>
      <w:r w:rsidR="00EA4331">
        <w:rPr>
          <w:b/>
        </w:rPr>
        <w:t>OATT Customers and Interested Parties (“Customers”)</w:t>
      </w:r>
    </w:p>
    <w:p w:rsidR="0072512A" w:rsidRDefault="0072512A">
      <w:pPr>
        <w:spacing w:line="240" w:lineRule="auto"/>
        <w:rPr>
          <w:b/>
        </w:rPr>
      </w:pPr>
    </w:p>
    <w:p w:rsidR="0072512A" w:rsidRDefault="0072512A" w:rsidP="00EA4331">
      <w:pPr>
        <w:spacing w:line="240" w:lineRule="auto"/>
        <w:ind w:left="1440" w:hanging="1440"/>
        <w:rPr>
          <w:b/>
        </w:rPr>
      </w:pPr>
      <w:r>
        <w:rPr>
          <w:b/>
        </w:rPr>
        <w:t>From:</w:t>
      </w:r>
      <w:r>
        <w:rPr>
          <w:b/>
        </w:rPr>
        <w:tab/>
      </w:r>
      <w:r w:rsidR="00076CF2">
        <w:rPr>
          <w:b/>
        </w:rPr>
        <w:t>Florida Power Corporation</w:t>
      </w:r>
      <w:r w:rsidR="00EA4331">
        <w:rPr>
          <w:b/>
        </w:rPr>
        <w:t xml:space="preserve">, doing business as Progress Energy </w:t>
      </w:r>
      <w:r w:rsidR="00076CF2">
        <w:rPr>
          <w:b/>
        </w:rPr>
        <w:t>Florida</w:t>
      </w:r>
      <w:r w:rsidR="00EA4331">
        <w:rPr>
          <w:b/>
        </w:rPr>
        <w:t>, Inc. (“PE</w:t>
      </w:r>
      <w:r w:rsidR="00076CF2">
        <w:rPr>
          <w:b/>
        </w:rPr>
        <w:t>F</w:t>
      </w:r>
      <w:r w:rsidR="00EA4331">
        <w:rPr>
          <w:b/>
        </w:rPr>
        <w:t>”)</w:t>
      </w:r>
    </w:p>
    <w:p w:rsidR="0072512A" w:rsidRDefault="0072512A">
      <w:pPr>
        <w:spacing w:line="240" w:lineRule="auto"/>
        <w:rPr>
          <w:b/>
        </w:rPr>
      </w:pPr>
    </w:p>
    <w:p w:rsidR="0072512A" w:rsidRDefault="0072512A">
      <w:pPr>
        <w:spacing w:line="240" w:lineRule="auto"/>
        <w:rPr>
          <w:b/>
        </w:rPr>
      </w:pPr>
      <w:r>
        <w:rPr>
          <w:b/>
        </w:rPr>
        <w:t>Date:</w:t>
      </w:r>
      <w:r>
        <w:rPr>
          <w:b/>
        </w:rPr>
        <w:tab/>
      </w:r>
      <w:r>
        <w:rPr>
          <w:b/>
        </w:rPr>
        <w:tab/>
      </w:r>
      <w:r w:rsidR="00C156B6">
        <w:rPr>
          <w:b/>
        </w:rPr>
        <w:t>August 26</w:t>
      </w:r>
      <w:r w:rsidR="00EA4331">
        <w:rPr>
          <w:b/>
        </w:rPr>
        <w:t>, 2009</w:t>
      </w:r>
    </w:p>
    <w:p w:rsidR="0072512A" w:rsidRDefault="0072512A">
      <w:pPr>
        <w:spacing w:line="240" w:lineRule="auto"/>
        <w:rPr>
          <w:b/>
        </w:rPr>
      </w:pPr>
    </w:p>
    <w:p w:rsidR="0072512A" w:rsidRDefault="0072512A" w:rsidP="00EA4331">
      <w:pPr>
        <w:spacing w:line="240" w:lineRule="auto"/>
        <w:ind w:left="1440" w:hanging="1440"/>
      </w:pPr>
      <w:r>
        <w:rPr>
          <w:b/>
        </w:rPr>
        <w:t>Re:</w:t>
      </w:r>
      <w:r>
        <w:rPr>
          <w:b/>
        </w:rPr>
        <w:tab/>
      </w:r>
      <w:r w:rsidR="00292AD3" w:rsidRPr="00292AD3">
        <w:rPr>
          <w:b/>
        </w:rPr>
        <w:t>PEF OATT Policy for New Transmission Radials</w:t>
      </w:r>
    </w:p>
    <w:p w:rsidR="0072512A" w:rsidRDefault="0072512A">
      <w:pPr>
        <w:pBdr>
          <w:bottom w:val="thinThickThinMediumGap" w:sz="18" w:space="1" w:color="auto"/>
        </w:pBdr>
        <w:spacing w:line="240" w:lineRule="auto"/>
      </w:pPr>
    </w:p>
    <w:p w:rsidR="0072512A" w:rsidRDefault="0072512A">
      <w:pPr>
        <w:tabs>
          <w:tab w:val="left" w:pos="9270"/>
        </w:tabs>
        <w:spacing w:line="240" w:lineRule="auto"/>
      </w:pPr>
    </w:p>
    <w:p w:rsidR="00C156B6" w:rsidRDefault="00C156B6" w:rsidP="00C156B6">
      <w:pPr>
        <w:ind w:firstLine="720"/>
        <w:rPr>
          <w:rFonts w:cs="Arial"/>
        </w:rPr>
      </w:pPr>
      <w:r>
        <w:rPr>
          <w:rFonts w:cs="Arial"/>
        </w:rPr>
        <w:t>In third week of September 2009, PEF intends to file revisions to the formula transmission rate (“Formula Rate”) of its Open Access Transmission Tariff (“OATT”) concerning the treatment of new transmission radials commencing service after December 31, 2009 (referred to as “new transmission radials”).  These revisions propose to change the rate treatment for new transmission radials by removing the costs of these radials from the Formula Rate.  The costs of a new transmission radial constructed by PEF to serve an OATT transmission customer would be directly assigned to the OATT transmission customer receiving the benefit of the radial.</w:t>
      </w:r>
    </w:p>
    <w:p w:rsidR="00C156B6" w:rsidRDefault="00C156B6" w:rsidP="006A1051">
      <w:pPr>
        <w:ind w:firstLine="720"/>
        <w:rPr>
          <w:rFonts w:cs="Arial"/>
        </w:rPr>
      </w:pPr>
      <w:r>
        <w:rPr>
          <w:rFonts w:cs="Arial"/>
        </w:rPr>
        <w:t>In connection with this filing, PEF has posted on the PEF OASIS site the following documents:</w:t>
      </w:r>
    </w:p>
    <w:p w:rsidR="00C156B6" w:rsidRDefault="00C156B6" w:rsidP="00C156B6">
      <w:pPr>
        <w:pStyle w:val="ListParagraph"/>
        <w:numPr>
          <w:ilvl w:val="0"/>
          <w:numId w:val="2"/>
        </w:numPr>
        <w:spacing w:line="240" w:lineRule="auto"/>
        <w:contextualSpacing w:val="0"/>
        <w:rPr>
          <w:rFonts w:cs="Arial"/>
        </w:rPr>
      </w:pPr>
      <w:r>
        <w:rPr>
          <w:rFonts w:cs="Arial"/>
        </w:rPr>
        <w:t>This Cover Memo to OATT Customers re PEF Policy for New Transmission Radials;</w:t>
      </w:r>
    </w:p>
    <w:p w:rsidR="00C156B6" w:rsidRDefault="00C156B6" w:rsidP="00C156B6">
      <w:pPr>
        <w:pStyle w:val="ListParagraph"/>
        <w:numPr>
          <w:ilvl w:val="0"/>
          <w:numId w:val="2"/>
        </w:numPr>
        <w:spacing w:line="240" w:lineRule="auto"/>
        <w:contextualSpacing w:val="0"/>
        <w:rPr>
          <w:rFonts w:cs="Arial"/>
        </w:rPr>
      </w:pPr>
      <w:r>
        <w:rPr>
          <w:rFonts w:cs="Arial"/>
        </w:rPr>
        <w:t>DRAFT FERC Filing Letter re PEF Policy for New Transmission Radials;</w:t>
      </w:r>
    </w:p>
    <w:p w:rsidR="00C156B6" w:rsidRDefault="00C156B6" w:rsidP="00C156B6">
      <w:pPr>
        <w:pStyle w:val="ListParagraph"/>
        <w:numPr>
          <w:ilvl w:val="0"/>
          <w:numId w:val="2"/>
        </w:numPr>
        <w:spacing w:line="240" w:lineRule="auto"/>
        <w:contextualSpacing w:val="0"/>
        <w:rPr>
          <w:rFonts w:cs="Arial"/>
        </w:rPr>
      </w:pPr>
      <w:r>
        <w:rPr>
          <w:rFonts w:cs="Arial"/>
        </w:rPr>
        <w:t>DRAFT OATT Attachment U;</w:t>
      </w:r>
    </w:p>
    <w:p w:rsidR="00C156B6" w:rsidRDefault="00C156B6" w:rsidP="00C156B6">
      <w:pPr>
        <w:pStyle w:val="ListParagraph"/>
        <w:numPr>
          <w:ilvl w:val="0"/>
          <w:numId w:val="2"/>
        </w:numPr>
        <w:spacing w:line="240" w:lineRule="auto"/>
        <w:contextualSpacing w:val="0"/>
        <w:rPr>
          <w:rFonts w:cs="Arial"/>
        </w:rPr>
      </w:pPr>
      <w:r>
        <w:rPr>
          <w:rFonts w:cs="Arial"/>
        </w:rPr>
        <w:t>DRAFT OATT Attachment U.1;</w:t>
      </w:r>
    </w:p>
    <w:p w:rsidR="00C156B6" w:rsidRDefault="00C156B6" w:rsidP="00C156B6">
      <w:pPr>
        <w:pStyle w:val="ListParagraph"/>
        <w:numPr>
          <w:ilvl w:val="0"/>
          <w:numId w:val="2"/>
        </w:numPr>
        <w:spacing w:line="240" w:lineRule="auto"/>
        <w:contextualSpacing w:val="0"/>
        <w:rPr>
          <w:rFonts w:cs="Arial"/>
        </w:rPr>
      </w:pPr>
      <w:r>
        <w:rPr>
          <w:rFonts w:cs="Arial"/>
        </w:rPr>
        <w:t xml:space="preserve">DRAFT OATT Attachment U.2; and </w:t>
      </w:r>
    </w:p>
    <w:p w:rsidR="00C156B6" w:rsidRDefault="00C156B6" w:rsidP="00C156B6">
      <w:pPr>
        <w:pStyle w:val="ListParagraph"/>
        <w:numPr>
          <w:ilvl w:val="0"/>
          <w:numId w:val="2"/>
        </w:numPr>
        <w:spacing w:line="240" w:lineRule="auto"/>
        <w:contextualSpacing w:val="0"/>
        <w:rPr>
          <w:rFonts w:cs="Arial"/>
        </w:rPr>
      </w:pPr>
      <w:r>
        <w:rPr>
          <w:rFonts w:cs="Arial"/>
        </w:rPr>
        <w:t>Ten-Year Cost Projections re PEF Policy for New Transmission Radials</w:t>
      </w:r>
    </w:p>
    <w:p w:rsidR="006A1051" w:rsidRDefault="006A1051" w:rsidP="006A1051">
      <w:pPr>
        <w:ind w:left="360" w:firstLine="360"/>
        <w:rPr>
          <w:rFonts w:cs="Arial"/>
        </w:rPr>
      </w:pPr>
    </w:p>
    <w:p w:rsidR="006A1051" w:rsidRDefault="006A1051" w:rsidP="006A1051">
      <w:pPr>
        <w:ind w:firstLine="720"/>
        <w:rPr>
          <w:rFonts w:cs="Arial"/>
        </w:rPr>
      </w:pPr>
      <w:r>
        <w:rPr>
          <w:rFonts w:cs="Arial"/>
        </w:rPr>
        <w:t xml:space="preserve">The ten-year cost projections demonstrate the </w:t>
      </w:r>
      <w:r w:rsidR="00412806">
        <w:rPr>
          <w:rFonts w:cs="Arial"/>
        </w:rPr>
        <w:t xml:space="preserve">net </w:t>
      </w:r>
      <w:r>
        <w:rPr>
          <w:rFonts w:cs="Arial"/>
        </w:rPr>
        <w:t xml:space="preserve">cost impacts of continuing to include grandfathered transmission radials lines (commencing service before January 1, </w:t>
      </w:r>
      <w:r>
        <w:rPr>
          <w:rFonts w:cs="Arial"/>
        </w:rPr>
        <w:lastRenderedPageBreak/>
        <w:t xml:space="preserve">2010 and any upgrades thereto) that serve Progress retail load and wholesale customer load </w:t>
      </w:r>
      <w:r w:rsidR="00412806">
        <w:rPr>
          <w:rFonts w:cs="Arial"/>
        </w:rPr>
        <w:t>in the Formula Rate.  If you have any questions regarding the ten-year cost projections, we will make David Pistole available to you.</w:t>
      </w:r>
    </w:p>
    <w:p w:rsidR="00C156B6" w:rsidRDefault="00C156B6" w:rsidP="00C156B6">
      <w:pPr>
        <w:ind w:firstLine="720"/>
        <w:rPr>
          <w:rFonts w:cs="Arial"/>
        </w:rPr>
      </w:pPr>
      <w:r>
        <w:rPr>
          <w:rFonts w:cs="Arial"/>
        </w:rPr>
        <w:t xml:space="preserve">If you would like to offer any comments on the draft filing, please contact us on or before </w:t>
      </w:r>
      <w:r>
        <w:rPr>
          <w:rFonts w:cs="Arial"/>
          <w:b/>
          <w:bCs/>
          <w:u w:val="single"/>
        </w:rPr>
        <w:t>Friday, September 18, 2009</w:t>
      </w:r>
      <w:r>
        <w:rPr>
          <w:rFonts w:cs="Arial"/>
        </w:rPr>
        <w:t xml:space="preserve">.  PEF intends to make the filing at FERC the </w:t>
      </w:r>
      <w:r>
        <w:rPr>
          <w:rFonts w:cs="Arial"/>
          <w:b/>
          <w:bCs/>
          <w:u w:val="single"/>
        </w:rPr>
        <w:t>week of September 21, 2009</w:t>
      </w:r>
      <w:r>
        <w:rPr>
          <w:rFonts w:cs="Arial"/>
        </w:rPr>
        <w:t>.  If you have any questions, please contact us.</w:t>
      </w:r>
    </w:p>
    <w:p w:rsidR="00C156B6" w:rsidRDefault="00C156B6" w:rsidP="00C156B6">
      <w:pPr>
        <w:spacing w:line="240" w:lineRule="auto"/>
        <w:rPr>
          <w:rFonts w:cs="Arial"/>
        </w:rPr>
      </w:pPr>
    </w:p>
    <w:p w:rsidR="00C156B6" w:rsidRDefault="00C156B6" w:rsidP="00C156B6">
      <w:pPr>
        <w:spacing w:line="240" w:lineRule="auto"/>
        <w:rPr>
          <w:rFonts w:cs="Arial"/>
        </w:rPr>
      </w:pPr>
    </w:p>
    <w:p w:rsidR="00C156B6" w:rsidRPr="00C156B6" w:rsidRDefault="00C156B6" w:rsidP="00C156B6">
      <w:pPr>
        <w:spacing w:line="240" w:lineRule="auto"/>
        <w:rPr>
          <w:rFonts w:cs="Arial"/>
        </w:rPr>
      </w:pPr>
      <w:r w:rsidRPr="00C156B6">
        <w:rPr>
          <w:rFonts w:cs="Arial"/>
        </w:rPr>
        <w:t>Regards,</w:t>
      </w:r>
    </w:p>
    <w:p w:rsidR="00C156B6" w:rsidRPr="00C156B6" w:rsidRDefault="00C156B6" w:rsidP="00C156B6">
      <w:pPr>
        <w:spacing w:line="240" w:lineRule="auto"/>
        <w:rPr>
          <w:rFonts w:cs="Arial"/>
        </w:rPr>
      </w:pPr>
    </w:p>
    <w:p w:rsidR="00C156B6" w:rsidRPr="00C156B6" w:rsidRDefault="00C156B6" w:rsidP="00C156B6">
      <w:pPr>
        <w:spacing w:line="240" w:lineRule="auto"/>
        <w:rPr>
          <w:rFonts w:cs="Arial"/>
        </w:rPr>
      </w:pPr>
      <w:r w:rsidRPr="00C156B6">
        <w:rPr>
          <w:rFonts w:cs="Arial"/>
        </w:rPr>
        <w:t>Toni Frost</w:t>
      </w:r>
    </w:p>
    <w:p w:rsidR="00C156B6" w:rsidRDefault="00C156B6" w:rsidP="00C156B6">
      <w:pPr>
        <w:spacing w:line="240" w:lineRule="auto"/>
        <w:rPr>
          <w:rFonts w:cs="Arial"/>
        </w:rPr>
      </w:pPr>
    </w:p>
    <w:p w:rsidR="00C156B6" w:rsidRDefault="00C156B6" w:rsidP="00C156B6">
      <w:pPr>
        <w:spacing w:line="240" w:lineRule="auto"/>
        <w:rPr>
          <w:rFonts w:cs="Arial"/>
        </w:rPr>
      </w:pPr>
      <w:r w:rsidRPr="00C156B6">
        <w:rPr>
          <w:rFonts w:cs="Arial"/>
        </w:rPr>
        <w:t xml:space="preserve">Counsel for Florida Power Corporation, </w:t>
      </w:r>
    </w:p>
    <w:p w:rsidR="00C156B6" w:rsidRDefault="00C156B6" w:rsidP="00C156B6">
      <w:pPr>
        <w:spacing w:line="240" w:lineRule="auto"/>
        <w:rPr>
          <w:rFonts w:cs="Arial"/>
        </w:rPr>
      </w:pPr>
      <w:r w:rsidRPr="00C156B6">
        <w:rPr>
          <w:rFonts w:cs="Arial"/>
        </w:rPr>
        <w:t>doing business as Progress Energy Florida, Inc.</w:t>
      </w:r>
    </w:p>
    <w:p w:rsidR="00C156B6" w:rsidRPr="00C156B6" w:rsidRDefault="00C156B6" w:rsidP="00C156B6">
      <w:pPr>
        <w:spacing w:line="240" w:lineRule="auto"/>
        <w:rPr>
          <w:rFonts w:cs="Arial"/>
        </w:rPr>
      </w:pPr>
    </w:p>
    <w:p w:rsidR="00C156B6" w:rsidRPr="00C156B6" w:rsidRDefault="00C156B6" w:rsidP="00C156B6">
      <w:pPr>
        <w:spacing w:line="240" w:lineRule="auto"/>
        <w:rPr>
          <w:rFonts w:cs="Arial"/>
          <w:color w:val="000000"/>
        </w:rPr>
      </w:pPr>
      <w:r w:rsidRPr="00C156B6">
        <w:rPr>
          <w:rFonts w:cs="Arial"/>
          <w:b/>
          <w:color w:val="3333FF"/>
        </w:rPr>
        <w:t>Antonia A. Frost</w:t>
      </w:r>
      <w:r w:rsidRPr="00C156B6">
        <w:rPr>
          <w:rFonts w:cs="Arial"/>
          <w:color w:val="000000"/>
        </w:rPr>
        <w:br/>
        <w:t xml:space="preserve">Bruder, Gentile &amp; Marcoux, L.L.P. </w:t>
      </w:r>
      <w:r w:rsidRPr="00C156B6">
        <w:rPr>
          <w:rFonts w:cs="Arial"/>
          <w:color w:val="000000"/>
        </w:rPr>
        <w:br/>
        <w:t xml:space="preserve">1701 Pennsylvania Avenue, N.W. </w:t>
      </w:r>
      <w:r w:rsidRPr="00C156B6">
        <w:rPr>
          <w:rFonts w:cs="Arial"/>
          <w:color w:val="000000"/>
        </w:rPr>
        <w:br/>
        <w:t>Suite 900</w:t>
      </w:r>
      <w:r w:rsidRPr="00C156B6">
        <w:rPr>
          <w:rFonts w:cs="Arial"/>
          <w:color w:val="000000"/>
        </w:rPr>
        <w:br/>
        <w:t xml:space="preserve">Washington, D.C. 20006 </w:t>
      </w:r>
      <w:r w:rsidRPr="00C156B6">
        <w:rPr>
          <w:rFonts w:cs="Arial"/>
          <w:color w:val="000000"/>
        </w:rPr>
        <w:br/>
        <w:t>Telephone: 202/296-1500, ext. 206</w:t>
      </w:r>
      <w:r w:rsidRPr="00C156B6">
        <w:rPr>
          <w:rFonts w:cs="Arial"/>
          <w:color w:val="000000"/>
        </w:rPr>
        <w:br/>
        <w:t>Facsimile: 202/296-0627</w:t>
      </w:r>
      <w:r w:rsidRPr="00C156B6">
        <w:rPr>
          <w:rFonts w:cs="Arial"/>
          <w:color w:val="000000"/>
        </w:rPr>
        <w:br/>
        <w:t>E-Mail: </w:t>
      </w:r>
      <w:hyperlink r:id="rId7" w:history="1">
        <w:r w:rsidRPr="00C156B6">
          <w:rPr>
            <w:rStyle w:val="Hyperlink"/>
            <w:rFonts w:cs="Arial"/>
          </w:rPr>
          <w:t>aafrost@brudergentile.com</w:t>
        </w:r>
      </w:hyperlink>
    </w:p>
    <w:p w:rsidR="00C156B6" w:rsidRDefault="00C156B6" w:rsidP="00AC1E6F"/>
    <w:p w:rsidR="00C156B6" w:rsidRDefault="00C156B6" w:rsidP="00AC1E6F"/>
    <w:p w:rsidR="00AC1E6F" w:rsidRDefault="00AC1E6F" w:rsidP="00AC1E6F"/>
    <w:p w:rsidR="00AC1E6F" w:rsidRDefault="00AC1E6F" w:rsidP="00AC1E6F"/>
    <w:p w:rsidR="00C156B6" w:rsidRDefault="00C156B6" w:rsidP="00AC1E6F"/>
    <w:p w:rsidR="00C156B6" w:rsidRDefault="00C156B6" w:rsidP="00AC1E6F"/>
    <w:p w:rsidR="00C156B6" w:rsidRDefault="00C156B6" w:rsidP="00AC1E6F"/>
    <w:p w:rsidR="00C156B6" w:rsidRDefault="00C156B6" w:rsidP="00AC1E6F"/>
    <w:p w:rsidR="00C156B6" w:rsidRDefault="00C156B6" w:rsidP="00AC1E6F"/>
    <w:p w:rsidR="00AC1E6F" w:rsidRPr="00AC1E6F" w:rsidRDefault="000241B4">
      <w:pPr>
        <w:rPr>
          <w:sz w:val="18"/>
          <w:szCs w:val="18"/>
        </w:rPr>
      </w:pPr>
      <w:fldSimple w:instr=" FILENAME  \* Lower \p  \* MERGEFORMAT ">
        <w:r w:rsidR="00C156B6" w:rsidRPr="00C156B6">
          <w:rPr>
            <w:rFonts w:cs="Arial"/>
            <w:noProof/>
            <w:sz w:val="18"/>
            <w:szCs w:val="18"/>
          </w:rPr>
          <w:t>m</w:t>
        </w:r>
        <w:r w:rsidR="00C156B6" w:rsidRPr="00C156B6">
          <w:rPr>
            <w:noProof/>
            <w:sz w:val="18"/>
            <w:szCs w:val="18"/>
          </w:rPr>
          <w:t>:\wdox\clients\005fpc\00029552.docx</w:t>
        </w:r>
      </w:fldSimple>
    </w:p>
    <w:p w:rsidR="00AC1E6F" w:rsidRDefault="00AC1E6F" w:rsidP="00AC1E6F"/>
    <w:sectPr w:rsidR="00AC1E6F" w:rsidSect="00A54ED7">
      <w:headerReference w:type="default" r:id="rId8"/>
      <w:pgSz w:w="12240" w:h="15840" w:code="1"/>
      <w:pgMar w:top="763" w:right="1440" w:bottom="1267"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235" w:rsidRDefault="00FA2235">
      <w:r>
        <w:separator/>
      </w:r>
    </w:p>
  </w:endnote>
  <w:endnote w:type="continuationSeparator" w:id="1">
    <w:p w:rsidR="00FA2235" w:rsidRDefault="00FA2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235" w:rsidRDefault="00FA2235">
      <w:r>
        <w:separator/>
      </w:r>
    </w:p>
  </w:footnote>
  <w:footnote w:type="continuationSeparator" w:id="1">
    <w:p w:rsidR="00FA2235" w:rsidRDefault="00FA2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12A" w:rsidRDefault="0072512A">
    <w:pPr>
      <w:pStyle w:val="Header"/>
    </w:pPr>
    <w:r>
      <w:t xml:space="preserve">Memorandum to:  </w:t>
    </w:r>
    <w:r w:rsidR="00EA4331">
      <w:rPr>
        <w:b/>
      </w:rPr>
      <w:t>Customers</w:t>
    </w:r>
    <w:r>
      <w:tab/>
    </w:r>
    <w:r>
      <w:tab/>
    </w:r>
    <w:r>
      <w:rPr>
        <w:b/>
        <w:bCs/>
        <w:sz w:val="20"/>
      </w:rPr>
      <w:t>Privileged and Confidential</w:t>
    </w:r>
  </w:p>
  <w:p w:rsidR="0072512A" w:rsidRDefault="00C156B6">
    <w:pPr>
      <w:pStyle w:val="Header"/>
      <w:rPr>
        <w:b/>
        <w:bCs/>
        <w:sz w:val="20"/>
      </w:rPr>
    </w:pPr>
    <w:r>
      <w:t>August 26</w:t>
    </w:r>
    <w:r w:rsidR="00EA4331">
      <w:t>, 2009</w:t>
    </w:r>
    <w:r w:rsidR="0072512A">
      <w:tab/>
    </w:r>
    <w:r w:rsidR="0072512A">
      <w:tab/>
    </w:r>
    <w:r w:rsidR="0072512A">
      <w:rPr>
        <w:b/>
        <w:bCs/>
        <w:sz w:val="20"/>
      </w:rPr>
      <w:t>Attorney/Client Communication</w:t>
    </w:r>
  </w:p>
  <w:p w:rsidR="0072512A" w:rsidRDefault="0072512A">
    <w:pPr>
      <w:pStyle w:val="Header"/>
      <w:pBdr>
        <w:bottom w:val="single" w:sz="24" w:space="1" w:color="auto"/>
      </w:pBdr>
      <w:rPr>
        <w:rStyle w:val="PageNumber"/>
      </w:rPr>
    </w:pPr>
    <w:r>
      <w:t xml:space="preserve">Page </w:t>
    </w:r>
    <w:r w:rsidR="000241B4">
      <w:rPr>
        <w:rStyle w:val="PageNumber"/>
      </w:rPr>
      <w:fldChar w:fldCharType="begin"/>
    </w:r>
    <w:r>
      <w:rPr>
        <w:rStyle w:val="PageNumber"/>
      </w:rPr>
      <w:instrText xml:space="preserve"> PAGE </w:instrText>
    </w:r>
    <w:r w:rsidR="000241B4">
      <w:rPr>
        <w:rStyle w:val="PageNumber"/>
      </w:rPr>
      <w:fldChar w:fldCharType="separate"/>
    </w:r>
    <w:r w:rsidR="00851B83">
      <w:rPr>
        <w:rStyle w:val="PageNumber"/>
        <w:noProof/>
      </w:rPr>
      <w:t>2</w:t>
    </w:r>
    <w:r w:rsidR="000241B4">
      <w:rPr>
        <w:rStyle w:val="PageNumber"/>
      </w:rPr>
      <w:fldChar w:fldCharType="end"/>
    </w:r>
    <w:r>
      <w:rPr>
        <w:rStyle w:val="PageNumber"/>
      </w:rPr>
      <w:tab/>
    </w:r>
    <w:r>
      <w:rPr>
        <w:rStyle w:val="PageNumber"/>
      </w:rPr>
      <w:tab/>
    </w:r>
    <w:r>
      <w:rPr>
        <w:rStyle w:val="PageNumber"/>
        <w:b/>
        <w:bCs/>
        <w:sz w:val="20"/>
      </w:rPr>
      <w:t>Attorney Work Product</w:t>
    </w:r>
  </w:p>
  <w:p w:rsidR="0072512A" w:rsidRDefault="0072512A">
    <w:pPr>
      <w:pStyle w:val="Header"/>
      <w:rPr>
        <w:rStyle w:val="PageNumber"/>
      </w:rPr>
    </w:pPr>
  </w:p>
  <w:p w:rsidR="0072512A" w:rsidRDefault="0072512A">
    <w:pPr>
      <w:pStyle w:val="Header"/>
      <w:tabs>
        <w:tab w:val="right" w:pos="8550"/>
        <w:tab w:val="right" w:pos="92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856"/>
    <w:multiLevelType w:val="hybridMultilevel"/>
    <w:tmpl w:val="C2C2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8331B"/>
    <w:multiLevelType w:val="hybridMultilevel"/>
    <w:tmpl w:val="724420F0"/>
    <w:lvl w:ilvl="0" w:tplc="D70EB7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0"/>
    <w:footnote w:id="1"/>
  </w:footnotePr>
  <w:endnotePr>
    <w:endnote w:id="0"/>
    <w:endnote w:id="1"/>
  </w:endnotePr>
  <w:compat/>
  <w:rsids>
    <w:rsidRoot w:val="00EA4331"/>
    <w:rsid w:val="000241B4"/>
    <w:rsid w:val="00076CF2"/>
    <w:rsid w:val="00173D3D"/>
    <w:rsid w:val="00292AD3"/>
    <w:rsid w:val="002A4977"/>
    <w:rsid w:val="002B6C2E"/>
    <w:rsid w:val="0030544E"/>
    <w:rsid w:val="003F66C6"/>
    <w:rsid w:val="0040269B"/>
    <w:rsid w:val="00412806"/>
    <w:rsid w:val="005267E9"/>
    <w:rsid w:val="005F5F63"/>
    <w:rsid w:val="006521E8"/>
    <w:rsid w:val="00691AF2"/>
    <w:rsid w:val="006A1051"/>
    <w:rsid w:val="0072512A"/>
    <w:rsid w:val="00820026"/>
    <w:rsid w:val="00851B83"/>
    <w:rsid w:val="008D1759"/>
    <w:rsid w:val="008F23B5"/>
    <w:rsid w:val="00A4082E"/>
    <w:rsid w:val="00A54ED7"/>
    <w:rsid w:val="00AC1E6F"/>
    <w:rsid w:val="00B20258"/>
    <w:rsid w:val="00C156B6"/>
    <w:rsid w:val="00CD02FA"/>
    <w:rsid w:val="00D430C5"/>
    <w:rsid w:val="00DD4810"/>
    <w:rsid w:val="00E26ADA"/>
    <w:rsid w:val="00EA4331"/>
    <w:rsid w:val="00F12F47"/>
    <w:rsid w:val="00FA2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4ED7"/>
    <w:pPr>
      <w:spacing w:line="480" w:lineRule="auto"/>
    </w:pPr>
    <w:rPr>
      <w:rFonts w:ascii="Arial" w:hAnsi="Arial"/>
      <w:sz w:val="24"/>
    </w:rPr>
  </w:style>
  <w:style w:type="paragraph" w:styleId="Heading1">
    <w:name w:val="heading 1"/>
    <w:basedOn w:val="Normal"/>
    <w:next w:val="Normal"/>
    <w:qFormat/>
    <w:rsid w:val="00A54ED7"/>
    <w:pPr>
      <w:keepNext/>
      <w:keepLines/>
      <w:spacing w:after="240" w:line="240" w:lineRule="auto"/>
      <w:ind w:left="720" w:hanging="720"/>
      <w:outlineLvl w:val="0"/>
    </w:pPr>
    <w:rPr>
      <w:b/>
      <w:smallCaps/>
      <w:sz w:val="28"/>
    </w:rPr>
  </w:style>
  <w:style w:type="paragraph" w:styleId="Heading2">
    <w:name w:val="heading 2"/>
    <w:basedOn w:val="Normal"/>
    <w:next w:val="Normal"/>
    <w:qFormat/>
    <w:rsid w:val="00A54ED7"/>
    <w:pPr>
      <w:keepNext/>
      <w:keepLines/>
      <w:spacing w:after="240" w:line="240" w:lineRule="auto"/>
      <w:ind w:left="1440" w:hanging="720"/>
      <w:outlineLvl w:val="1"/>
    </w:pPr>
    <w:rPr>
      <w:rFonts w:cs="Arial"/>
      <w:b/>
      <w:bCs/>
      <w:iCs/>
      <w:smallCaps/>
      <w:sz w:val="26"/>
      <w:szCs w:val="28"/>
    </w:rPr>
  </w:style>
  <w:style w:type="paragraph" w:styleId="Heading3">
    <w:name w:val="heading 3"/>
    <w:basedOn w:val="Normal"/>
    <w:next w:val="Normal"/>
    <w:qFormat/>
    <w:rsid w:val="00A54ED7"/>
    <w:pPr>
      <w:keepNext/>
      <w:keepLines/>
      <w:spacing w:after="240" w:line="240" w:lineRule="auto"/>
      <w:ind w:left="2160" w:hanging="720"/>
      <w:outlineLvl w:val="2"/>
    </w:pPr>
    <w:rPr>
      <w:rFonts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ED7"/>
    <w:pPr>
      <w:tabs>
        <w:tab w:val="center" w:pos="4320"/>
        <w:tab w:val="right" w:pos="9360"/>
      </w:tabs>
      <w:spacing w:line="240" w:lineRule="auto"/>
    </w:pPr>
  </w:style>
  <w:style w:type="paragraph" w:styleId="Footer">
    <w:name w:val="footer"/>
    <w:basedOn w:val="Normal"/>
    <w:rsid w:val="00A54ED7"/>
    <w:pPr>
      <w:tabs>
        <w:tab w:val="center" w:pos="4320"/>
        <w:tab w:val="right" w:pos="9360"/>
      </w:tabs>
      <w:spacing w:line="240" w:lineRule="auto"/>
    </w:pPr>
  </w:style>
  <w:style w:type="character" w:styleId="PageNumber">
    <w:name w:val="page number"/>
    <w:basedOn w:val="DefaultParagraphFont"/>
    <w:rsid w:val="00A54ED7"/>
    <w:rPr>
      <w:rFonts w:ascii="Arial" w:hAnsi="Arial"/>
      <w:sz w:val="24"/>
    </w:rPr>
  </w:style>
  <w:style w:type="paragraph" w:styleId="Quote">
    <w:name w:val="Quote"/>
    <w:basedOn w:val="Normal"/>
    <w:next w:val="Normal"/>
    <w:link w:val="QuoteChar"/>
    <w:uiPriority w:val="29"/>
    <w:qFormat/>
    <w:rsid w:val="00691AF2"/>
    <w:pPr>
      <w:spacing w:after="240" w:line="240" w:lineRule="auto"/>
      <w:ind w:left="1440" w:right="1440"/>
    </w:pPr>
    <w:rPr>
      <w:i/>
      <w:iCs/>
      <w:color w:val="000000" w:themeColor="text1"/>
    </w:rPr>
  </w:style>
  <w:style w:type="character" w:styleId="FootnoteReference">
    <w:name w:val="footnote reference"/>
    <w:aliases w:val="o,fr"/>
    <w:basedOn w:val="DefaultParagraphFont"/>
    <w:semiHidden/>
    <w:rsid w:val="00A54ED7"/>
    <w:rPr>
      <w:rFonts w:ascii="Arial" w:hAnsi="Arial"/>
      <w:sz w:val="24"/>
      <w:u w:val="single"/>
      <w:vertAlign w:val="superscript"/>
    </w:rPr>
  </w:style>
  <w:style w:type="paragraph" w:styleId="FootnoteText">
    <w:name w:val="footnote text"/>
    <w:aliases w:val="Footnote Text Char1,Footnote Text Char Char,fn Char Char,Footnote Text Char1 Char1 Char,Footnote Text Char Char Char1 Char,Footnote Text Char1 Char Char Char,Footnote Text Char Char Char Char Char,Footnote Text Char Char1,ft,fn,ft Char"/>
    <w:basedOn w:val="Normal"/>
    <w:link w:val="FootnoteTextChar"/>
    <w:semiHidden/>
    <w:rsid w:val="00A54ED7"/>
    <w:pPr>
      <w:keepLines/>
      <w:tabs>
        <w:tab w:val="left" w:pos="432"/>
      </w:tabs>
      <w:spacing w:line="240" w:lineRule="auto"/>
      <w:ind w:left="432" w:hanging="432"/>
    </w:pPr>
    <w:rPr>
      <w:sz w:val="20"/>
    </w:rPr>
  </w:style>
  <w:style w:type="paragraph" w:styleId="BlockText">
    <w:name w:val="Block Text"/>
    <w:basedOn w:val="Normal"/>
    <w:rsid w:val="00A54ED7"/>
    <w:pPr>
      <w:spacing w:line="240" w:lineRule="auto"/>
      <w:ind w:left="1440" w:right="1440"/>
    </w:pPr>
  </w:style>
  <w:style w:type="character" w:customStyle="1" w:styleId="QuoteChar">
    <w:name w:val="Quote Char"/>
    <w:basedOn w:val="DefaultParagraphFont"/>
    <w:link w:val="Quote"/>
    <w:uiPriority w:val="29"/>
    <w:rsid w:val="00691AF2"/>
    <w:rPr>
      <w:rFonts w:ascii="Arial" w:hAnsi="Arial"/>
      <w:i/>
      <w:iCs/>
      <w:color w:val="000000" w:themeColor="text1"/>
      <w:sz w:val="24"/>
    </w:rPr>
  </w:style>
  <w:style w:type="character" w:styleId="Hyperlink">
    <w:name w:val="Hyperlink"/>
    <w:basedOn w:val="DefaultParagraphFont"/>
    <w:rsid w:val="00EA4331"/>
    <w:rPr>
      <w:color w:val="0000FF"/>
      <w:u w:val="single"/>
    </w:rPr>
  </w:style>
  <w:style w:type="character" w:customStyle="1" w:styleId="FootnoteTextChar">
    <w:name w:val="Footnote Text Char"/>
    <w:aliases w:val="Footnote Text Char1 Char,Footnote Text Char Char Char,fn Char Char Char,Footnote Text Char1 Char1 Char Char,Footnote Text Char Char Char1 Char Char,Footnote Text Char1 Char Char Char Char,Footnote Text Char Char Char Char Char Char"/>
    <w:basedOn w:val="DefaultParagraphFont"/>
    <w:link w:val="FootnoteText"/>
    <w:rsid w:val="00EA4331"/>
    <w:rPr>
      <w:rFonts w:ascii="Arial" w:hAnsi="Arial"/>
    </w:rPr>
  </w:style>
  <w:style w:type="paragraph" w:styleId="ListParagraph">
    <w:name w:val="List Paragraph"/>
    <w:basedOn w:val="Normal"/>
    <w:uiPriority w:val="34"/>
    <w:qFormat/>
    <w:rsid w:val="00EA4331"/>
    <w:pPr>
      <w:ind w:left="720"/>
      <w:contextualSpacing/>
    </w:pPr>
  </w:style>
</w:styles>
</file>

<file path=word/webSettings.xml><?xml version="1.0" encoding="utf-8"?>
<w:webSettings xmlns:r="http://schemas.openxmlformats.org/officeDocument/2006/relationships" xmlns:w="http://schemas.openxmlformats.org/wordprocessingml/2006/main">
  <w:divs>
    <w:div w:id="83385430">
      <w:bodyDiv w:val="1"/>
      <w:marLeft w:val="0"/>
      <w:marRight w:val="0"/>
      <w:marTop w:val="0"/>
      <w:marBottom w:val="0"/>
      <w:divBdr>
        <w:top w:val="none" w:sz="0" w:space="0" w:color="auto"/>
        <w:left w:val="none" w:sz="0" w:space="0" w:color="auto"/>
        <w:bottom w:val="none" w:sz="0" w:space="0" w:color="auto"/>
        <w:right w:val="none" w:sz="0" w:space="0" w:color="auto"/>
      </w:divBdr>
    </w:div>
    <w:div w:id="788358672">
      <w:bodyDiv w:val="1"/>
      <w:marLeft w:val="0"/>
      <w:marRight w:val="0"/>
      <w:marTop w:val="0"/>
      <w:marBottom w:val="0"/>
      <w:divBdr>
        <w:top w:val="none" w:sz="0" w:space="0" w:color="auto"/>
        <w:left w:val="none" w:sz="0" w:space="0" w:color="auto"/>
        <w:bottom w:val="none" w:sz="0" w:space="0" w:color="auto"/>
        <w:right w:val="none" w:sz="0" w:space="0" w:color="auto"/>
      </w:divBdr>
    </w:div>
    <w:div w:id="1364132161">
      <w:bodyDiv w:val="1"/>
      <w:marLeft w:val="0"/>
      <w:marRight w:val="0"/>
      <w:marTop w:val="0"/>
      <w:marBottom w:val="0"/>
      <w:divBdr>
        <w:top w:val="none" w:sz="0" w:space="0" w:color="auto"/>
        <w:left w:val="none" w:sz="0" w:space="0" w:color="auto"/>
        <w:bottom w:val="none" w:sz="0" w:space="0" w:color="auto"/>
        <w:right w:val="none" w:sz="0" w:space="0" w:color="auto"/>
      </w:divBdr>
    </w:div>
    <w:div w:id="2002004129">
      <w:bodyDiv w:val="1"/>
      <w:marLeft w:val="0"/>
      <w:marRight w:val="0"/>
      <w:marTop w:val="0"/>
      <w:marBottom w:val="0"/>
      <w:divBdr>
        <w:top w:val="none" w:sz="0" w:space="0" w:color="auto"/>
        <w:left w:val="none" w:sz="0" w:space="0" w:color="auto"/>
        <w:bottom w:val="none" w:sz="0" w:space="0" w:color="auto"/>
        <w:right w:val="none" w:sz="0" w:space="0" w:color="auto"/>
      </w:divBdr>
    </w:div>
    <w:div w:id="20050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frost@brudergent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BGM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BGMMemo</Template>
  <TotalTime>0</TotalTime>
  <Pages>3</Pages>
  <Words>351</Words>
  <Characters>1922</Characters>
  <Application>Microsoft Office Word</Application>
  <DocSecurity>0</DocSecurity>
  <PresentationFormat/>
  <Lines>68</Lines>
  <Paragraphs>21</Paragraphs>
  <ScaleCrop>false</ScaleCrop>
  <HeadingPairs>
    <vt:vector size="2" baseType="variant">
      <vt:variant>
        <vt:lpstr>Title</vt:lpstr>
      </vt:variant>
      <vt:variant>
        <vt:i4>1</vt:i4>
      </vt:variant>
    </vt:vector>
  </HeadingPairs>
  <TitlesOfParts>
    <vt:vector size="1" baseType="lpstr">
      <vt:lpstr>Privileged and Confidential</vt:lpstr>
    </vt:vector>
  </TitlesOfParts>
  <Company>Bruder, Gentile &amp; Marcoux LLP</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OATT Customers re New Transmission Radials - 8/26/09 (00029552).DOCX</dc:title>
  <dc:subject/>
  <dc:creator>Antonia A. Frost</dc:creator>
  <cp:keywords/>
  <cp:lastModifiedBy>Antonia A. Frost</cp:lastModifiedBy>
  <cp:revision>2</cp:revision>
  <cp:lastPrinted>2009-08-26T16:29:00Z</cp:lastPrinted>
  <dcterms:created xsi:type="dcterms:W3CDTF">2009-08-26T16:59:00Z</dcterms:created>
  <dcterms:modified xsi:type="dcterms:W3CDTF">2009-08-26T16:59:00Z</dcterms:modified>
</cp:coreProperties>
</file>