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4" w:rsidRDefault="00054374" w:rsidP="00054374">
      <w:r>
        <w:t>Duke Energy Florida 2014 Annual Real Power Loss Factor Update</w:t>
      </w:r>
      <w:bookmarkStart w:id="0" w:name="_GoBack"/>
      <w:bookmarkEnd w:id="0"/>
    </w:p>
    <w:p w:rsidR="00054374" w:rsidRDefault="00054374" w:rsidP="00054374"/>
    <w:p w:rsidR="00054374" w:rsidRDefault="00054374" w:rsidP="00054374">
      <w:r>
        <w:t xml:space="preserve">In accordance with the requirements set forth in 18 C.F.R. § 385.2010(f)(2), below is a link to a filing on the FERC website: Duke Energy Florida, Inc.’s Annual Update of Real Power Loss Factor. </w:t>
      </w:r>
    </w:p>
    <w:p w:rsidR="00054374" w:rsidRDefault="00054374" w:rsidP="00054374"/>
    <w:p w:rsidR="00054374" w:rsidRDefault="00054374" w:rsidP="00054374">
      <w:hyperlink r:id="rId5" w:history="1">
        <w:r>
          <w:rPr>
            <w:rStyle w:val="Hyperlink"/>
          </w:rPr>
          <w:t>http://elibrary.ferc.gov/idmws/file_list.asp?accession_num=20140409-5046</w:t>
        </w:r>
      </w:hyperlink>
      <w:r>
        <w:t xml:space="preserve"> </w:t>
      </w:r>
    </w:p>
    <w:p w:rsidR="00054374" w:rsidRDefault="00054374" w:rsidP="00054374"/>
    <w:p w:rsidR="007F3D31" w:rsidRDefault="007F3D31"/>
    <w:sectPr w:rsidR="007F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74"/>
    <w:rsid w:val="00054374"/>
    <w:rsid w:val="007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4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4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ferc.gov/idmws/file_list.asp?accession_num=20140409-5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Lee G</dc:creator>
  <cp:lastModifiedBy>Schuster, Lee G</cp:lastModifiedBy>
  <cp:revision>1</cp:revision>
  <dcterms:created xsi:type="dcterms:W3CDTF">2014-04-14T15:04:00Z</dcterms:created>
  <dcterms:modified xsi:type="dcterms:W3CDTF">2014-04-14T15:06:00Z</dcterms:modified>
</cp:coreProperties>
</file>