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DC" w:rsidRDefault="00510C83">
      <w:pPr>
        <w:tabs>
          <w:tab w:val="right" w:pos="9350"/>
        </w:tabs>
        <w:rPr>
          <w:b/>
          <w:bCs/>
        </w:rPr>
      </w:pPr>
      <w:r>
        <w:rPr>
          <w:b/>
          <w:bCs/>
        </w:rPr>
        <w:t xml:space="preserve">DRAFT – </w:t>
      </w:r>
      <w:r w:rsidR="00622A9E">
        <w:rPr>
          <w:b/>
          <w:bCs/>
        </w:rPr>
        <w:t xml:space="preserve">August </w:t>
      </w:r>
      <w:r w:rsidR="00096684">
        <w:rPr>
          <w:b/>
          <w:bCs/>
        </w:rPr>
        <w:t>2</w:t>
      </w:r>
      <w:r w:rsidR="00F77342">
        <w:rPr>
          <w:b/>
          <w:bCs/>
        </w:rPr>
        <w:t>6</w:t>
      </w:r>
      <w:r w:rsidR="00622A9E">
        <w:rPr>
          <w:b/>
          <w:bCs/>
        </w:rPr>
        <w:t>, 2009</w:t>
      </w:r>
    </w:p>
    <w:p w:rsidR="00510C83" w:rsidRDefault="005E08EC">
      <w:pPr>
        <w:tabs>
          <w:tab w:val="right" w:pos="9350"/>
        </w:tabs>
        <w:rPr>
          <w:b/>
          <w:bCs/>
          <w:sz w:val="20"/>
        </w:rPr>
      </w:pPr>
      <w:r w:rsidRPr="00F2777B">
        <w:rPr>
          <w:snapToGrid w:val="0"/>
          <w:sz w:val="20"/>
        </w:rPr>
        <w:fldChar w:fldCharType="begin"/>
      </w:r>
      <w:r w:rsidR="00510C83" w:rsidRPr="00F2777B">
        <w:rPr>
          <w:snapToGrid w:val="0"/>
          <w:sz w:val="20"/>
        </w:rPr>
        <w:instrText xml:space="preserve"> FILENAME \p </w:instrText>
      </w:r>
      <w:r w:rsidRPr="00F2777B">
        <w:rPr>
          <w:snapToGrid w:val="0"/>
          <w:sz w:val="20"/>
        </w:rPr>
        <w:fldChar w:fldCharType="separate"/>
      </w:r>
      <w:r w:rsidR="005F5773">
        <w:rPr>
          <w:noProof/>
          <w:snapToGrid w:val="0"/>
          <w:sz w:val="20"/>
        </w:rPr>
        <w:t>M:\WDOX\CLIENTS\005FPC\00027486.DOCX</w:t>
      </w:r>
      <w:r w:rsidRPr="00F2777B">
        <w:rPr>
          <w:snapToGrid w:val="0"/>
          <w:sz w:val="20"/>
        </w:rPr>
        <w:fldChar w:fldCharType="end"/>
      </w:r>
    </w:p>
    <w:p w:rsidR="00735BDC" w:rsidRDefault="00735BDC" w:rsidP="007A1EB1">
      <w:pPr>
        <w:tabs>
          <w:tab w:val="right" w:pos="9360"/>
        </w:tabs>
      </w:pPr>
    </w:p>
    <w:p w:rsidR="00735BDC" w:rsidRDefault="00735BDC" w:rsidP="007A1EB1">
      <w:pPr>
        <w:tabs>
          <w:tab w:val="right" w:pos="9360"/>
        </w:tabs>
      </w:pPr>
    </w:p>
    <w:p w:rsidR="00510C83" w:rsidRDefault="00510C83">
      <w:pPr>
        <w:tabs>
          <w:tab w:val="right" w:pos="9350"/>
        </w:tabs>
      </w:pPr>
    </w:p>
    <w:p w:rsidR="00510C83" w:rsidRDefault="00510C83">
      <w:pPr>
        <w:tabs>
          <w:tab w:val="right" w:pos="9350"/>
        </w:tabs>
      </w:pPr>
    </w:p>
    <w:p w:rsidR="00510C83" w:rsidRDefault="00510C83"/>
    <w:p w:rsidR="00510C83" w:rsidRDefault="00510C83">
      <w:pPr>
        <w:pStyle w:val="Header"/>
        <w:tabs>
          <w:tab w:val="clear" w:pos="4320"/>
          <w:tab w:val="clear" w:pos="9360"/>
        </w:tabs>
      </w:pPr>
    </w:p>
    <w:p w:rsidR="00510C83" w:rsidRDefault="00510C83"/>
    <w:p w:rsidR="00510C83" w:rsidRDefault="00510C83"/>
    <w:p w:rsidR="00510C83" w:rsidRDefault="00510C83"/>
    <w:p w:rsidR="00510C83" w:rsidRDefault="00510C83"/>
    <w:p w:rsidR="00510C83" w:rsidRDefault="00622A9E">
      <w:pPr>
        <w:pStyle w:val="E-Mail"/>
        <w:rPr>
          <w:rFonts w:ascii="Arial Narrow" w:hAnsi="Arial Narrow"/>
        </w:rPr>
      </w:pPr>
      <w:r>
        <w:rPr>
          <w:rFonts w:ascii="Arial Narrow" w:hAnsi="Arial Narrow"/>
        </w:rPr>
        <w:t>lskizuka</w:t>
      </w:r>
      <w:r w:rsidR="00510C83">
        <w:rPr>
          <w:rFonts w:ascii="Arial Narrow" w:hAnsi="Arial Narrow"/>
        </w:rPr>
        <w:t>@brudergentile.com</w:t>
      </w:r>
    </w:p>
    <w:p w:rsidR="00510C83" w:rsidRDefault="00510C83"/>
    <w:p w:rsidR="00510C83" w:rsidRDefault="00622A9E">
      <w:pPr>
        <w:jc w:val="center"/>
        <w:rPr>
          <w:rFonts w:cs="Arial"/>
        </w:rPr>
      </w:pPr>
      <w:r>
        <w:rPr>
          <w:rFonts w:cs="Arial"/>
        </w:rPr>
        <w:t>August ___, 2009</w:t>
      </w:r>
    </w:p>
    <w:p w:rsidR="00510C83" w:rsidRDefault="00510C83">
      <w:pPr>
        <w:rPr>
          <w:rFonts w:cs="Arial"/>
        </w:rPr>
      </w:pPr>
    </w:p>
    <w:p w:rsidR="00510C83" w:rsidRDefault="00510C83">
      <w:pPr>
        <w:rPr>
          <w:rFonts w:cs="Arial"/>
        </w:rPr>
      </w:pPr>
    </w:p>
    <w:p w:rsidR="00510C83" w:rsidRDefault="00510C83">
      <w:pPr>
        <w:rPr>
          <w:rFonts w:cs="Arial"/>
        </w:rPr>
      </w:pPr>
    </w:p>
    <w:p w:rsidR="00510C83" w:rsidRDefault="00510C83">
      <w:pPr>
        <w:rPr>
          <w:rFonts w:cs="Arial"/>
        </w:rPr>
      </w:pPr>
    </w:p>
    <w:p w:rsidR="00F2777B" w:rsidRDefault="00F2777B">
      <w:pPr>
        <w:rPr>
          <w:rFonts w:cs="Arial"/>
        </w:rPr>
      </w:pPr>
      <w:r>
        <w:rPr>
          <w:rFonts w:cs="Arial"/>
        </w:rPr>
        <w:t xml:space="preserve">The Honorable Kimberly D. Bose </w:t>
      </w:r>
    </w:p>
    <w:p w:rsidR="00510C83" w:rsidRDefault="00510C83">
      <w:pPr>
        <w:rPr>
          <w:rFonts w:cs="Arial"/>
        </w:rPr>
      </w:pPr>
      <w:r>
        <w:rPr>
          <w:rFonts w:cs="Arial"/>
        </w:rPr>
        <w:t>Secretary</w:t>
      </w:r>
    </w:p>
    <w:p w:rsidR="00510C83" w:rsidRDefault="00510C83">
      <w:pPr>
        <w:rPr>
          <w:rFonts w:cs="Arial"/>
        </w:rPr>
      </w:pPr>
      <w:r>
        <w:rPr>
          <w:rFonts w:cs="Arial"/>
        </w:rPr>
        <w:t>Federal Energy Regulatory Commission</w:t>
      </w:r>
    </w:p>
    <w:p w:rsidR="00510C83" w:rsidRDefault="00510C83">
      <w:pPr>
        <w:rPr>
          <w:rFonts w:cs="Arial"/>
        </w:rPr>
      </w:pPr>
      <w:r>
        <w:rPr>
          <w:rFonts w:cs="Arial"/>
        </w:rPr>
        <w:t>888 First Street, N.E.</w:t>
      </w:r>
    </w:p>
    <w:p w:rsidR="00510C83" w:rsidRDefault="00510C83">
      <w:pPr>
        <w:rPr>
          <w:rFonts w:cs="Arial"/>
        </w:rPr>
      </w:pPr>
      <w:r>
        <w:rPr>
          <w:rFonts w:cs="Arial"/>
        </w:rPr>
        <w:t>Washington, D.C. 20426</w:t>
      </w:r>
    </w:p>
    <w:p w:rsidR="00510C83" w:rsidRDefault="00510C83">
      <w:pPr>
        <w:rPr>
          <w:rFonts w:cs="Arial"/>
        </w:rPr>
      </w:pPr>
    </w:p>
    <w:p w:rsidR="00622A9E" w:rsidRPr="00622A9E" w:rsidRDefault="00622A9E" w:rsidP="00622A9E">
      <w:pPr>
        <w:ind w:left="1440"/>
        <w:rPr>
          <w:rFonts w:cs="Arial"/>
          <w:b/>
        </w:rPr>
      </w:pPr>
      <w:r w:rsidRPr="00622A9E">
        <w:rPr>
          <w:rFonts w:cs="Arial"/>
          <w:b/>
        </w:rPr>
        <w:t>Re:</w:t>
      </w:r>
      <w:r w:rsidRPr="00622A9E">
        <w:rPr>
          <w:rFonts w:cs="Arial"/>
          <w:b/>
        </w:rPr>
        <w:tab/>
      </w:r>
      <w:r w:rsidRPr="00622A9E">
        <w:rPr>
          <w:rFonts w:cs="Arial"/>
          <w:b/>
          <w:i/>
        </w:rPr>
        <w:t>Florida Power Corporation</w:t>
      </w:r>
      <w:r w:rsidRPr="00622A9E">
        <w:rPr>
          <w:rFonts w:cs="Arial"/>
          <w:b/>
        </w:rPr>
        <w:t>;</w:t>
      </w:r>
    </w:p>
    <w:p w:rsidR="00622A9E" w:rsidRPr="00622A9E" w:rsidRDefault="00622A9E" w:rsidP="00622A9E">
      <w:pPr>
        <w:ind w:left="2160"/>
        <w:rPr>
          <w:rFonts w:cs="Arial"/>
          <w:b/>
        </w:rPr>
      </w:pPr>
      <w:r w:rsidRPr="00622A9E">
        <w:rPr>
          <w:rFonts w:cs="Arial"/>
          <w:b/>
        </w:rPr>
        <w:t xml:space="preserve">Revisions to </w:t>
      </w:r>
      <w:r>
        <w:rPr>
          <w:rFonts w:cs="Arial"/>
          <w:b/>
        </w:rPr>
        <w:t>OATT</w:t>
      </w:r>
      <w:r w:rsidRPr="00622A9E">
        <w:rPr>
          <w:rFonts w:cs="Arial"/>
          <w:b/>
        </w:rPr>
        <w:t xml:space="preserve"> </w:t>
      </w:r>
      <w:r w:rsidR="00302BB6">
        <w:rPr>
          <w:rFonts w:cs="Arial"/>
          <w:b/>
        </w:rPr>
        <w:t xml:space="preserve">Formula </w:t>
      </w:r>
      <w:r w:rsidRPr="00622A9E">
        <w:rPr>
          <w:rFonts w:cs="Arial"/>
          <w:b/>
        </w:rPr>
        <w:t xml:space="preserve">Rate </w:t>
      </w:r>
      <w:r w:rsidR="00302BB6">
        <w:rPr>
          <w:rFonts w:cs="Arial"/>
          <w:b/>
        </w:rPr>
        <w:t xml:space="preserve">Concerning </w:t>
      </w:r>
      <w:r w:rsidR="00452582">
        <w:rPr>
          <w:rFonts w:cs="Arial"/>
          <w:b/>
        </w:rPr>
        <w:t xml:space="preserve">New </w:t>
      </w:r>
      <w:r w:rsidRPr="00622A9E">
        <w:rPr>
          <w:rFonts w:cs="Arial"/>
          <w:b/>
        </w:rPr>
        <w:t>Transmission Radials</w:t>
      </w:r>
      <w:r w:rsidR="00302BB6">
        <w:rPr>
          <w:rFonts w:cs="Arial"/>
          <w:b/>
        </w:rPr>
        <w:t xml:space="preserve"> Commencing Service After December 31, 2009</w:t>
      </w:r>
    </w:p>
    <w:p w:rsidR="00622A9E" w:rsidRPr="00622A9E" w:rsidRDefault="00622A9E" w:rsidP="00622A9E">
      <w:pPr>
        <w:ind w:left="1440"/>
        <w:rPr>
          <w:rFonts w:cs="Arial"/>
          <w:b/>
        </w:rPr>
      </w:pPr>
      <w:r w:rsidRPr="00622A9E">
        <w:rPr>
          <w:rFonts w:cs="Arial"/>
          <w:b/>
        </w:rPr>
        <w:tab/>
        <w:t>Docket No. ER09-___-000</w:t>
      </w:r>
    </w:p>
    <w:p w:rsidR="00622A9E" w:rsidRDefault="00622A9E">
      <w:pPr>
        <w:rPr>
          <w:rFonts w:cs="Arial"/>
        </w:rPr>
      </w:pPr>
    </w:p>
    <w:p w:rsidR="00510C83" w:rsidRDefault="00510C83">
      <w:pPr>
        <w:rPr>
          <w:rFonts w:cs="Arial"/>
        </w:rPr>
      </w:pPr>
      <w:r>
        <w:rPr>
          <w:rFonts w:cs="Arial"/>
        </w:rPr>
        <w:t xml:space="preserve">Dear Secretary </w:t>
      </w:r>
      <w:r w:rsidR="00622A9E">
        <w:rPr>
          <w:rFonts w:cs="Arial"/>
        </w:rPr>
        <w:t>Bose</w:t>
      </w:r>
      <w:r>
        <w:rPr>
          <w:rFonts w:cs="Arial"/>
        </w:rPr>
        <w:t>:</w:t>
      </w:r>
    </w:p>
    <w:p w:rsidR="00510C83" w:rsidRDefault="00510C83">
      <w:pPr>
        <w:rPr>
          <w:rFonts w:cs="Arial"/>
        </w:rPr>
      </w:pPr>
    </w:p>
    <w:p w:rsidR="00510C83" w:rsidRDefault="00510C83">
      <w:pPr>
        <w:rPr>
          <w:rFonts w:cs="Arial"/>
        </w:rPr>
      </w:pPr>
      <w:r>
        <w:tab/>
      </w:r>
      <w:r w:rsidR="00622A9E">
        <w:t xml:space="preserve">Pursuant to Section 205 of the Federal Power Act and Part 35 of the Commission’s regulations, 18 C.F.R. </w:t>
      </w:r>
      <w:r w:rsidR="00622A9E">
        <w:rPr>
          <w:rFonts w:cs="Arial"/>
        </w:rPr>
        <w:t>Part 35 (2009)</w:t>
      </w:r>
      <w:r w:rsidR="005508AC">
        <w:rPr>
          <w:rFonts w:cs="Arial"/>
        </w:rPr>
        <w:t xml:space="preserve">, Florida Power Corporation, doing business as Progress Energy Florida, Inc. (“PEF”), hereby tenders for filing revisions to </w:t>
      </w:r>
      <w:r w:rsidR="00452582">
        <w:rPr>
          <w:rFonts w:cs="Arial"/>
        </w:rPr>
        <w:t xml:space="preserve">the formula transmission rate (“Formula Rate”) </w:t>
      </w:r>
      <w:r w:rsidR="005F5773">
        <w:rPr>
          <w:rFonts w:cs="Arial"/>
        </w:rPr>
        <w:t xml:space="preserve">of </w:t>
      </w:r>
      <w:r w:rsidR="005508AC">
        <w:rPr>
          <w:rFonts w:cs="Arial"/>
        </w:rPr>
        <w:t xml:space="preserve">its Open Access Transmission Tariff (“OATT”) </w:t>
      </w:r>
      <w:r w:rsidR="00452582">
        <w:rPr>
          <w:rFonts w:cs="Arial"/>
        </w:rPr>
        <w:t xml:space="preserve">concerning the </w:t>
      </w:r>
      <w:r w:rsidR="005F5773">
        <w:rPr>
          <w:rFonts w:cs="Arial"/>
        </w:rPr>
        <w:t xml:space="preserve">treatment of </w:t>
      </w:r>
      <w:r w:rsidR="00452582">
        <w:rPr>
          <w:rFonts w:cs="Arial"/>
        </w:rPr>
        <w:t xml:space="preserve">new </w:t>
      </w:r>
      <w:r w:rsidR="005F5773">
        <w:rPr>
          <w:rFonts w:cs="Arial"/>
        </w:rPr>
        <w:t>transmission radials</w:t>
      </w:r>
      <w:r w:rsidR="00644E07">
        <w:rPr>
          <w:rFonts w:cs="Arial"/>
        </w:rPr>
        <w:t xml:space="preserve"> </w:t>
      </w:r>
      <w:r w:rsidR="00644E07" w:rsidRPr="00644E07">
        <w:rPr>
          <w:rFonts w:cs="Arial"/>
        </w:rPr>
        <w:t>commencing service after December 31, 2009.</w:t>
      </w:r>
      <w:r w:rsidR="005F5773" w:rsidRPr="00644E07">
        <w:rPr>
          <w:rFonts w:cs="Arial"/>
        </w:rPr>
        <w:t xml:space="preserve"> </w:t>
      </w:r>
      <w:r w:rsidR="005F5773">
        <w:rPr>
          <w:rFonts w:cs="Arial"/>
        </w:rPr>
        <w:t xml:space="preserve"> These revisions </w:t>
      </w:r>
      <w:r w:rsidR="00452582">
        <w:rPr>
          <w:rFonts w:cs="Arial"/>
        </w:rPr>
        <w:t xml:space="preserve">propose to </w:t>
      </w:r>
      <w:r w:rsidR="005F5773">
        <w:rPr>
          <w:rFonts w:cs="Arial"/>
        </w:rPr>
        <w:t xml:space="preserve">change the rate treatment for </w:t>
      </w:r>
      <w:r w:rsidR="00452582">
        <w:rPr>
          <w:rFonts w:cs="Arial"/>
        </w:rPr>
        <w:t xml:space="preserve">new </w:t>
      </w:r>
      <w:r w:rsidR="005F5773">
        <w:rPr>
          <w:rFonts w:cs="Arial"/>
        </w:rPr>
        <w:t xml:space="preserve">transmission radials </w:t>
      </w:r>
      <w:r w:rsidR="00463851">
        <w:rPr>
          <w:rFonts w:cs="Arial"/>
        </w:rPr>
        <w:t xml:space="preserve">by </w:t>
      </w:r>
      <w:r w:rsidR="00452582">
        <w:rPr>
          <w:rFonts w:cs="Arial"/>
        </w:rPr>
        <w:t xml:space="preserve">removing the costs of these radials </w:t>
      </w:r>
      <w:r w:rsidR="005F5773">
        <w:rPr>
          <w:rFonts w:cs="Arial"/>
        </w:rPr>
        <w:t xml:space="preserve">from the </w:t>
      </w:r>
      <w:r w:rsidR="00452582">
        <w:rPr>
          <w:rFonts w:cs="Arial"/>
        </w:rPr>
        <w:t xml:space="preserve">Formula Rate.  </w:t>
      </w:r>
      <w:r w:rsidR="00644E07">
        <w:rPr>
          <w:rFonts w:cs="Arial"/>
        </w:rPr>
        <w:t>The</w:t>
      </w:r>
      <w:r w:rsidR="00452582">
        <w:rPr>
          <w:rFonts w:cs="Arial"/>
        </w:rPr>
        <w:t xml:space="preserve"> costs of </w:t>
      </w:r>
      <w:r w:rsidR="00644E07">
        <w:rPr>
          <w:rFonts w:cs="Arial"/>
        </w:rPr>
        <w:t xml:space="preserve">a </w:t>
      </w:r>
      <w:r w:rsidR="00452582">
        <w:rPr>
          <w:rFonts w:cs="Arial"/>
        </w:rPr>
        <w:t xml:space="preserve">new </w:t>
      </w:r>
      <w:r w:rsidR="00644E07">
        <w:rPr>
          <w:rFonts w:cs="Arial"/>
        </w:rPr>
        <w:t xml:space="preserve">transmission </w:t>
      </w:r>
      <w:r w:rsidR="00452582">
        <w:rPr>
          <w:rFonts w:cs="Arial"/>
        </w:rPr>
        <w:t>radial</w:t>
      </w:r>
      <w:r w:rsidR="00644E07">
        <w:rPr>
          <w:rFonts w:cs="Arial"/>
        </w:rPr>
        <w:t xml:space="preserve"> constructed by PEF to serve</w:t>
      </w:r>
      <w:r w:rsidR="00452582">
        <w:rPr>
          <w:rFonts w:cs="Arial"/>
        </w:rPr>
        <w:t xml:space="preserve"> </w:t>
      </w:r>
      <w:r w:rsidR="00644E07">
        <w:rPr>
          <w:rFonts w:cs="Arial"/>
        </w:rPr>
        <w:t xml:space="preserve">an OATT transmission customer </w:t>
      </w:r>
      <w:r w:rsidR="00452582">
        <w:rPr>
          <w:rFonts w:cs="Arial"/>
        </w:rPr>
        <w:t xml:space="preserve">would be </w:t>
      </w:r>
      <w:r w:rsidR="005F5773">
        <w:rPr>
          <w:rFonts w:cs="Arial"/>
        </w:rPr>
        <w:t>direc</w:t>
      </w:r>
      <w:r w:rsidR="00D94616">
        <w:rPr>
          <w:rFonts w:cs="Arial"/>
        </w:rPr>
        <w:t>tly assign</w:t>
      </w:r>
      <w:r w:rsidR="00452582">
        <w:rPr>
          <w:rFonts w:cs="Arial"/>
        </w:rPr>
        <w:t>ed</w:t>
      </w:r>
      <w:r w:rsidR="00D94616">
        <w:rPr>
          <w:rFonts w:cs="Arial"/>
        </w:rPr>
        <w:t xml:space="preserve"> to </w:t>
      </w:r>
      <w:r w:rsidR="00644E07">
        <w:rPr>
          <w:rFonts w:cs="Arial"/>
        </w:rPr>
        <w:t>the OATT transmission customer</w:t>
      </w:r>
      <w:r w:rsidR="00D94616">
        <w:rPr>
          <w:rFonts w:cs="Arial"/>
        </w:rPr>
        <w:t xml:space="preserve"> receivin</w:t>
      </w:r>
      <w:r w:rsidR="00452582">
        <w:rPr>
          <w:rFonts w:cs="Arial"/>
        </w:rPr>
        <w:t>g the benefit of the radial.</w:t>
      </w:r>
    </w:p>
    <w:p w:rsidR="00D94616" w:rsidRDefault="00D94616">
      <w:pPr>
        <w:rPr>
          <w:rFonts w:cs="Arial"/>
        </w:rPr>
      </w:pPr>
    </w:p>
    <w:p w:rsidR="00D94616" w:rsidRDefault="00D94616">
      <w:pPr>
        <w:rPr>
          <w:rFonts w:cs="Arial"/>
        </w:rPr>
      </w:pPr>
      <w:r>
        <w:rPr>
          <w:rFonts w:cs="Arial"/>
        </w:rPr>
        <w:tab/>
        <w:t>PEF respectfully requests that the Commission act on its filing within sixty days after the date of</w:t>
      </w:r>
      <w:r w:rsidR="00055820">
        <w:rPr>
          <w:rFonts w:cs="Arial"/>
        </w:rPr>
        <w:t xml:space="preserve"> this</w:t>
      </w:r>
      <w:r>
        <w:rPr>
          <w:rFonts w:cs="Arial"/>
        </w:rPr>
        <w:t xml:space="preserve"> filing, which is __________, 2009.</w:t>
      </w:r>
    </w:p>
    <w:p w:rsidR="00D94616" w:rsidRDefault="00D94616">
      <w:pPr>
        <w:rPr>
          <w:rFonts w:cs="Arial"/>
        </w:rPr>
      </w:pPr>
    </w:p>
    <w:p w:rsidR="00D94616" w:rsidRDefault="00D94616" w:rsidP="00D94616">
      <w:pPr>
        <w:pStyle w:val="Heading1"/>
      </w:pPr>
      <w:r>
        <w:lastRenderedPageBreak/>
        <w:t>I.</w:t>
      </w:r>
      <w:r>
        <w:tab/>
        <w:t>Background</w:t>
      </w:r>
    </w:p>
    <w:p w:rsidR="00D94616" w:rsidRDefault="00D94616" w:rsidP="00D94616">
      <w:r>
        <w:tab/>
        <w:t xml:space="preserve">PEF is an investor-owned utility that provides generation, transmission and distribution services to retail customers in the State of Florida.  </w:t>
      </w:r>
      <w:r w:rsidR="002E2E5F">
        <w:t xml:space="preserve">It is also a power supplier for a number of wholesale customers in the State of Florida.  </w:t>
      </w:r>
      <w:r>
        <w:t>PEF provides open access transmission services pursuant to its OATT.</w:t>
      </w:r>
    </w:p>
    <w:p w:rsidR="00FF24B2" w:rsidRDefault="00FF24B2" w:rsidP="00D94616"/>
    <w:p w:rsidR="00452582" w:rsidRDefault="00FF24B2" w:rsidP="00D94616">
      <w:r>
        <w:tab/>
        <w:t>Under the current provisions of the PEF OATT</w:t>
      </w:r>
      <w:r w:rsidR="00452582">
        <w:t xml:space="preserve"> Formula Rate</w:t>
      </w:r>
      <w:r>
        <w:t xml:space="preserve">, the costs of </w:t>
      </w:r>
      <w:r w:rsidR="00452582">
        <w:t xml:space="preserve">all </w:t>
      </w:r>
      <w:r w:rsidR="00644E07">
        <w:t xml:space="preserve">of PEF’s </w:t>
      </w:r>
      <w:r>
        <w:t xml:space="preserve">transmission radials are recovered </w:t>
      </w:r>
      <w:r w:rsidR="00644E07">
        <w:t xml:space="preserve">through </w:t>
      </w:r>
      <w:r w:rsidR="00452582">
        <w:t xml:space="preserve">the </w:t>
      </w:r>
      <w:r>
        <w:t xml:space="preserve">Formula Rate, which is set forth in OATT Schedules 10.2 and 10.3.  </w:t>
      </w:r>
      <w:r w:rsidR="00644E07">
        <w:t>Therefore, t</w:t>
      </w:r>
      <w:r>
        <w:t xml:space="preserve">he costs </w:t>
      </w:r>
      <w:r w:rsidR="00452582">
        <w:t xml:space="preserve">of </w:t>
      </w:r>
      <w:r w:rsidR="00644E07">
        <w:t xml:space="preserve">PEF’s </w:t>
      </w:r>
      <w:r w:rsidR="00452582">
        <w:t xml:space="preserve">transmission radials </w:t>
      </w:r>
      <w:r w:rsidR="00644E07">
        <w:t xml:space="preserve">serving OATT transmission customers </w:t>
      </w:r>
      <w:r w:rsidR="00452582">
        <w:t xml:space="preserve">are </w:t>
      </w:r>
      <w:r>
        <w:t>not directly or otherwise assig</w:t>
      </w:r>
      <w:r w:rsidR="00452582">
        <w:t xml:space="preserve">ned to </w:t>
      </w:r>
      <w:r w:rsidR="00644E07">
        <w:t xml:space="preserve">these </w:t>
      </w:r>
      <w:r w:rsidR="00452582">
        <w:t>customers.</w:t>
      </w:r>
    </w:p>
    <w:p w:rsidR="00452582" w:rsidRDefault="00452582" w:rsidP="00D94616"/>
    <w:p w:rsidR="008B07A0" w:rsidRDefault="00166033" w:rsidP="00452582">
      <w:pPr>
        <w:ind w:firstLine="720"/>
        <w:rPr>
          <w:rFonts w:cs="Arial"/>
        </w:rPr>
      </w:pPr>
      <w:r>
        <w:t xml:space="preserve">In this filing, </w:t>
      </w:r>
      <w:r w:rsidR="00452582">
        <w:t xml:space="preserve">PEF proposes </w:t>
      </w:r>
      <w:r w:rsidR="00452582">
        <w:rPr>
          <w:rFonts w:cs="Arial"/>
        </w:rPr>
        <w:t xml:space="preserve">to change the </w:t>
      </w:r>
      <w:r w:rsidR="008B07A0">
        <w:rPr>
          <w:rFonts w:cs="Arial"/>
        </w:rPr>
        <w:t xml:space="preserve">rate </w:t>
      </w:r>
      <w:r w:rsidR="00452582">
        <w:rPr>
          <w:rFonts w:cs="Arial"/>
        </w:rPr>
        <w:t xml:space="preserve">treatment for new transmission radials commencing service after December 31, 2009 </w:t>
      </w:r>
      <w:r w:rsidR="009F2E23">
        <w:rPr>
          <w:rFonts w:cs="Arial"/>
        </w:rPr>
        <w:t xml:space="preserve">and any upgrades thereto </w:t>
      </w:r>
      <w:r w:rsidR="00644E07">
        <w:rPr>
          <w:rFonts w:cs="Arial"/>
        </w:rPr>
        <w:t xml:space="preserve">(referred to as “new transmission radials”) </w:t>
      </w:r>
      <w:r w:rsidR="00452582">
        <w:rPr>
          <w:rFonts w:cs="Arial"/>
        </w:rPr>
        <w:t xml:space="preserve">by removing the costs of these new </w:t>
      </w:r>
      <w:r w:rsidR="009F2E23">
        <w:rPr>
          <w:rFonts w:cs="Arial"/>
        </w:rPr>
        <w:t xml:space="preserve">transmission </w:t>
      </w:r>
      <w:r w:rsidR="00452582">
        <w:rPr>
          <w:rFonts w:cs="Arial"/>
        </w:rPr>
        <w:t xml:space="preserve">radials from the Formula Rate.  </w:t>
      </w:r>
      <w:r w:rsidR="009F2E23">
        <w:rPr>
          <w:rFonts w:cs="Arial"/>
        </w:rPr>
        <w:t>T</w:t>
      </w:r>
      <w:r w:rsidR="00452582">
        <w:rPr>
          <w:rFonts w:cs="Arial"/>
        </w:rPr>
        <w:t xml:space="preserve">he costs of new </w:t>
      </w:r>
      <w:r w:rsidR="009F2E23">
        <w:rPr>
          <w:rFonts w:cs="Arial"/>
        </w:rPr>
        <w:t xml:space="preserve">transmission </w:t>
      </w:r>
      <w:r w:rsidR="00452582">
        <w:rPr>
          <w:rFonts w:cs="Arial"/>
        </w:rPr>
        <w:t xml:space="preserve">radial </w:t>
      </w:r>
      <w:r w:rsidR="009F2E23">
        <w:rPr>
          <w:rFonts w:cs="Arial"/>
        </w:rPr>
        <w:t xml:space="preserve">constructed by PEF to serve an OATT transmission customer would be </w:t>
      </w:r>
      <w:r w:rsidR="00452582">
        <w:rPr>
          <w:rFonts w:cs="Arial"/>
        </w:rPr>
        <w:t xml:space="preserve">assigned to </w:t>
      </w:r>
      <w:r w:rsidR="009F2E23">
        <w:rPr>
          <w:rFonts w:cs="Arial"/>
        </w:rPr>
        <w:t xml:space="preserve">the OATT </w:t>
      </w:r>
      <w:r w:rsidR="00452582">
        <w:rPr>
          <w:rFonts w:cs="Arial"/>
        </w:rPr>
        <w:t>transmission customer receiving the benefits of the radial</w:t>
      </w:r>
      <w:r w:rsidR="008B07A0">
        <w:rPr>
          <w:rFonts w:cs="Arial"/>
        </w:rPr>
        <w:t>.</w:t>
      </w:r>
    </w:p>
    <w:p w:rsidR="008B07A0" w:rsidRDefault="008B07A0" w:rsidP="00452582">
      <w:pPr>
        <w:ind w:firstLine="720"/>
        <w:rPr>
          <w:rFonts w:cs="Arial"/>
        </w:rPr>
      </w:pPr>
    </w:p>
    <w:p w:rsidR="00BB12C9" w:rsidRDefault="008B07A0" w:rsidP="00452582">
      <w:pPr>
        <w:ind w:firstLine="720"/>
        <w:rPr>
          <w:rFonts w:cs="Arial"/>
        </w:rPr>
      </w:pPr>
      <w:r>
        <w:rPr>
          <w:rFonts w:cs="Arial"/>
        </w:rPr>
        <w:t xml:space="preserve">Therefore, this filing would establish a bifurcated approach to the rate treatment of transmission radials under the OATT Formula Rate. </w:t>
      </w:r>
      <w:r w:rsidR="001E0279">
        <w:t xml:space="preserve"> The costs of transmission radial facilities commencing service before January 1, 2010, and upgrades thereto</w:t>
      </w:r>
      <w:r w:rsidR="009F2E23">
        <w:t xml:space="preserve"> (referred to as “grandfathered transmission radials”)</w:t>
      </w:r>
      <w:r w:rsidR="001E0279">
        <w:t xml:space="preserve">, will continue to be recovered in </w:t>
      </w:r>
      <w:r>
        <w:t xml:space="preserve">the OATT </w:t>
      </w:r>
      <w:r w:rsidR="001E0279">
        <w:t>Formula Rate.</w:t>
      </w:r>
      <w:r>
        <w:t xml:space="preserve">  The costs of </w:t>
      </w:r>
      <w:r w:rsidR="009F2E23">
        <w:t xml:space="preserve">new transmission </w:t>
      </w:r>
      <w:r>
        <w:t>radial</w:t>
      </w:r>
      <w:r w:rsidR="009F2E23">
        <w:t xml:space="preserve">s (i.e., transmission radials </w:t>
      </w:r>
      <w:r>
        <w:t>commencing service after December 31, 2009, and upgrades thereto</w:t>
      </w:r>
      <w:r w:rsidR="009F2E23">
        <w:t>)</w:t>
      </w:r>
      <w:r>
        <w:t xml:space="preserve"> will </w:t>
      </w:r>
      <w:r w:rsidR="00713300">
        <w:t xml:space="preserve">be </w:t>
      </w:r>
      <w:r>
        <w:rPr>
          <w:rFonts w:cs="Arial"/>
        </w:rPr>
        <w:t>remov</w:t>
      </w:r>
      <w:r w:rsidR="00713300">
        <w:rPr>
          <w:rFonts w:cs="Arial"/>
        </w:rPr>
        <w:t>ed</w:t>
      </w:r>
      <w:r>
        <w:rPr>
          <w:rFonts w:cs="Arial"/>
        </w:rPr>
        <w:t xml:space="preserve"> from the Formula Rate</w:t>
      </w:r>
      <w:r w:rsidR="00713300">
        <w:rPr>
          <w:rFonts w:cs="Arial"/>
        </w:rPr>
        <w:t xml:space="preserve"> and</w:t>
      </w:r>
      <w:r w:rsidR="009F2E23">
        <w:rPr>
          <w:rFonts w:cs="Arial"/>
        </w:rPr>
        <w:t>, to the extent the new transmission radial was constructed by PEF to serve</w:t>
      </w:r>
      <w:r w:rsidR="00713300">
        <w:rPr>
          <w:rFonts w:cs="Arial"/>
        </w:rPr>
        <w:t xml:space="preserve"> </w:t>
      </w:r>
      <w:r w:rsidR="009F2E23">
        <w:rPr>
          <w:rFonts w:cs="Arial"/>
        </w:rPr>
        <w:t xml:space="preserve">an OATT transmission customer, the new transmission radial would be </w:t>
      </w:r>
      <w:r>
        <w:rPr>
          <w:rFonts w:cs="Arial"/>
        </w:rPr>
        <w:t xml:space="preserve">directly assigned to </w:t>
      </w:r>
      <w:r w:rsidR="009F2E23">
        <w:rPr>
          <w:rFonts w:cs="Arial"/>
        </w:rPr>
        <w:t>the OATT transmission</w:t>
      </w:r>
      <w:r>
        <w:rPr>
          <w:rFonts w:cs="Arial"/>
        </w:rPr>
        <w:t xml:space="preserve"> customer receiving the benefits of the radial.</w:t>
      </w:r>
      <w:r w:rsidR="00713300">
        <w:rPr>
          <w:rFonts w:cs="Arial"/>
        </w:rPr>
        <w:t xml:space="preserve">  </w:t>
      </w:r>
    </w:p>
    <w:p w:rsidR="00BB12C9" w:rsidRDefault="00BB12C9" w:rsidP="00452582">
      <w:pPr>
        <w:ind w:firstLine="720"/>
        <w:rPr>
          <w:rFonts w:cs="Arial"/>
        </w:rPr>
      </w:pPr>
    </w:p>
    <w:p w:rsidR="00FF24B2" w:rsidRDefault="00713300" w:rsidP="00452582">
      <w:pPr>
        <w:ind w:firstLine="720"/>
      </w:pPr>
      <w:r>
        <w:rPr>
          <w:rFonts w:cs="Arial"/>
        </w:rPr>
        <w:t xml:space="preserve">This filing provides PEF and its OATT transmission customers with comparable treatment </w:t>
      </w:r>
      <w:r w:rsidR="00BB12C9">
        <w:rPr>
          <w:rFonts w:cs="Arial"/>
        </w:rPr>
        <w:t xml:space="preserve">of grandfathered transmission radials and new transmission radials - </w:t>
      </w:r>
      <w:r>
        <w:rPr>
          <w:rFonts w:cs="Arial"/>
        </w:rPr>
        <w:t>before and after the January 1, 2010 cut-off date.  It also provides notice to its OATT transmission customers that PEF will directly assign the costs of new transmission radials constructed by PEF to serve an OATT transmission customer.</w:t>
      </w:r>
    </w:p>
    <w:p w:rsidR="00713300" w:rsidRPr="00F91639" w:rsidRDefault="00713300" w:rsidP="001C4C76">
      <w:pPr>
        <w:pStyle w:val="Heading1"/>
        <w:rPr>
          <w:b w:val="0"/>
          <w:sz w:val="24"/>
          <w:szCs w:val="24"/>
        </w:rPr>
      </w:pPr>
    </w:p>
    <w:p w:rsidR="00D94616" w:rsidRDefault="001C4C76" w:rsidP="001C4C76">
      <w:pPr>
        <w:pStyle w:val="Heading1"/>
      </w:pPr>
      <w:r>
        <w:t>II.</w:t>
      </w:r>
      <w:r>
        <w:tab/>
        <w:t>Instant Filing</w:t>
      </w:r>
      <w:r w:rsidR="00D94616">
        <w:t xml:space="preserve"> </w:t>
      </w:r>
    </w:p>
    <w:p w:rsidR="001C4C76" w:rsidRDefault="001C4C76" w:rsidP="001C4C76">
      <w:r>
        <w:tab/>
      </w:r>
      <w:r w:rsidR="00713300">
        <w:t xml:space="preserve">To implement its rate treatment for new transmission radials, </w:t>
      </w:r>
      <w:r w:rsidR="001E0279">
        <w:t xml:space="preserve">PEF proposes </w:t>
      </w:r>
      <w:r w:rsidR="00713300">
        <w:t>two</w:t>
      </w:r>
      <w:r w:rsidR="001E0279">
        <w:t xml:space="preserve"> new </w:t>
      </w:r>
      <w:r w:rsidR="0032114D">
        <w:t xml:space="preserve">OATT </w:t>
      </w:r>
      <w:r w:rsidR="001E0279">
        <w:t xml:space="preserve">attachments </w:t>
      </w:r>
      <w:r w:rsidR="008E42B6">
        <w:t xml:space="preserve">and </w:t>
      </w:r>
      <w:r w:rsidR="00713300">
        <w:t xml:space="preserve">revised </w:t>
      </w:r>
      <w:r w:rsidR="008E42B6">
        <w:t xml:space="preserve">OATT </w:t>
      </w:r>
      <w:r w:rsidR="00713300">
        <w:t>Formula Rate sheets</w:t>
      </w:r>
      <w:r w:rsidR="001E0279">
        <w:t xml:space="preserve">.  </w:t>
      </w:r>
      <w:r w:rsidR="008E42B6">
        <w:t xml:space="preserve">OATT </w:t>
      </w:r>
      <w:r w:rsidR="001E0279">
        <w:t xml:space="preserve">Attachment U </w:t>
      </w:r>
      <w:r w:rsidR="008E42B6">
        <w:lastRenderedPageBreak/>
        <w:t xml:space="preserve">includes the </w:t>
      </w:r>
      <w:r w:rsidR="001E0279">
        <w:t xml:space="preserve">general </w:t>
      </w:r>
      <w:r w:rsidR="008E42B6">
        <w:t xml:space="preserve">provisions concerning the </w:t>
      </w:r>
      <w:r w:rsidR="001E0279">
        <w:t xml:space="preserve">rate treatment </w:t>
      </w:r>
      <w:r w:rsidR="00713300">
        <w:t xml:space="preserve">for </w:t>
      </w:r>
      <w:r w:rsidR="0032114D">
        <w:t xml:space="preserve">grandfathered transmission radials and new transmission radials.  </w:t>
      </w:r>
      <w:r w:rsidR="008E42B6">
        <w:t xml:space="preserve">OATT </w:t>
      </w:r>
      <w:r w:rsidR="001E0279">
        <w:t xml:space="preserve">Attachment U.1 </w:t>
      </w:r>
      <w:r w:rsidR="008E42B6">
        <w:t>includes the revised OATT Formula Rate sheets required to exclude from the Formula Rate the costs of new transmission radials that are constructed by PEF to serve PEF’s retail load</w:t>
      </w:r>
      <w:r w:rsidR="001E0279">
        <w:t xml:space="preserve">.  </w:t>
      </w:r>
      <w:r w:rsidR="008E42B6">
        <w:t xml:space="preserve">OATT </w:t>
      </w:r>
      <w:r w:rsidR="001E0279">
        <w:t>Attachment U.2 establishes the methodology</w:t>
      </w:r>
      <w:r w:rsidR="0058616F">
        <w:t xml:space="preserve"> </w:t>
      </w:r>
      <w:r w:rsidR="008E42B6">
        <w:t>that PEF will use to directly assigned the lump-sum costs of new transmission radials that are constructed by PEF to serve an OATT transmission customer.</w:t>
      </w:r>
      <w:r w:rsidR="0032114D">
        <w:t xml:space="preserve">  The two new OATT attachments and revised OATT Formula Rate sheets are described in greater detail below.</w:t>
      </w:r>
    </w:p>
    <w:p w:rsidR="00F91639" w:rsidRDefault="00F91639" w:rsidP="001C4C76"/>
    <w:p w:rsidR="00F91639" w:rsidRPr="00F91639" w:rsidRDefault="00F91639" w:rsidP="00F91639">
      <w:pPr>
        <w:numPr>
          <w:ilvl w:val="0"/>
          <w:numId w:val="2"/>
        </w:numPr>
        <w:ind w:left="1440" w:hanging="720"/>
        <w:rPr>
          <w:b/>
          <w:smallCaps/>
          <w:sz w:val="26"/>
          <w:szCs w:val="26"/>
        </w:rPr>
      </w:pPr>
      <w:r w:rsidRPr="00F91639">
        <w:rPr>
          <w:b/>
          <w:smallCaps/>
          <w:sz w:val="26"/>
          <w:szCs w:val="26"/>
        </w:rPr>
        <w:t>OATT Attachment U</w:t>
      </w:r>
    </w:p>
    <w:p w:rsidR="00F91639" w:rsidRDefault="00F91639" w:rsidP="001C4C76"/>
    <w:p w:rsidR="004F4561" w:rsidRDefault="00536504" w:rsidP="00A754FE">
      <w:pPr>
        <w:ind w:firstLine="720"/>
      </w:pPr>
      <w:r>
        <w:t xml:space="preserve">OATT </w:t>
      </w:r>
      <w:r w:rsidR="009D6B09">
        <w:t xml:space="preserve">Attachment U </w:t>
      </w:r>
      <w:r>
        <w:t>desc</w:t>
      </w:r>
      <w:r w:rsidR="009D6B09">
        <w:t xml:space="preserve">ribes PEF’s proposed rate treatment for transmission radial facilities.  </w:t>
      </w:r>
      <w:r w:rsidR="003E3964">
        <w:t xml:space="preserve">The costs </w:t>
      </w:r>
      <w:r w:rsidR="00A754FE">
        <w:t xml:space="preserve">of </w:t>
      </w:r>
      <w:r w:rsidR="003E3964">
        <w:t>grandfathered transmission radials</w:t>
      </w:r>
      <w:r w:rsidR="002C405E">
        <w:t xml:space="preserve"> </w:t>
      </w:r>
      <w:r w:rsidR="003E3964">
        <w:t xml:space="preserve">will </w:t>
      </w:r>
      <w:r w:rsidR="002C405E">
        <w:t xml:space="preserve">continue </w:t>
      </w:r>
      <w:r w:rsidR="003E3964">
        <w:t>be recovered in PEF’s Formula Rate, which is set forth in Schedules 10.2 and 10.3 of the PEF OATT.</w:t>
      </w:r>
      <w:r w:rsidR="00A754FE">
        <w:rPr>
          <w:rStyle w:val="FootnoteReference"/>
        </w:rPr>
        <w:footnoteReference w:id="2"/>
      </w:r>
      <w:r w:rsidR="006D2CDC">
        <w:rPr>
          <w:rStyle w:val="FootnoteReference"/>
        </w:rPr>
        <w:footnoteReference w:id="3"/>
      </w:r>
      <w:r w:rsidR="003E3964">
        <w:t xml:space="preserve">  </w:t>
      </w:r>
      <w:r w:rsidR="002104F8">
        <w:t>The costs of new transmission radials will be excluded from the base rates for transmission services under PEF’s Formula Rate.</w:t>
      </w:r>
      <w:r w:rsidR="005C0730">
        <w:rPr>
          <w:rStyle w:val="FootnoteReference"/>
        </w:rPr>
        <w:footnoteReference w:id="4"/>
      </w:r>
      <w:r w:rsidR="002104F8">
        <w:t xml:space="preserve">  </w:t>
      </w:r>
      <w:r w:rsidR="00A754FE">
        <w:t>Attachment U also provides that PEF will assess an OATT transmission customer with a total lump-sum payment to recover the costs of any new transmission radial constructed by PEF to serve the customer’s load, unless another payment method is mutually agreeable to PEF and the customer.</w:t>
      </w:r>
      <w:r w:rsidR="00A754FE">
        <w:rPr>
          <w:rStyle w:val="FootnoteReference"/>
        </w:rPr>
        <w:footnoteReference w:id="5"/>
      </w:r>
      <w:r w:rsidR="00A754FE">
        <w:t xml:space="preserve"> </w:t>
      </w:r>
      <w:r w:rsidR="002104F8">
        <w:t>If some or all of a new transmission radial is later converted to an integrated transmission facility</w:t>
      </w:r>
      <w:r w:rsidR="00D37971">
        <w:t>, PEF’s cost to integrate the facility and the unrecovered cost of the facility would be recovered in PEF’s Formula Rate.</w:t>
      </w:r>
      <w:r w:rsidR="005C0730">
        <w:rPr>
          <w:rStyle w:val="FootnoteReference"/>
        </w:rPr>
        <w:footnoteReference w:id="6"/>
      </w:r>
      <w:r w:rsidR="00D37971">
        <w:t xml:space="preserve">  </w:t>
      </w:r>
      <w:r w:rsidR="006D2CDC">
        <w:t xml:space="preserve">If a </w:t>
      </w:r>
      <w:r w:rsidR="00A754FE">
        <w:t>OATT</w:t>
      </w:r>
      <w:r w:rsidR="00877333">
        <w:t xml:space="preserve"> </w:t>
      </w:r>
      <w:r w:rsidR="006D2CDC">
        <w:t xml:space="preserve">transmission customer constructs and owns a new transmission radial line to serve its customer load, PEF may </w:t>
      </w:r>
      <w:r w:rsidR="00A754FE">
        <w:t xml:space="preserve">agree to </w:t>
      </w:r>
      <w:r w:rsidR="006D2CDC">
        <w:t>operate and/or maintain the radial pursuant to an operating and maintenance agreement that fully compensates PEF for the undertaking.</w:t>
      </w:r>
      <w:r w:rsidR="005C0730">
        <w:rPr>
          <w:rStyle w:val="FootnoteReference"/>
        </w:rPr>
        <w:footnoteReference w:id="7"/>
      </w:r>
      <w:r w:rsidR="006D2CDC">
        <w:t xml:space="preserve">  </w:t>
      </w:r>
    </w:p>
    <w:p w:rsidR="00747A3D" w:rsidRDefault="00F66FC6" w:rsidP="001C4C76">
      <w:r>
        <w:tab/>
      </w:r>
    </w:p>
    <w:p w:rsidR="00F91639" w:rsidRDefault="00747A3D" w:rsidP="001C4C76">
      <w:r>
        <w:br w:type="page"/>
      </w:r>
    </w:p>
    <w:p w:rsidR="00F91639" w:rsidRPr="00F91639" w:rsidRDefault="00F91639" w:rsidP="00F91639">
      <w:pPr>
        <w:numPr>
          <w:ilvl w:val="0"/>
          <w:numId w:val="2"/>
        </w:numPr>
        <w:ind w:left="1440" w:hanging="720"/>
        <w:rPr>
          <w:b/>
          <w:smallCaps/>
          <w:sz w:val="26"/>
          <w:szCs w:val="26"/>
        </w:rPr>
      </w:pPr>
      <w:r w:rsidRPr="00F91639">
        <w:rPr>
          <w:b/>
          <w:smallCaps/>
          <w:sz w:val="26"/>
          <w:szCs w:val="26"/>
        </w:rPr>
        <w:t>OATT Attachment U</w:t>
      </w:r>
      <w:r>
        <w:rPr>
          <w:b/>
          <w:smallCaps/>
          <w:sz w:val="26"/>
          <w:szCs w:val="26"/>
        </w:rPr>
        <w:t>.1</w:t>
      </w:r>
    </w:p>
    <w:p w:rsidR="00F91639" w:rsidRDefault="00F91639" w:rsidP="001C4C76"/>
    <w:p w:rsidR="004F4561" w:rsidRDefault="000C6031" w:rsidP="00F91639">
      <w:pPr>
        <w:ind w:firstLine="720"/>
      </w:pPr>
      <w:r>
        <w:t xml:space="preserve">OATT </w:t>
      </w:r>
      <w:r w:rsidR="00F66FC6">
        <w:t xml:space="preserve">Attachment U.1 </w:t>
      </w:r>
      <w:r>
        <w:t>c</w:t>
      </w:r>
      <w:r w:rsidR="00F66FC6">
        <w:t xml:space="preserve">ontains changes to the PEF Formula Rate to exclude the costs of </w:t>
      </w:r>
      <w:r>
        <w:t xml:space="preserve">new transmission </w:t>
      </w:r>
      <w:r w:rsidR="00F66FC6">
        <w:t>radial</w:t>
      </w:r>
      <w:r>
        <w:t>s</w:t>
      </w:r>
      <w:r w:rsidR="00F66FC6">
        <w:t xml:space="preserve"> </w:t>
      </w:r>
      <w:r>
        <w:t>constructed by PEF to serve PEF retail load</w:t>
      </w:r>
      <w:r w:rsidR="00F66FC6">
        <w:t xml:space="preserve">.  </w:t>
      </w:r>
      <w:r w:rsidR="00DF7D60">
        <w:t>As indicated in Attachment U, Section b(ii), PEF anticipates that the costs of most</w:t>
      </w:r>
      <w:r>
        <w:t xml:space="preserve"> new </w:t>
      </w:r>
      <w:r w:rsidR="00DF7D60">
        <w:t>transmission radial facilities constructed by PEF to serve a</w:t>
      </w:r>
      <w:r>
        <w:t>n OATT transmission customer</w:t>
      </w:r>
      <w:r w:rsidR="00DF7D60">
        <w:t xml:space="preserve">’s load will be assessed to the customer </w:t>
      </w:r>
      <w:r>
        <w:t xml:space="preserve">through a </w:t>
      </w:r>
      <w:r w:rsidR="00DF7D60">
        <w:t>total lump-sum payment</w:t>
      </w:r>
      <w:r>
        <w:t>, unless another payment method is mutually agreeable to PEF and the customer</w:t>
      </w:r>
      <w:r w:rsidR="00DF7D60">
        <w:t xml:space="preserve">.  As a result, the proposed </w:t>
      </w:r>
      <w:r>
        <w:t>changes to the PEF</w:t>
      </w:r>
      <w:r w:rsidR="00DF7D60">
        <w:t xml:space="preserve"> </w:t>
      </w:r>
      <w:r>
        <w:t>F</w:t>
      </w:r>
      <w:r w:rsidR="00DF7D60">
        <w:t xml:space="preserve">ormula </w:t>
      </w:r>
      <w:r>
        <w:t>R</w:t>
      </w:r>
      <w:r w:rsidR="00DF7D60">
        <w:t xml:space="preserve">ate exclude </w:t>
      </w:r>
      <w:r w:rsidR="00392F09">
        <w:t xml:space="preserve">only </w:t>
      </w:r>
      <w:r w:rsidR="00DF7D60">
        <w:t xml:space="preserve">the costs of </w:t>
      </w:r>
      <w:r>
        <w:t>new transmission radials serving PEF retail load</w:t>
      </w:r>
      <w:r w:rsidR="00DF7D60">
        <w:t xml:space="preserve">.  However, </w:t>
      </w:r>
      <w:r>
        <w:t xml:space="preserve">if </w:t>
      </w:r>
      <w:r w:rsidR="00DF7D60">
        <w:t xml:space="preserve">PEF </w:t>
      </w:r>
      <w:r>
        <w:t xml:space="preserve">should </w:t>
      </w:r>
      <w:r w:rsidR="00DF7D60">
        <w:t xml:space="preserve">construct and own </w:t>
      </w:r>
      <w:r>
        <w:t xml:space="preserve">a new transmission radial serving an OATT transmission customer’s load and PEF and the customer agree to another payment method for the radial than the lump-sum payment approach, </w:t>
      </w:r>
      <w:r w:rsidR="00DF7D60">
        <w:t xml:space="preserve">PEF will make a Section 205 </w:t>
      </w:r>
      <w:r>
        <w:t>f</w:t>
      </w:r>
      <w:r w:rsidR="00DF7D60">
        <w:t>iling to amend its Formula Rate to remove the costs associated with these radials from the calculation of the OATT base rates.</w:t>
      </w:r>
      <w:r w:rsidR="00DF7D60">
        <w:rPr>
          <w:rStyle w:val="FootnoteReference"/>
        </w:rPr>
        <w:footnoteReference w:id="8"/>
      </w:r>
    </w:p>
    <w:p w:rsidR="006B34E8" w:rsidRDefault="006B34E8" w:rsidP="00F91639">
      <w:pPr>
        <w:ind w:firstLine="720"/>
      </w:pPr>
    </w:p>
    <w:p w:rsidR="006B34E8" w:rsidRDefault="006B34E8" w:rsidP="00F91639">
      <w:pPr>
        <w:ind w:firstLine="720"/>
      </w:pPr>
      <w:r>
        <w:t xml:space="preserve">PEF has </w:t>
      </w:r>
      <w:r w:rsidR="002C36F0">
        <w:t xml:space="preserve">created a separate OATT Attachment U.2 with </w:t>
      </w:r>
      <w:r w:rsidR="0027071D">
        <w:t xml:space="preserve">a duplicate copy of </w:t>
      </w:r>
      <w:r w:rsidR="002C36F0">
        <w:t xml:space="preserve">PEF’s OATT Formula Rate in order to highlight the changes to the Formula Rate to reflect the rate treatment for new transmission radials.  In this filing, PEF also submits clean and redlined rate sheets </w:t>
      </w:r>
      <w:r w:rsidR="0027071D">
        <w:t>for PEF’s actual OATT Formula Rate sheets.</w:t>
      </w:r>
      <w:r w:rsidR="002C5F3C">
        <w:rPr>
          <w:rStyle w:val="FootnoteReference"/>
        </w:rPr>
        <w:footnoteReference w:id="9"/>
      </w:r>
    </w:p>
    <w:p w:rsidR="00392F09" w:rsidRDefault="00392F09" w:rsidP="001C4C76"/>
    <w:p w:rsidR="00AE53CB" w:rsidRPr="00F91639" w:rsidRDefault="00AE53CB" w:rsidP="00AE53CB">
      <w:pPr>
        <w:numPr>
          <w:ilvl w:val="0"/>
          <w:numId w:val="2"/>
        </w:numPr>
        <w:ind w:left="1440" w:hanging="720"/>
        <w:rPr>
          <w:b/>
          <w:smallCaps/>
          <w:sz w:val="26"/>
          <w:szCs w:val="26"/>
        </w:rPr>
      </w:pPr>
      <w:r w:rsidRPr="00F91639">
        <w:rPr>
          <w:b/>
          <w:smallCaps/>
          <w:sz w:val="26"/>
          <w:szCs w:val="26"/>
        </w:rPr>
        <w:t>OATT Attachment U</w:t>
      </w:r>
      <w:r>
        <w:rPr>
          <w:b/>
          <w:smallCaps/>
          <w:sz w:val="26"/>
          <w:szCs w:val="26"/>
        </w:rPr>
        <w:t>.2</w:t>
      </w:r>
    </w:p>
    <w:p w:rsidR="00AE53CB" w:rsidRDefault="00AE53CB" w:rsidP="001C4C76"/>
    <w:p w:rsidR="00392F09" w:rsidRDefault="003952EF" w:rsidP="00AE53CB">
      <w:pPr>
        <w:ind w:firstLine="720"/>
      </w:pPr>
      <w:r w:rsidRPr="008F63CC">
        <w:rPr>
          <w:rFonts w:cs="Arial"/>
        </w:rPr>
        <w:t xml:space="preserve">OATT Attachment U.2 establishes the methodology that PEF will use to directly assign costs of new transmission radials that are constructed by PEF to serve an OATT transmission customer.  Specifically, </w:t>
      </w:r>
      <w:r w:rsidR="001273CE" w:rsidRPr="008F63CC">
        <w:rPr>
          <w:rFonts w:cs="Arial"/>
        </w:rPr>
        <w:t xml:space="preserve">Attachment U.2 provides that if and to the extent PEF constructs and owns a </w:t>
      </w:r>
      <w:r w:rsidRPr="008F63CC">
        <w:rPr>
          <w:rFonts w:cs="Arial"/>
        </w:rPr>
        <w:t xml:space="preserve">new </w:t>
      </w:r>
      <w:r w:rsidR="001273CE" w:rsidRPr="008F63CC">
        <w:rPr>
          <w:rFonts w:cs="Arial"/>
        </w:rPr>
        <w:t>tran</w:t>
      </w:r>
      <w:r w:rsidRPr="008F63CC">
        <w:rPr>
          <w:rFonts w:cs="Arial"/>
        </w:rPr>
        <w:t xml:space="preserve">smission radial to serve an OATT </w:t>
      </w:r>
      <w:r w:rsidR="001273CE" w:rsidRPr="008F63CC">
        <w:rPr>
          <w:rFonts w:cs="Arial"/>
        </w:rPr>
        <w:t xml:space="preserve">transmission customer, </w:t>
      </w:r>
      <w:r w:rsidRPr="008F63CC">
        <w:rPr>
          <w:rFonts w:cs="Arial"/>
        </w:rPr>
        <w:t>PEF will assess a total lump-sum payment to recover the capital costs of such facility, unless another payment method is mutually agreeable to PEF and the customer, plus an operation and maintenance (“O&amp;M”) charge pursuant to an O&amp;M agreement.</w:t>
      </w:r>
      <w:r w:rsidR="008F63CC" w:rsidRPr="008F63CC">
        <w:rPr>
          <w:rStyle w:val="FootnoteReference"/>
          <w:rFonts w:cs="Arial"/>
        </w:rPr>
        <w:footnoteReference w:id="10"/>
      </w:r>
      <w:r w:rsidRPr="008F63CC">
        <w:rPr>
          <w:rFonts w:cs="Arial"/>
        </w:rPr>
        <w:t xml:space="preserve">  </w:t>
      </w:r>
      <w:r w:rsidR="00E60AF1" w:rsidRPr="008F63CC">
        <w:rPr>
          <w:rFonts w:cs="Arial"/>
        </w:rPr>
        <w:t xml:space="preserve">If </w:t>
      </w:r>
      <w:r w:rsidR="008F63CC">
        <w:rPr>
          <w:rFonts w:cs="Arial"/>
        </w:rPr>
        <w:t xml:space="preserve">the </w:t>
      </w:r>
      <w:r w:rsidRPr="008F63CC">
        <w:rPr>
          <w:rFonts w:cs="Arial"/>
        </w:rPr>
        <w:t>OATT</w:t>
      </w:r>
      <w:r w:rsidR="00E60AF1" w:rsidRPr="008F63CC">
        <w:rPr>
          <w:rFonts w:cs="Arial"/>
        </w:rPr>
        <w:t xml:space="preserve"> transmission customer elects to construct and own a </w:t>
      </w:r>
      <w:r w:rsidRPr="008F63CC">
        <w:rPr>
          <w:rFonts w:cs="Arial"/>
        </w:rPr>
        <w:t xml:space="preserve">new </w:t>
      </w:r>
      <w:r w:rsidR="00E60AF1" w:rsidRPr="008F63CC">
        <w:rPr>
          <w:rFonts w:cs="Arial"/>
        </w:rPr>
        <w:t xml:space="preserve">transmission radial to serve its load, it may request, and PEF may agree, that PEF will operate and/or maintain the line pursuant to an O&amp;M agreement that fully compensates </w:t>
      </w:r>
      <w:r w:rsidR="00E60AF1" w:rsidRPr="008F63CC">
        <w:rPr>
          <w:rFonts w:cs="Arial"/>
        </w:rPr>
        <w:lastRenderedPageBreak/>
        <w:t>PEF for the costs</w:t>
      </w:r>
      <w:r w:rsidR="00E60AF1">
        <w:t xml:space="preserve"> associated with the undertaking.</w:t>
      </w:r>
      <w:r w:rsidR="00B36DB0">
        <w:rPr>
          <w:rStyle w:val="FootnoteReference"/>
        </w:rPr>
        <w:footnoteReference w:id="11"/>
      </w:r>
      <w:r w:rsidR="00E60AF1">
        <w:t xml:space="preserve">  </w:t>
      </w:r>
      <w:r w:rsidR="00102523">
        <w:t>The lump-sum payment and charge for O&amp;M costs will be determined at the time such charges are implemented</w:t>
      </w:r>
      <w:r w:rsidR="00B3794D">
        <w:t xml:space="preserve"> in accordance with accepted ratemaking principles, either </w:t>
      </w:r>
      <w:r w:rsidR="00102523">
        <w:t>by mutual agreement,</w:t>
      </w:r>
      <w:r w:rsidR="00B3794D">
        <w:rPr>
          <w:rStyle w:val="FootnoteReference"/>
        </w:rPr>
        <w:footnoteReference w:id="12"/>
      </w:r>
      <w:r w:rsidR="00102523">
        <w:t xml:space="preserve"> or</w:t>
      </w:r>
      <w:r w:rsidR="00B3794D">
        <w:t>, if such agreement is not possible</w:t>
      </w:r>
      <w:r w:rsidR="00DD7630">
        <w:t>,</w:t>
      </w:r>
      <w:r w:rsidR="00B3794D">
        <w:t xml:space="preserve"> </w:t>
      </w:r>
      <w:r w:rsidR="00102523">
        <w:t>by a Section 205 or Section 206 filing with the Commission.</w:t>
      </w:r>
      <w:r w:rsidR="00B36DB0">
        <w:rPr>
          <w:rStyle w:val="FootnoteReference"/>
        </w:rPr>
        <w:footnoteReference w:id="13"/>
      </w:r>
      <w:r w:rsidR="00102523">
        <w:t xml:space="preserve">  </w:t>
      </w:r>
      <w:r w:rsidR="00102523" w:rsidRPr="00747A3D">
        <w:rPr>
          <w:rFonts w:cs="Arial"/>
        </w:rPr>
        <w:t>Attachment U.2 also provides that a lump-sum payment shall be grossed up for income taxes if PEF is required under applicable law to do so.</w:t>
      </w:r>
      <w:r w:rsidR="00B36DB0" w:rsidRPr="00747A3D">
        <w:rPr>
          <w:rStyle w:val="FootnoteReference"/>
          <w:rFonts w:cs="Arial"/>
        </w:rPr>
        <w:footnoteReference w:id="14"/>
      </w:r>
      <w:r w:rsidR="00102523" w:rsidRPr="00747A3D">
        <w:rPr>
          <w:rFonts w:cs="Arial"/>
        </w:rPr>
        <w:t xml:space="preserve">  If a </w:t>
      </w:r>
      <w:r w:rsidR="00DD7630" w:rsidRPr="00747A3D">
        <w:rPr>
          <w:rFonts w:cs="Arial"/>
        </w:rPr>
        <w:t xml:space="preserve">OATT </w:t>
      </w:r>
      <w:r w:rsidR="00102523" w:rsidRPr="00747A3D">
        <w:rPr>
          <w:rFonts w:cs="Arial"/>
        </w:rPr>
        <w:t>transmission customer requests, PEF will seek a private letter ruling from the Internal Revenue Service approving tax-free treatment for the lump-sum payment.</w:t>
      </w:r>
      <w:r w:rsidR="00B36DB0" w:rsidRPr="00747A3D">
        <w:rPr>
          <w:rStyle w:val="FootnoteReference"/>
          <w:rFonts w:cs="Arial"/>
        </w:rPr>
        <w:footnoteReference w:id="15"/>
      </w:r>
      <w:r w:rsidR="00102523" w:rsidRPr="00747A3D">
        <w:rPr>
          <w:rFonts w:cs="Arial"/>
        </w:rPr>
        <w:t xml:space="preserve">  If a </w:t>
      </w:r>
      <w:r w:rsidR="00DD7630" w:rsidRPr="00747A3D">
        <w:rPr>
          <w:rFonts w:cs="Arial"/>
        </w:rPr>
        <w:t>new transmission radial</w:t>
      </w:r>
      <w:r w:rsidR="00102523" w:rsidRPr="00747A3D">
        <w:rPr>
          <w:rFonts w:cs="Arial"/>
        </w:rPr>
        <w:t xml:space="preserve"> that was subject to a lump-sum payment </w:t>
      </w:r>
      <w:r w:rsidR="00747A3D" w:rsidRPr="00747A3D">
        <w:rPr>
          <w:rFonts w:cs="Arial"/>
        </w:rPr>
        <w:t>experiences a change in characteristics such that it is no longer deemed a non-integrated radial line and instead meets FERC’s standard for holding that the facility is integrated with the Transmission Provider’s Transmission System</w:t>
      </w:r>
      <w:r w:rsidR="00102523" w:rsidRPr="00747A3D">
        <w:rPr>
          <w:rFonts w:cs="Arial"/>
        </w:rPr>
        <w:t xml:space="preserve">, the undepreciated portion of the lump-sum payment shall be refunded to the affected </w:t>
      </w:r>
      <w:r w:rsidR="00747A3D" w:rsidRPr="00747A3D">
        <w:rPr>
          <w:rFonts w:cs="Arial"/>
        </w:rPr>
        <w:t xml:space="preserve">OATT </w:t>
      </w:r>
      <w:r w:rsidR="00B36DB0" w:rsidRPr="00747A3D">
        <w:rPr>
          <w:rFonts w:cs="Arial"/>
        </w:rPr>
        <w:t>transmission customer, and any O&amp;M charges associated with the radial line will cease.</w:t>
      </w:r>
      <w:r w:rsidR="00CC02E8" w:rsidRPr="00747A3D">
        <w:rPr>
          <w:rStyle w:val="FootnoteReference"/>
          <w:rFonts w:cs="Arial"/>
        </w:rPr>
        <w:footnoteReference w:id="16"/>
      </w:r>
      <w:r w:rsidR="00B36DB0" w:rsidRPr="00747A3D">
        <w:rPr>
          <w:rFonts w:cs="Arial"/>
        </w:rPr>
        <w:t xml:space="preserve">  The costs associated with the undepreciated portion of the facility will be recovered in the base rates for transmission services under the PEF OATT</w:t>
      </w:r>
      <w:r w:rsidR="00747A3D" w:rsidRPr="00747A3D">
        <w:rPr>
          <w:rFonts w:cs="Arial"/>
        </w:rPr>
        <w:t xml:space="preserve"> Formula Rate</w:t>
      </w:r>
      <w:r w:rsidR="00B36DB0" w:rsidRPr="00747A3D">
        <w:rPr>
          <w:rFonts w:cs="Arial"/>
        </w:rPr>
        <w:t>.</w:t>
      </w:r>
      <w:r w:rsidR="00CC02E8" w:rsidRPr="00747A3D">
        <w:rPr>
          <w:rStyle w:val="FootnoteReference"/>
          <w:rFonts w:cs="Arial"/>
        </w:rPr>
        <w:footnoteReference w:id="17"/>
      </w:r>
    </w:p>
    <w:p w:rsidR="001C4C76" w:rsidRDefault="001C4C76" w:rsidP="001C4C76"/>
    <w:p w:rsidR="001C4C76" w:rsidRDefault="001C4C76" w:rsidP="001C4C76">
      <w:pPr>
        <w:pStyle w:val="Heading1"/>
      </w:pPr>
      <w:r>
        <w:t>III.</w:t>
      </w:r>
      <w:r>
        <w:tab/>
        <w:t>Effective Date</w:t>
      </w:r>
    </w:p>
    <w:p w:rsidR="001C4C76" w:rsidRDefault="001C4C76" w:rsidP="001C4C76">
      <w:r>
        <w:tab/>
        <w:t xml:space="preserve">PEF requests that </w:t>
      </w:r>
      <w:r w:rsidR="00747A3D">
        <w:t xml:space="preserve">two new OATT attachments and revised OATT Formula Rate sheets </w:t>
      </w:r>
      <w:r>
        <w:t>become effective</w:t>
      </w:r>
      <w:r w:rsidR="00055820">
        <w:t xml:space="preserve"> sixty days after the date of this filing, which is ________________, 2009.</w:t>
      </w:r>
    </w:p>
    <w:p w:rsidR="00055820" w:rsidRDefault="00055820" w:rsidP="001C4C76"/>
    <w:p w:rsidR="00055820" w:rsidRDefault="00055820" w:rsidP="00055820">
      <w:pPr>
        <w:pStyle w:val="Heading1"/>
      </w:pPr>
      <w:r>
        <w:t>IV.</w:t>
      </w:r>
      <w:r>
        <w:tab/>
        <w:t>Contents of Filing</w:t>
      </w:r>
    </w:p>
    <w:p w:rsidR="00055820" w:rsidRDefault="00055820" w:rsidP="00055820">
      <w:r>
        <w:tab/>
      </w:r>
      <w:r w:rsidR="002F5D02">
        <w:t>The following documents are included in this filing</w:t>
      </w:r>
      <w:r>
        <w:t>:</w:t>
      </w:r>
    </w:p>
    <w:p w:rsidR="00055820" w:rsidRDefault="00055820" w:rsidP="00055820"/>
    <w:p w:rsidR="00055820" w:rsidRDefault="00055820" w:rsidP="00055820">
      <w:pPr>
        <w:ind w:left="1440" w:hanging="720"/>
      </w:pPr>
      <w:r>
        <w:t>(a)</w:t>
      </w:r>
      <w:r>
        <w:tab/>
      </w:r>
      <w:r w:rsidR="00747A3D">
        <w:t xml:space="preserve">OATT </w:t>
      </w:r>
      <w:r>
        <w:t xml:space="preserve">Attachment U (“Attachment </w:t>
      </w:r>
      <w:r w:rsidR="002F5D02">
        <w:t>1</w:t>
      </w:r>
      <w:r>
        <w:t>”);</w:t>
      </w:r>
    </w:p>
    <w:p w:rsidR="00055820" w:rsidRDefault="00055820" w:rsidP="00055820"/>
    <w:p w:rsidR="00055820" w:rsidRDefault="00055820" w:rsidP="00055820">
      <w:pPr>
        <w:ind w:left="1440" w:hanging="720"/>
      </w:pPr>
      <w:r>
        <w:t>(b)</w:t>
      </w:r>
      <w:r>
        <w:tab/>
      </w:r>
      <w:r w:rsidR="00747A3D">
        <w:t xml:space="preserve">OATT </w:t>
      </w:r>
      <w:r>
        <w:t xml:space="preserve">Attachment U.1 (“Attachment </w:t>
      </w:r>
      <w:r w:rsidR="002F5D02">
        <w:t>2</w:t>
      </w:r>
      <w:r w:rsidR="002C5F3C">
        <w:t>”);</w:t>
      </w:r>
    </w:p>
    <w:p w:rsidR="00055820" w:rsidRDefault="00055820" w:rsidP="00055820"/>
    <w:p w:rsidR="00055820" w:rsidRDefault="00055820" w:rsidP="00055820">
      <w:pPr>
        <w:ind w:left="1440" w:hanging="720"/>
      </w:pPr>
      <w:r>
        <w:t>(c)</w:t>
      </w:r>
      <w:r>
        <w:tab/>
      </w:r>
      <w:r w:rsidR="00747A3D">
        <w:t xml:space="preserve">OATT </w:t>
      </w:r>
      <w:r>
        <w:t xml:space="preserve">Attachment U.2 (“Attachment </w:t>
      </w:r>
      <w:r w:rsidR="002F5D02">
        <w:t>3</w:t>
      </w:r>
      <w:r>
        <w:t>”)</w:t>
      </w:r>
      <w:r w:rsidR="002C5F3C">
        <w:t>; and</w:t>
      </w:r>
    </w:p>
    <w:p w:rsidR="002C5F3C" w:rsidRDefault="002C5F3C" w:rsidP="00055820">
      <w:pPr>
        <w:ind w:left="1440" w:hanging="720"/>
      </w:pPr>
    </w:p>
    <w:p w:rsidR="002C5F3C" w:rsidRDefault="002C5F3C" w:rsidP="00055820">
      <w:pPr>
        <w:ind w:left="1440" w:hanging="720"/>
      </w:pPr>
      <w:r>
        <w:t>(d)</w:t>
      </w:r>
      <w:r>
        <w:tab/>
        <w:t>Clean and redlined PEF OATT Fo</w:t>
      </w:r>
      <w:r w:rsidR="00747A3D">
        <w:t>rmula</w:t>
      </w:r>
      <w:r>
        <w:t xml:space="preserve"> Rate sheets </w:t>
      </w:r>
      <w:r w:rsidR="00747A3D">
        <w:t xml:space="preserve">for the </w:t>
      </w:r>
      <w:r>
        <w:t>PEF and PEC OATT</w:t>
      </w:r>
      <w:r w:rsidR="00747A3D">
        <w:t>s</w:t>
      </w:r>
      <w:r w:rsidR="00DA68AC">
        <w:t>, which incorporate the radials-related changes set forth in OATT Attachment U.1</w:t>
      </w:r>
      <w:r>
        <w:t>.</w:t>
      </w:r>
      <w:r>
        <w:rPr>
          <w:rStyle w:val="FootnoteReference"/>
        </w:rPr>
        <w:footnoteReference w:id="18"/>
      </w:r>
    </w:p>
    <w:p w:rsidR="00055820" w:rsidRDefault="00055820" w:rsidP="00055820"/>
    <w:p w:rsidR="00055820" w:rsidRDefault="00055820" w:rsidP="00055820">
      <w:pPr>
        <w:pStyle w:val="Heading1"/>
      </w:pPr>
      <w:r>
        <w:t>V.</w:t>
      </w:r>
      <w:r>
        <w:tab/>
        <w:t>List of Persons on Whom this Filing Is Being Served</w:t>
      </w:r>
      <w:r w:rsidR="00F77342">
        <w:t xml:space="preserve"> and Pre-Filing Customer Review</w:t>
      </w:r>
    </w:p>
    <w:p w:rsidR="00055820" w:rsidRDefault="00055820" w:rsidP="00055820">
      <w:pPr>
        <w:rPr>
          <w:rFonts w:cs="Arial"/>
        </w:rPr>
      </w:pPr>
      <w:r>
        <w:tab/>
        <w:t>Pursuant to 18 C.F.R. § 385.2010(f)(i) of the Commission’s Regulations, a</w:t>
      </w:r>
      <w:r w:rsidRPr="003C4293">
        <w:rPr>
          <w:rFonts w:cs="Arial"/>
        </w:rPr>
        <w:t xml:space="preserve"> copy of this filing is </w:t>
      </w:r>
      <w:r>
        <w:rPr>
          <w:rFonts w:cs="Arial"/>
        </w:rPr>
        <w:t xml:space="preserve">being served by electronic means on the </w:t>
      </w:r>
      <w:r w:rsidR="002F5D02">
        <w:rPr>
          <w:rFonts w:cs="Arial"/>
        </w:rPr>
        <w:t>Florida Public Service Commission</w:t>
      </w:r>
      <w:r>
        <w:rPr>
          <w:rFonts w:cs="Arial"/>
        </w:rPr>
        <w:t xml:space="preserve"> and PEF’s </w:t>
      </w:r>
      <w:r w:rsidR="00747A3D">
        <w:rPr>
          <w:rFonts w:cs="Arial"/>
        </w:rPr>
        <w:t xml:space="preserve">and PEC’s </w:t>
      </w:r>
      <w:r>
        <w:rPr>
          <w:rFonts w:cs="Arial"/>
        </w:rPr>
        <w:t>OATT transmission customers.  Specifically, on the date of this filing, PE</w:t>
      </w:r>
      <w:r w:rsidR="002F5D02">
        <w:rPr>
          <w:rFonts w:cs="Arial"/>
        </w:rPr>
        <w:t>F</w:t>
      </w:r>
      <w:r>
        <w:rPr>
          <w:rFonts w:cs="Arial"/>
        </w:rPr>
        <w:t xml:space="preserve"> will submit an e-mail that notifies the </w:t>
      </w:r>
      <w:r w:rsidR="002F5D02">
        <w:rPr>
          <w:rFonts w:cs="Arial"/>
        </w:rPr>
        <w:t>Florida Public Service Commission</w:t>
      </w:r>
      <w:r>
        <w:rPr>
          <w:rFonts w:cs="Arial"/>
        </w:rPr>
        <w:t xml:space="preserve"> and PEF’s </w:t>
      </w:r>
      <w:r w:rsidR="00747A3D">
        <w:rPr>
          <w:rFonts w:cs="Arial"/>
        </w:rPr>
        <w:t xml:space="preserve">and PEC’s </w:t>
      </w:r>
      <w:r>
        <w:rPr>
          <w:rFonts w:cs="Arial"/>
        </w:rPr>
        <w:t>OATT transmission customers that its revisions to the PE</w:t>
      </w:r>
      <w:r w:rsidR="002F5D02">
        <w:rPr>
          <w:rFonts w:cs="Arial"/>
        </w:rPr>
        <w:t>F</w:t>
      </w:r>
      <w:r>
        <w:rPr>
          <w:rFonts w:cs="Arial"/>
        </w:rPr>
        <w:t xml:space="preserve"> </w:t>
      </w:r>
      <w:r w:rsidR="002F5D02">
        <w:rPr>
          <w:rFonts w:cs="Arial"/>
        </w:rPr>
        <w:t>OATT</w:t>
      </w:r>
      <w:r>
        <w:rPr>
          <w:rFonts w:cs="Arial"/>
        </w:rPr>
        <w:t xml:space="preserve"> are available from PE</w:t>
      </w:r>
      <w:r w:rsidR="002F5D02">
        <w:rPr>
          <w:rFonts w:cs="Arial"/>
        </w:rPr>
        <w:t>F</w:t>
      </w:r>
      <w:r>
        <w:rPr>
          <w:rFonts w:cs="Arial"/>
        </w:rPr>
        <w:t xml:space="preserve">’s OASIS site at </w:t>
      </w:r>
      <w:r w:rsidRPr="00D107B2">
        <w:rPr>
          <w:rFonts w:cs="Arial"/>
        </w:rPr>
        <w:t>http://www.oatioasis.com/</w:t>
      </w:r>
      <w:r w:rsidR="002F5D02">
        <w:rPr>
          <w:rFonts w:cs="Arial"/>
        </w:rPr>
        <w:t>FPC</w:t>
      </w:r>
      <w:r w:rsidRPr="00D107B2">
        <w:rPr>
          <w:rFonts w:cs="Arial"/>
        </w:rPr>
        <w:t>/</w:t>
      </w:r>
      <w:r>
        <w:rPr>
          <w:rFonts w:cs="Arial"/>
        </w:rPr>
        <w:t>,</w:t>
      </w:r>
      <w:r w:rsidRPr="00DC39C3">
        <w:rPr>
          <w:rFonts w:cs="Arial"/>
        </w:rPr>
        <w:t xml:space="preserve"> </w:t>
      </w:r>
      <w:r>
        <w:rPr>
          <w:rFonts w:cs="Arial"/>
        </w:rPr>
        <w:t xml:space="preserve">on the </w:t>
      </w:r>
      <w:r>
        <w:t>Open Access Transmission Tariff (OATT) Information</w:t>
      </w:r>
      <w:r>
        <w:rPr>
          <w:rFonts w:cs="Arial"/>
        </w:rPr>
        <w:t xml:space="preserve"> page, as well as Progress Energy’s corporate website at </w:t>
      </w:r>
      <w:hyperlink r:id="rId8" w:history="1">
        <w:r w:rsidR="002F5D02" w:rsidRPr="003A17FF">
          <w:rPr>
            <w:rStyle w:val="Hyperlink"/>
            <w:rFonts w:cs="Arial"/>
          </w:rPr>
          <w:t>http://www.progress-energy.com/aboutenergy/ferc/index.asp</w:t>
        </w:r>
      </w:hyperlink>
      <w:r w:rsidRPr="00D107B2">
        <w:rPr>
          <w:rFonts w:cs="Arial"/>
        </w:rPr>
        <w:t>.</w:t>
      </w:r>
    </w:p>
    <w:p w:rsidR="002F5D02" w:rsidRDefault="002F5D02" w:rsidP="00055820">
      <w:pPr>
        <w:rPr>
          <w:rFonts w:cs="Arial"/>
        </w:rPr>
      </w:pPr>
    </w:p>
    <w:p w:rsidR="00F77342" w:rsidRDefault="00F77342" w:rsidP="00055820">
      <w:pPr>
        <w:rPr>
          <w:rFonts w:cs="Arial"/>
        </w:rPr>
      </w:pPr>
      <w:r>
        <w:rPr>
          <w:rFonts w:cs="Arial"/>
        </w:rPr>
        <w:tab/>
        <w:t xml:space="preserve">Over three weeks ago, PEF made available draft copies of the filing letter and OATT attachments </w:t>
      </w:r>
      <w:r w:rsidR="00223842">
        <w:rPr>
          <w:rFonts w:cs="Arial"/>
        </w:rPr>
        <w:t xml:space="preserve">for this filing </w:t>
      </w:r>
      <w:r>
        <w:rPr>
          <w:rFonts w:cs="Arial"/>
        </w:rPr>
        <w:t xml:space="preserve">to </w:t>
      </w:r>
      <w:r w:rsidR="00EE0DEC">
        <w:rPr>
          <w:rFonts w:cs="Arial"/>
        </w:rPr>
        <w:t>all</w:t>
      </w:r>
      <w:r>
        <w:rPr>
          <w:rFonts w:cs="Arial"/>
        </w:rPr>
        <w:t xml:space="preserve"> PEF and PEC OATT customers</w:t>
      </w:r>
      <w:r w:rsidR="0041474E">
        <w:rPr>
          <w:rFonts w:cs="Arial"/>
        </w:rPr>
        <w:t xml:space="preserve"> through </w:t>
      </w:r>
      <w:r w:rsidR="004C0A93">
        <w:rPr>
          <w:rFonts w:cs="Arial"/>
        </w:rPr>
        <w:t xml:space="preserve">e-mail and </w:t>
      </w:r>
      <w:r w:rsidR="0041474E">
        <w:rPr>
          <w:rFonts w:cs="Arial"/>
        </w:rPr>
        <w:t>a posting on PEF’s OASIS site</w:t>
      </w:r>
      <w:r>
        <w:rPr>
          <w:rFonts w:cs="Arial"/>
        </w:rPr>
        <w:t>.  PEF made these drafts available to the OATT customers in order to provide them with an opportunity to review and comment on the filing in advance of PEF’s filing.</w:t>
      </w:r>
    </w:p>
    <w:p w:rsidR="002F5D02" w:rsidRPr="003C4293" w:rsidRDefault="002F5D02" w:rsidP="002F5D02">
      <w:pPr>
        <w:spacing w:before="240"/>
        <w:outlineLvl w:val="0"/>
        <w:rPr>
          <w:b/>
          <w:smallCaps/>
          <w:sz w:val="28"/>
          <w:szCs w:val="28"/>
        </w:rPr>
      </w:pPr>
      <w:r>
        <w:rPr>
          <w:b/>
          <w:smallCaps/>
          <w:sz w:val="28"/>
          <w:szCs w:val="28"/>
        </w:rPr>
        <w:t>VI</w:t>
      </w:r>
      <w:r w:rsidRPr="003C4293">
        <w:rPr>
          <w:b/>
          <w:smallCaps/>
          <w:sz w:val="28"/>
          <w:szCs w:val="28"/>
        </w:rPr>
        <w:t>.</w:t>
      </w:r>
      <w:r w:rsidRPr="003C4293">
        <w:rPr>
          <w:b/>
          <w:smallCaps/>
          <w:sz w:val="28"/>
          <w:szCs w:val="28"/>
        </w:rPr>
        <w:tab/>
        <w:t>Miscellaneous</w:t>
      </w:r>
    </w:p>
    <w:p w:rsidR="002F5D02" w:rsidRPr="004D6DF0" w:rsidRDefault="002F5D02" w:rsidP="002F5D02"/>
    <w:p w:rsidR="002F5D02" w:rsidRPr="003C4293" w:rsidRDefault="00726B91" w:rsidP="002F5D02">
      <w:pPr>
        <w:spacing w:after="120"/>
        <w:ind w:firstLine="720"/>
        <w:rPr>
          <w:rFonts w:cs="Arial"/>
        </w:rPr>
      </w:pPr>
      <w:r>
        <w:rPr>
          <w:rFonts w:cs="Arial"/>
        </w:rPr>
        <w:t xml:space="preserve">No costs or expenses </w:t>
      </w:r>
      <w:r w:rsidR="00747A3D">
        <w:rPr>
          <w:rFonts w:cs="Arial"/>
        </w:rPr>
        <w:t xml:space="preserve">in the tariff sheets </w:t>
      </w:r>
      <w:r>
        <w:rPr>
          <w:rFonts w:cs="Arial"/>
        </w:rPr>
        <w:t xml:space="preserve">set forth </w:t>
      </w:r>
      <w:r w:rsidR="002F5D02" w:rsidRPr="003C4293">
        <w:rPr>
          <w:rFonts w:cs="Arial"/>
        </w:rPr>
        <w:t>in this filing that have been alleged or adjudged in any administrative or judicial proceeding to be illegal, duplicative, or unnecessary costs, nor has any expense or cost been demonstrated to be the product of discriminatory employment practices.</w:t>
      </w:r>
    </w:p>
    <w:p w:rsidR="002F5D02" w:rsidRPr="003C4293" w:rsidRDefault="002F5D02" w:rsidP="002F5D02">
      <w:pPr>
        <w:keepNext/>
        <w:keepLines/>
        <w:spacing w:before="240"/>
        <w:ind w:left="720" w:hanging="720"/>
        <w:outlineLvl w:val="0"/>
        <w:rPr>
          <w:b/>
          <w:smallCaps/>
          <w:sz w:val="28"/>
          <w:szCs w:val="28"/>
        </w:rPr>
      </w:pPr>
      <w:r>
        <w:rPr>
          <w:b/>
          <w:smallCaps/>
          <w:sz w:val="28"/>
          <w:szCs w:val="28"/>
        </w:rPr>
        <w:lastRenderedPageBreak/>
        <w:t>VII</w:t>
      </w:r>
      <w:r w:rsidRPr="003C4293">
        <w:rPr>
          <w:b/>
          <w:smallCaps/>
          <w:sz w:val="28"/>
          <w:szCs w:val="28"/>
        </w:rPr>
        <w:t>.</w:t>
      </w:r>
      <w:r w:rsidRPr="003C4293">
        <w:rPr>
          <w:b/>
          <w:smallCaps/>
          <w:sz w:val="28"/>
          <w:szCs w:val="28"/>
        </w:rPr>
        <w:tab/>
        <w:t xml:space="preserve">Persons </w:t>
      </w:r>
      <w:r>
        <w:rPr>
          <w:b/>
          <w:smallCaps/>
          <w:sz w:val="28"/>
          <w:szCs w:val="28"/>
        </w:rPr>
        <w:t>t</w:t>
      </w:r>
      <w:r w:rsidRPr="003C4293">
        <w:rPr>
          <w:b/>
          <w:smallCaps/>
          <w:sz w:val="28"/>
          <w:szCs w:val="28"/>
        </w:rPr>
        <w:t>o Whom Correspondence Should Be Addressed</w:t>
      </w:r>
    </w:p>
    <w:p w:rsidR="002F5D02" w:rsidRPr="003C4293" w:rsidRDefault="002F5D02" w:rsidP="002F5D02">
      <w:pPr>
        <w:keepNext/>
        <w:keepLines/>
        <w:rPr>
          <w:b/>
          <w:u w:val="single"/>
        </w:rPr>
      </w:pPr>
    </w:p>
    <w:p w:rsidR="002F5D02" w:rsidRDefault="002F5D02" w:rsidP="002F5D02">
      <w:pPr>
        <w:keepNext/>
        <w:keepLines/>
      </w:pPr>
      <w:r w:rsidRPr="00866EA4">
        <w:tab/>
      </w:r>
      <w:r>
        <w:t xml:space="preserve">The following persons should receive </w:t>
      </w:r>
      <w:r w:rsidRPr="00866EA4">
        <w:t>communications regarding this filing</w:t>
      </w:r>
      <w:r>
        <w:t>:</w:t>
      </w:r>
    </w:p>
    <w:p w:rsidR="002F5D02" w:rsidRDefault="002F5D02" w:rsidP="002F5D02">
      <w:pPr>
        <w:keepNext/>
        <w:keepLines/>
      </w:pPr>
    </w:p>
    <w:p w:rsidR="002F5D02" w:rsidRDefault="002F5D02" w:rsidP="002F5D02">
      <w:pPr>
        <w:keepNext/>
        <w:keepLines/>
        <w:ind w:firstLine="720"/>
      </w:pPr>
      <w:r>
        <w:t>Kendal Bowman, Esq.</w:t>
      </w:r>
    </w:p>
    <w:p w:rsidR="002F5D02" w:rsidRDefault="002F5D02" w:rsidP="002F5D02">
      <w:pPr>
        <w:keepNext/>
        <w:ind w:firstLine="720"/>
        <w:jc w:val="both"/>
        <w:rPr>
          <w:rFonts w:cs="Arial"/>
        </w:rPr>
      </w:pPr>
      <w:r>
        <w:t>Associate General Counsel</w:t>
      </w:r>
      <w:r w:rsidRPr="00931B97">
        <w:rPr>
          <w:rFonts w:cs="Arial"/>
        </w:rPr>
        <w:t xml:space="preserve"> </w:t>
      </w:r>
    </w:p>
    <w:p w:rsidR="002F5D02" w:rsidRPr="00931B97" w:rsidRDefault="002F5D02" w:rsidP="002F5D02">
      <w:pPr>
        <w:ind w:firstLine="720"/>
        <w:jc w:val="both"/>
        <w:rPr>
          <w:rFonts w:cs="Arial"/>
        </w:rPr>
      </w:pPr>
      <w:bookmarkStart w:id="0" w:name="OLE_LINK17"/>
      <w:bookmarkStart w:id="1" w:name="OLE_LINK18"/>
      <w:r w:rsidRPr="00931B97">
        <w:rPr>
          <w:rFonts w:cs="Arial"/>
        </w:rPr>
        <w:t>Progress Energy</w:t>
      </w:r>
      <w:r>
        <w:rPr>
          <w:rFonts w:cs="Arial"/>
        </w:rPr>
        <w:t xml:space="preserve"> Service Company, LLC</w:t>
      </w:r>
    </w:p>
    <w:bookmarkEnd w:id="0"/>
    <w:bookmarkEnd w:id="1"/>
    <w:p w:rsidR="002F5D02" w:rsidRDefault="002F5D02" w:rsidP="002F5D02">
      <w:pPr>
        <w:ind w:firstLine="720"/>
        <w:jc w:val="both"/>
      </w:pPr>
      <w:r w:rsidRPr="00931B97">
        <w:rPr>
          <w:rFonts w:cs="Arial"/>
        </w:rPr>
        <w:t>P.O. Box 1551</w:t>
      </w:r>
      <w:r>
        <w:rPr>
          <w:rFonts w:cs="Arial"/>
        </w:rPr>
        <w:t>, PEB 17B2</w:t>
      </w:r>
    </w:p>
    <w:p w:rsidR="002F5D02" w:rsidRDefault="002F5D02" w:rsidP="002F5D02">
      <w:pPr>
        <w:ind w:firstLine="720"/>
        <w:jc w:val="both"/>
      </w:pPr>
      <w:r>
        <w:t>Raleigh, NC  27602</w:t>
      </w:r>
    </w:p>
    <w:p w:rsidR="002F5D02" w:rsidRDefault="002F5D02" w:rsidP="002F5D02">
      <w:pPr>
        <w:ind w:firstLine="720"/>
        <w:jc w:val="both"/>
      </w:pPr>
      <w:r>
        <w:t>Telephone: 919/546-6794</w:t>
      </w:r>
    </w:p>
    <w:p w:rsidR="002F5D02" w:rsidRPr="00006605" w:rsidRDefault="002F5D02" w:rsidP="002F5D02">
      <w:pPr>
        <w:ind w:firstLine="748"/>
        <w:jc w:val="both"/>
      </w:pPr>
      <w:r w:rsidRPr="00006605">
        <w:t>Facsimile: 919/546-</w:t>
      </w:r>
      <w:r>
        <w:t>2920</w:t>
      </w:r>
    </w:p>
    <w:p w:rsidR="002F5D02" w:rsidRDefault="002F5D02" w:rsidP="002F5D02">
      <w:pPr>
        <w:ind w:left="748"/>
      </w:pPr>
      <w:r w:rsidRPr="00006605">
        <w:t>E-Mail:</w:t>
      </w:r>
      <w:r>
        <w:t xml:space="preserve"> kendal.bowman</w:t>
      </w:r>
      <w:r w:rsidRPr="006C42F5">
        <w:t>@pgnmail.com</w:t>
      </w:r>
    </w:p>
    <w:p w:rsidR="002F5D02" w:rsidRDefault="002F5D02" w:rsidP="002F5D02">
      <w:pPr>
        <w:ind w:left="748"/>
        <w:rPr>
          <w:rFonts w:cs="Arial"/>
        </w:rPr>
      </w:pPr>
    </w:p>
    <w:p w:rsidR="002F5D02" w:rsidRDefault="002F5D02" w:rsidP="002F5D02">
      <w:pPr>
        <w:ind w:left="748"/>
        <w:rPr>
          <w:rFonts w:cs="Arial"/>
        </w:rPr>
      </w:pPr>
      <w:r>
        <w:rPr>
          <w:rFonts w:cs="Arial"/>
        </w:rPr>
        <w:t>a</w:t>
      </w:r>
      <w:r w:rsidRPr="00A6058F">
        <w:rPr>
          <w:rFonts w:cs="Arial"/>
        </w:rPr>
        <w:t>nd</w:t>
      </w:r>
    </w:p>
    <w:p w:rsidR="002F5D02" w:rsidRPr="00A6058F" w:rsidRDefault="002F5D02" w:rsidP="002F5D02">
      <w:pPr>
        <w:ind w:left="748"/>
        <w:rPr>
          <w:rFonts w:cs="Arial"/>
        </w:rPr>
      </w:pPr>
    </w:p>
    <w:p w:rsidR="002F5D02" w:rsidRDefault="002F5D02" w:rsidP="002F5D02">
      <w:pPr>
        <w:keepNext/>
        <w:keepLines/>
        <w:rPr>
          <w:rFonts w:cs="Arial"/>
        </w:rPr>
      </w:pPr>
      <w:r w:rsidRPr="00A6058F">
        <w:rPr>
          <w:rFonts w:cs="Arial"/>
        </w:rPr>
        <w:tab/>
        <w:t>Antonia A. Frost</w:t>
      </w:r>
      <w:r>
        <w:rPr>
          <w:rFonts w:cs="Arial"/>
        </w:rPr>
        <w:t>, Esq.</w:t>
      </w:r>
    </w:p>
    <w:p w:rsidR="002F5D02" w:rsidRPr="00A6058F" w:rsidRDefault="002F5D02" w:rsidP="002F5D02">
      <w:pPr>
        <w:keepNext/>
        <w:keepLines/>
        <w:rPr>
          <w:rFonts w:cs="Arial"/>
        </w:rPr>
      </w:pPr>
      <w:r>
        <w:rPr>
          <w:rFonts w:cs="Arial"/>
        </w:rPr>
        <w:tab/>
      </w:r>
      <w:r w:rsidR="00726B91">
        <w:rPr>
          <w:rFonts w:cs="Arial"/>
        </w:rPr>
        <w:t>Linda S. Kizuka</w:t>
      </w:r>
      <w:r>
        <w:rPr>
          <w:rFonts w:cs="Arial"/>
        </w:rPr>
        <w:t>, Esq.</w:t>
      </w:r>
    </w:p>
    <w:p w:rsidR="002F5D02" w:rsidRPr="00A6058F" w:rsidRDefault="002F5D02" w:rsidP="002F5D02">
      <w:pPr>
        <w:keepNext/>
        <w:keepLines/>
        <w:ind w:left="748"/>
        <w:rPr>
          <w:rFonts w:cs="Arial"/>
        </w:rPr>
      </w:pPr>
      <w:r w:rsidRPr="00A6058F">
        <w:rPr>
          <w:rFonts w:cs="Arial"/>
        </w:rPr>
        <w:t>Bruder, Gentile &amp; Marcoux, L.L.P.</w:t>
      </w:r>
    </w:p>
    <w:p w:rsidR="002F5D02" w:rsidRPr="00A6058F" w:rsidRDefault="002F5D02" w:rsidP="002F5D02">
      <w:pPr>
        <w:keepNext/>
        <w:keepLines/>
        <w:ind w:left="748"/>
        <w:rPr>
          <w:rFonts w:cs="Arial"/>
        </w:rPr>
      </w:pPr>
      <w:r w:rsidRPr="00A6058F">
        <w:rPr>
          <w:rFonts w:cs="Arial"/>
        </w:rPr>
        <w:t>1701 Pennsylvania Avenue, N.W.</w:t>
      </w:r>
    </w:p>
    <w:p w:rsidR="002F5D02" w:rsidRPr="00A6058F" w:rsidRDefault="002F5D02" w:rsidP="002F5D02">
      <w:pPr>
        <w:ind w:left="748"/>
        <w:rPr>
          <w:rFonts w:cs="Arial"/>
        </w:rPr>
      </w:pPr>
      <w:r w:rsidRPr="00A6058F">
        <w:rPr>
          <w:rFonts w:cs="Arial"/>
        </w:rPr>
        <w:t>Suite 900</w:t>
      </w:r>
    </w:p>
    <w:p w:rsidR="002F5D02" w:rsidRPr="00A6058F" w:rsidRDefault="002F5D02" w:rsidP="002F5D02">
      <w:pPr>
        <w:ind w:left="748"/>
        <w:rPr>
          <w:rFonts w:cs="Arial"/>
        </w:rPr>
      </w:pPr>
      <w:r w:rsidRPr="00A6058F">
        <w:rPr>
          <w:rFonts w:cs="Arial"/>
        </w:rPr>
        <w:t>Washington, D.C.  20006-5807</w:t>
      </w:r>
    </w:p>
    <w:p w:rsidR="002F5D02" w:rsidRPr="00A6058F" w:rsidRDefault="002F5D02" w:rsidP="002F5D02">
      <w:pPr>
        <w:ind w:left="748"/>
        <w:rPr>
          <w:rFonts w:cs="Arial"/>
        </w:rPr>
      </w:pPr>
      <w:r w:rsidRPr="00A6058F">
        <w:rPr>
          <w:rFonts w:cs="Arial"/>
        </w:rPr>
        <w:t>Telephone:</w:t>
      </w:r>
      <w:r>
        <w:rPr>
          <w:rFonts w:cs="Arial"/>
        </w:rPr>
        <w:t xml:space="preserve"> </w:t>
      </w:r>
      <w:r w:rsidRPr="00A6058F">
        <w:rPr>
          <w:rFonts w:cs="Arial"/>
        </w:rPr>
        <w:t>202</w:t>
      </w:r>
      <w:r>
        <w:rPr>
          <w:rFonts w:cs="Arial"/>
        </w:rPr>
        <w:t>/</w:t>
      </w:r>
      <w:r w:rsidRPr="00A6058F">
        <w:rPr>
          <w:rFonts w:cs="Arial"/>
        </w:rPr>
        <w:t>296-1500</w:t>
      </w:r>
    </w:p>
    <w:p w:rsidR="002F5D02" w:rsidRPr="00A6058F" w:rsidRDefault="002F5D02" w:rsidP="002F5D02">
      <w:pPr>
        <w:ind w:left="748"/>
        <w:rPr>
          <w:rFonts w:cs="Arial"/>
        </w:rPr>
      </w:pPr>
      <w:r>
        <w:rPr>
          <w:rFonts w:cs="Arial"/>
        </w:rPr>
        <w:t xml:space="preserve">Facsimile: </w:t>
      </w:r>
      <w:r w:rsidRPr="00A6058F">
        <w:rPr>
          <w:rFonts w:cs="Arial"/>
        </w:rPr>
        <w:t>202</w:t>
      </w:r>
      <w:r>
        <w:rPr>
          <w:rFonts w:cs="Arial"/>
        </w:rPr>
        <w:t>/</w:t>
      </w:r>
      <w:r w:rsidRPr="00A6058F">
        <w:rPr>
          <w:rFonts w:cs="Arial"/>
        </w:rPr>
        <w:t>296-0627</w:t>
      </w:r>
    </w:p>
    <w:p w:rsidR="002F5D02" w:rsidRDefault="002F5D02" w:rsidP="002F5D02">
      <w:pPr>
        <w:ind w:left="748" w:hanging="28"/>
        <w:rPr>
          <w:rFonts w:cs="Arial"/>
        </w:rPr>
      </w:pPr>
      <w:r>
        <w:rPr>
          <w:rFonts w:cs="Arial"/>
        </w:rPr>
        <w:t xml:space="preserve">E-Mail: </w:t>
      </w:r>
      <w:r w:rsidRPr="00D9445B">
        <w:rPr>
          <w:rFonts w:cs="Arial"/>
        </w:rPr>
        <w:t>aafrost@brudergentile.com</w:t>
      </w:r>
    </w:p>
    <w:p w:rsidR="002F5D02" w:rsidRDefault="002F5D02" w:rsidP="002F5D02">
      <w:pPr>
        <w:rPr>
          <w:rFonts w:cs="Arial"/>
        </w:rPr>
      </w:pPr>
      <w:r>
        <w:rPr>
          <w:rFonts w:cs="Arial"/>
        </w:rPr>
        <w:t xml:space="preserve"> </w:t>
      </w:r>
      <w:r>
        <w:rPr>
          <w:rFonts w:cs="Arial"/>
        </w:rPr>
        <w:tab/>
        <w:t xml:space="preserve"> </w:t>
      </w:r>
      <w:r w:rsidR="00CC02E8">
        <w:rPr>
          <w:rFonts w:cs="Arial"/>
        </w:rPr>
        <w:tab/>
        <w:t xml:space="preserve"> </w:t>
      </w:r>
      <w:r w:rsidR="00726B91" w:rsidRPr="00CC02E8">
        <w:rPr>
          <w:rFonts w:cs="Arial"/>
        </w:rPr>
        <w:t>lskizuka@brudergentile.com</w:t>
      </w:r>
    </w:p>
    <w:p w:rsidR="00726B91" w:rsidRDefault="00726B91" w:rsidP="002F5D02">
      <w:pPr>
        <w:rPr>
          <w:rFonts w:cs="Arial"/>
        </w:rPr>
      </w:pPr>
    </w:p>
    <w:p w:rsidR="00726B91" w:rsidRPr="00EB2F6F" w:rsidRDefault="00726B91" w:rsidP="00726B91">
      <w:pPr>
        <w:rPr>
          <w:rFonts w:cs="Arial"/>
          <w:lang w:val="de-DE"/>
        </w:rPr>
      </w:pPr>
      <w:r>
        <w:rPr>
          <w:rFonts w:cs="Arial"/>
          <w:b/>
          <w:smallCaps/>
          <w:sz w:val="28"/>
          <w:lang w:val="de-DE"/>
        </w:rPr>
        <w:t>VIII.</w:t>
      </w:r>
      <w:r>
        <w:rPr>
          <w:rFonts w:cs="Arial"/>
          <w:b/>
          <w:smallCaps/>
          <w:sz w:val="28"/>
          <w:lang w:val="de-DE"/>
        </w:rPr>
        <w:tab/>
      </w:r>
      <w:r w:rsidRPr="005E025C">
        <w:rPr>
          <w:rFonts w:cs="Arial"/>
          <w:b/>
          <w:smallCaps/>
          <w:sz w:val="28"/>
          <w:lang w:val="de-DE"/>
        </w:rPr>
        <w:t>Conclusion</w:t>
      </w:r>
    </w:p>
    <w:p w:rsidR="00726B91" w:rsidRPr="005E025C" w:rsidRDefault="00726B91" w:rsidP="00726B91">
      <w:pPr>
        <w:keepNext/>
        <w:keepLines/>
        <w:ind w:firstLine="720"/>
        <w:rPr>
          <w:rFonts w:cs="Arial"/>
          <w:lang w:val="de-DE"/>
        </w:rPr>
      </w:pPr>
    </w:p>
    <w:p w:rsidR="00726B91" w:rsidRDefault="00726B91" w:rsidP="00726B91">
      <w:pPr>
        <w:keepNext/>
        <w:keepLines/>
        <w:ind w:firstLine="720"/>
        <w:rPr>
          <w:rFonts w:cs="Arial"/>
        </w:rPr>
      </w:pPr>
      <w:r>
        <w:rPr>
          <w:rFonts w:cs="Arial"/>
        </w:rPr>
        <w:t xml:space="preserve">PEF respectfully requests that the </w:t>
      </w:r>
      <w:r w:rsidRPr="00A6058F">
        <w:rPr>
          <w:rFonts w:cs="Arial"/>
        </w:rPr>
        <w:t xml:space="preserve">Commission accept the </w:t>
      </w:r>
      <w:r>
        <w:rPr>
          <w:rFonts w:cs="Arial"/>
        </w:rPr>
        <w:t xml:space="preserve">OATT provisions as </w:t>
      </w:r>
      <w:r w:rsidRPr="00A6058F">
        <w:rPr>
          <w:rFonts w:cs="Arial"/>
        </w:rPr>
        <w:t>just</w:t>
      </w:r>
      <w:r>
        <w:rPr>
          <w:rFonts w:cs="Arial"/>
        </w:rPr>
        <w:t>,</w:t>
      </w:r>
      <w:r w:rsidRPr="00A6058F">
        <w:rPr>
          <w:rFonts w:cs="Arial"/>
        </w:rPr>
        <w:t xml:space="preserve"> reasonable</w:t>
      </w:r>
      <w:r>
        <w:rPr>
          <w:rFonts w:cs="Arial"/>
        </w:rPr>
        <w:t xml:space="preserve"> and not unduly preferential </w:t>
      </w:r>
      <w:r w:rsidRPr="00A6058F">
        <w:rPr>
          <w:rFonts w:cs="Arial"/>
        </w:rPr>
        <w:t>under Sectio</w:t>
      </w:r>
      <w:r>
        <w:rPr>
          <w:rFonts w:cs="Arial"/>
        </w:rPr>
        <w:t>n 205 of the Federal Power Act and grant</w:t>
      </w:r>
      <w:r w:rsidR="00747A3D">
        <w:rPr>
          <w:rFonts w:cs="Arial"/>
        </w:rPr>
        <w:t xml:space="preserve"> the requested effective date.</w:t>
      </w:r>
    </w:p>
    <w:p w:rsidR="00726B91" w:rsidRDefault="00726B91" w:rsidP="00726B91">
      <w:pPr>
        <w:keepNext/>
        <w:keepLines/>
        <w:ind w:firstLine="720"/>
        <w:rPr>
          <w:rFonts w:cs="Arial"/>
        </w:rPr>
      </w:pPr>
    </w:p>
    <w:p w:rsidR="00726B91" w:rsidRPr="00055820" w:rsidRDefault="00747A3D" w:rsidP="00726B91">
      <w:pPr>
        <w:ind w:firstLine="720"/>
      </w:pPr>
      <w:r>
        <w:rPr>
          <w:rFonts w:cs="Arial"/>
        </w:rPr>
        <w:br w:type="page"/>
      </w:r>
      <w:r w:rsidR="00726B91">
        <w:rPr>
          <w:rFonts w:cs="Arial"/>
        </w:rPr>
        <w:lastRenderedPageBreak/>
        <w:t>Progress t</w:t>
      </w:r>
      <w:r w:rsidR="00726B91" w:rsidRPr="00A6058F">
        <w:rPr>
          <w:rFonts w:cs="Arial"/>
        </w:rPr>
        <w:t>hank</w:t>
      </w:r>
      <w:r w:rsidR="00726B91">
        <w:rPr>
          <w:rFonts w:cs="Arial"/>
        </w:rPr>
        <w:t>s</w:t>
      </w:r>
      <w:r w:rsidR="00726B91" w:rsidRPr="00A6058F">
        <w:rPr>
          <w:rFonts w:cs="Arial"/>
        </w:rPr>
        <w:t xml:space="preserve"> the Commission for its consideration of this filing.  Please contact the undersigned if yo</w:t>
      </w:r>
      <w:r w:rsidR="00726B91">
        <w:rPr>
          <w:rFonts w:cs="Arial"/>
        </w:rPr>
        <w:t xml:space="preserve">u </w:t>
      </w:r>
      <w:r w:rsidR="00726B91" w:rsidRPr="00A6058F">
        <w:rPr>
          <w:rFonts w:cs="Arial"/>
        </w:rPr>
        <w:t>have any questions.</w:t>
      </w:r>
    </w:p>
    <w:p w:rsidR="00510C83" w:rsidRDefault="00510C83">
      <w:pPr>
        <w:rPr>
          <w:rFonts w:cs="Arial"/>
        </w:rPr>
      </w:pPr>
    </w:p>
    <w:p w:rsidR="00510C83" w:rsidRDefault="00510C8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Very truly yours,</w:t>
      </w:r>
    </w:p>
    <w:p w:rsidR="00510C83" w:rsidRDefault="00510C83"/>
    <w:p w:rsidR="00510C83" w:rsidRDefault="00510C83">
      <w:pPr>
        <w:rPr>
          <w:rFonts w:cs="Arial"/>
        </w:rPr>
      </w:pPr>
    </w:p>
    <w:p w:rsidR="00510C83" w:rsidRDefault="00510C83">
      <w:pPr>
        <w:rPr>
          <w:rFonts w:cs="Arial"/>
        </w:rPr>
      </w:pPr>
    </w:p>
    <w:p w:rsidR="00510C83" w:rsidRDefault="00510C8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726B91">
        <w:rPr>
          <w:rFonts w:cs="Arial"/>
        </w:rPr>
        <w:t>Antonia A. Frost</w:t>
      </w:r>
    </w:p>
    <w:p w:rsidR="00726B91" w:rsidRDefault="00726B9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Linda S. Kizuka</w:t>
      </w:r>
    </w:p>
    <w:p w:rsidR="00510C83" w:rsidRDefault="00510C8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Counsel for</w:t>
      </w:r>
      <w:r w:rsidR="00726B91">
        <w:rPr>
          <w:rFonts w:cs="Arial"/>
        </w:rPr>
        <w:t xml:space="preserve"> Florida Power Corporation</w:t>
      </w:r>
    </w:p>
    <w:p w:rsidR="00510C83" w:rsidRDefault="00510C83">
      <w:pPr>
        <w:rPr>
          <w:rFonts w:cs="Arial"/>
        </w:rPr>
      </w:pPr>
    </w:p>
    <w:p w:rsidR="00510C83" w:rsidRDefault="00510C83">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747A3D" w:rsidRDefault="00747A3D">
      <w:pPr>
        <w:rPr>
          <w:rFonts w:cs="Arial"/>
        </w:rPr>
      </w:pPr>
    </w:p>
    <w:p w:rsidR="00510C83" w:rsidRPr="00F2777B" w:rsidRDefault="005E08EC" w:rsidP="00747A3D">
      <w:pPr>
        <w:ind w:left="5040"/>
        <w:rPr>
          <w:rFonts w:cs="Arial"/>
          <w:snapToGrid w:val="0"/>
          <w:sz w:val="20"/>
        </w:rPr>
      </w:pPr>
      <w:r w:rsidRPr="00F2777B">
        <w:rPr>
          <w:rFonts w:cs="Arial"/>
          <w:snapToGrid w:val="0"/>
          <w:sz w:val="20"/>
        </w:rPr>
        <w:fldChar w:fldCharType="begin"/>
      </w:r>
      <w:r w:rsidR="00510C83" w:rsidRPr="00F2777B">
        <w:rPr>
          <w:rFonts w:cs="Arial"/>
          <w:snapToGrid w:val="0"/>
          <w:sz w:val="20"/>
        </w:rPr>
        <w:instrText xml:space="preserve"> FILENAME \p </w:instrText>
      </w:r>
      <w:r w:rsidRPr="00F2777B">
        <w:rPr>
          <w:rFonts w:cs="Arial"/>
          <w:snapToGrid w:val="0"/>
          <w:sz w:val="20"/>
        </w:rPr>
        <w:fldChar w:fldCharType="separate"/>
      </w:r>
      <w:r w:rsidR="00726B91">
        <w:rPr>
          <w:rFonts w:cs="Arial"/>
          <w:noProof/>
          <w:snapToGrid w:val="0"/>
          <w:sz w:val="20"/>
        </w:rPr>
        <w:t>M:\WDOX\CLIENTS\005FPC\00027486.DOCX</w:t>
      </w:r>
      <w:r w:rsidRPr="00F2777B">
        <w:rPr>
          <w:rFonts w:cs="Arial"/>
          <w:snapToGrid w:val="0"/>
          <w:sz w:val="20"/>
        </w:rPr>
        <w:fldChar w:fldCharType="end"/>
      </w:r>
    </w:p>
    <w:p w:rsidR="00510C83" w:rsidRDefault="00510C83">
      <w:pPr>
        <w:rPr>
          <w:rFonts w:cs="Arial"/>
        </w:rPr>
      </w:pPr>
    </w:p>
    <w:sectPr w:rsidR="00510C83" w:rsidSect="00685686">
      <w:headerReference w:type="default" r:id="rId9"/>
      <w:pgSz w:w="12240" w:h="15840" w:code="1"/>
      <w:pgMar w:top="72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30" w:rsidRDefault="00DD7630">
      <w:r>
        <w:separator/>
      </w:r>
    </w:p>
  </w:endnote>
  <w:endnote w:type="continuationSeparator" w:id="1">
    <w:p w:rsidR="00DD7630" w:rsidRDefault="00DD7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30" w:rsidRDefault="00DD7630">
      <w:r>
        <w:separator/>
      </w:r>
    </w:p>
  </w:footnote>
  <w:footnote w:type="continuationSeparator" w:id="1">
    <w:p w:rsidR="00DD7630" w:rsidRDefault="00DD7630">
      <w:r>
        <w:continuationSeparator/>
      </w:r>
    </w:p>
  </w:footnote>
  <w:footnote w:id="2">
    <w:p w:rsidR="00DD7630" w:rsidRDefault="00DD7630">
      <w:pPr>
        <w:pStyle w:val="FootnoteText"/>
      </w:pPr>
      <w:r>
        <w:rPr>
          <w:rStyle w:val="FootnoteReference"/>
        </w:rPr>
        <w:footnoteRef/>
      </w:r>
      <w:r>
        <w:t xml:space="preserve"> </w:t>
      </w:r>
    </w:p>
  </w:footnote>
  <w:footnote w:id="3">
    <w:p w:rsidR="00DD7630" w:rsidRDefault="00DD7630">
      <w:pPr>
        <w:pStyle w:val="FootnoteText"/>
      </w:pPr>
      <w:r>
        <w:rPr>
          <w:rStyle w:val="FootnoteReference"/>
        </w:rPr>
        <w:footnoteRef/>
      </w:r>
      <w:r>
        <w:t xml:space="preserve"> </w:t>
      </w:r>
      <w:r>
        <w:tab/>
        <w:t>See Attachment U, Section a.</w:t>
      </w:r>
    </w:p>
    <w:p w:rsidR="00DD7630" w:rsidRDefault="00DD7630">
      <w:pPr>
        <w:pStyle w:val="FootnoteText"/>
      </w:pPr>
    </w:p>
  </w:footnote>
  <w:footnote w:id="4">
    <w:p w:rsidR="00DD7630" w:rsidRDefault="00DD7630">
      <w:pPr>
        <w:pStyle w:val="FootnoteText"/>
      </w:pPr>
      <w:r>
        <w:rPr>
          <w:rStyle w:val="FootnoteReference"/>
        </w:rPr>
        <w:footnoteRef/>
      </w:r>
      <w:r>
        <w:t xml:space="preserve"> </w:t>
      </w:r>
      <w:r>
        <w:tab/>
        <w:t>See Attachment U, Sections b(i) and b(ii).</w:t>
      </w:r>
    </w:p>
    <w:p w:rsidR="00DD7630" w:rsidRDefault="00DD7630" w:rsidP="00A754FE">
      <w:pPr>
        <w:pStyle w:val="FootnoteText"/>
        <w:tabs>
          <w:tab w:val="clear" w:pos="432"/>
          <w:tab w:val="left" w:pos="1959"/>
        </w:tabs>
      </w:pPr>
    </w:p>
  </w:footnote>
  <w:footnote w:id="5">
    <w:p w:rsidR="00DD7630" w:rsidRDefault="00DD7630" w:rsidP="00A754FE">
      <w:pPr>
        <w:pStyle w:val="FootnoteText"/>
      </w:pPr>
      <w:r>
        <w:rPr>
          <w:rStyle w:val="FootnoteReference"/>
        </w:rPr>
        <w:footnoteRef/>
      </w:r>
      <w:r>
        <w:t xml:space="preserve"> </w:t>
      </w:r>
      <w:r>
        <w:tab/>
        <w:t>See Attachment U, Section b(ii).</w:t>
      </w:r>
    </w:p>
    <w:p w:rsidR="00DD7630" w:rsidRDefault="00DD7630" w:rsidP="00A754FE">
      <w:pPr>
        <w:pStyle w:val="FootnoteText"/>
      </w:pPr>
    </w:p>
  </w:footnote>
  <w:footnote w:id="6">
    <w:p w:rsidR="00DD7630" w:rsidRDefault="00DD7630">
      <w:pPr>
        <w:pStyle w:val="FootnoteText"/>
      </w:pPr>
      <w:r>
        <w:rPr>
          <w:rStyle w:val="FootnoteReference"/>
        </w:rPr>
        <w:footnoteRef/>
      </w:r>
      <w:r>
        <w:t xml:space="preserve"> </w:t>
      </w:r>
      <w:r>
        <w:tab/>
        <w:t>See Attachment U, Sections b(i) and b(ii).</w:t>
      </w:r>
    </w:p>
    <w:p w:rsidR="00DD7630" w:rsidRDefault="00DD7630">
      <w:pPr>
        <w:pStyle w:val="FootnoteText"/>
      </w:pPr>
    </w:p>
  </w:footnote>
  <w:footnote w:id="7">
    <w:p w:rsidR="00DD7630" w:rsidRDefault="00DD7630">
      <w:pPr>
        <w:pStyle w:val="FootnoteText"/>
      </w:pPr>
      <w:r>
        <w:rPr>
          <w:rStyle w:val="FootnoteReference"/>
        </w:rPr>
        <w:footnoteRef/>
      </w:r>
      <w:r>
        <w:t xml:space="preserve"> </w:t>
      </w:r>
      <w:r>
        <w:tab/>
        <w:t>See Attachment U, Section b(ii).</w:t>
      </w:r>
    </w:p>
    <w:p w:rsidR="00DD7630" w:rsidRDefault="00DD7630">
      <w:pPr>
        <w:pStyle w:val="FootnoteText"/>
      </w:pPr>
    </w:p>
  </w:footnote>
  <w:footnote w:id="8">
    <w:p w:rsidR="00DD7630" w:rsidRDefault="00DD7630">
      <w:pPr>
        <w:pStyle w:val="FootnoteText"/>
      </w:pPr>
      <w:r>
        <w:rPr>
          <w:rStyle w:val="FootnoteReference"/>
        </w:rPr>
        <w:footnoteRef/>
      </w:r>
      <w:r>
        <w:t xml:space="preserve"> </w:t>
      </w:r>
      <w:r>
        <w:tab/>
        <w:t xml:space="preserve">See </w:t>
      </w:r>
      <w:r w:rsidR="00754FB7">
        <w:t xml:space="preserve">Attachment U, Section b(ii) and  </w:t>
      </w:r>
      <w:r>
        <w:t xml:space="preserve">Attachment U.1, </w:t>
      </w:r>
      <w:r w:rsidR="00E16EB4">
        <w:t xml:space="preserve">Exhibit PEF-2, </w:t>
      </w:r>
      <w:r>
        <w:t>Page 5</w:t>
      </w:r>
      <w:r w:rsidR="00E16EB4">
        <w:t xml:space="preserve"> of 6</w:t>
      </w:r>
      <w:r>
        <w:t>, Note T.</w:t>
      </w:r>
    </w:p>
    <w:p w:rsidR="00DD7630" w:rsidRDefault="00DD7630">
      <w:pPr>
        <w:pStyle w:val="FootnoteText"/>
      </w:pPr>
    </w:p>
  </w:footnote>
  <w:footnote w:id="9">
    <w:p w:rsidR="00DD7630" w:rsidRDefault="00DD7630">
      <w:pPr>
        <w:pStyle w:val="FootnoteText"/>
      </w:pPr>
      <w:r>
        <w:rPr>
          <w:rStyle w:val="FootnoteReference"/>
        </w:rPr>
        <w:footnoteRef/>
      </w:r>
      <w:r>
        <w:t xml:space="preserve"> </w:t>
      </w:r>
      <w:r>
        <w:tab/>
        <w:t>PEF and its affiliate, Carolina Power &amp; Light Company, doing business as Progress Energy Carolinas, Inc. (“PEC”), have a joint OATT.  Therefore, PEF is submitting clean and redlined tariff sheets for the PEF Formula Rate for both the PEF OATT and PEC OATT.</w:t>
      </w:r>
    </w:p>
    <w:p w:rsidR="00DD7630" w:rsidRDefault="00DD7630">
      <w:pPr>
        <w:pStyle w:val="FootnoteText"/>
      </w:pPr>
    </w:p>
  </w:footnote>
  <w:footnote w:id="10">
    <w:p w:rsidR="00DD7630" w:rsidRDefault="00DD7630">
      <w:pPr>
        <w:pStyle w:val="FootnoteText"/>
      </w:pPr>
      <w:r>
        <w:rPr>
          <w:rStyle w:val="FootnoteReference"/>
        </w:rPr>
        <w:footnoteRef/>
      </w:r>
      <w:r>
        <w:t xml:space="preserve"> </w:t>
      </w:r>
      <w:r>
        <w:tab/>
        <w:t>See Attachment U.2, Page 1.</w:t>
      </w:r>
    </w:p>
  </w:footnote>
  <w:footnote w:id="11">
    <w:p w:rsidR="00DD7630" w:rsidRDefault="00DD7630">
      <w:pPr>
        <w:pStyle w:val="FootnoteText"/>
      </w:pPr>
      <w:r>
        <w:rPr>
          <w:rStyle w:val="FootnoteReference"/>
        </w:rPr>
        <w:footnoteRef/>
      </w:r>
      <w:r>
        <w:t xml:space="preserve"> </w:t>
      </w:r>
      <w:r>
        <w:tab/>
        <w:t>See Attachment U.2, Page 1.</w:t>
      </w:r>
    </w:p>
    <w:p w:rsidR="00DD7630" w:rsidRDefault="00DD7630">
      <w:pPr>
        <w:pStyle w:val="FootnoteText"/>
      </w:pPr>
    </w:p>
  </w:footnote>
  <w:footnote w:id="12">
    <w:p w:rsidR="00DD7630" w:rsidRDefault="00DD7630">
      <w:pPr>
        <w:pStyle w:val="FootnoteText"/>
      </w:pPr>
      <w:r>
        <w:rPr>
          <w:rStyle w:val="FootnoteReference"/>
        </w:rPr>
        <w:footnoteRef/>
      </w:r>
      <w:r>
        <w:t xml:space="preserve"> </w:t>
      </w:r>
      <w:r>
        <w:tab/>
        <w:t>If the parties mutually agree to the amount of the lump sum payment and charge for O&amp;M costs, PEF would be required to file those charges at the Commission to obtain its review and acceptance of the charges.</w:t>
      </w:r>
    </w:p>
    <w:p w:rsidR="00DD7630" w:rsidRDefault="00DD7630">
      <w:pPr>
        <w:pStyle w:val="FootnoteText"/>
      </w:pPr>
    </w:p>
  </w:footnote>
  <w:footnote w:id="13">
    <w:p w:rsidR="00DD7630" w:rsidRDefault="00DD7630">
      <w:pPr>
        <w:pStyle w:val="FootnoteText"/>
      </w:pPr>
      <w:r>
        <w:rPr>
          <w:rStyle w:val="FootnoteReference"/>
        </w:rPr>
        <w:footnoteRef/>
      </w:r>
      <w:r>
        <w:t xml:space="preserve"> </w:t>
      </w:r>
      <w:r>
        <w:tab/>
        <w:t>See Attachment U.2, Page 1.</w:t>
      </w:r>
    </w:p>
    <w:p w:rsidR="00DD7630" w:rsidRDefault="00DD7630">
      <w:pPr>
        <w:pStyle w:val="FootnoteText"/>
      </w:pPr>
    </w:p>
  </w:footnote>
  <w:footnote w:id="14">
    <w:p w:rsidR="00DD7630" w:rsidRDefault="00DD7630">
      <w:pPr>
        <w:pStyle w:val="FootnoteText"/>
      </w:pPr>
      <w:r>
        <w:rPr>
          <w:rStyle w:val="FootnoteReference"/>
        </w:rPr>
        <w:footnoteRef/>
      </w:r>
      <w:r>
        <w:t xml:space="preserve"> </w:t>
      </w:r>
      <w:r>
        <w:tab/>
        <w:t>See Attachment U.2, Page 2.</w:t>
      </w:r>
    </w:p>
    <w:p w:rsidR="00DD7630" w:rsidRDefault="00DD7630">
      <w:pPr>
        <w:pStyle w:val="FootnoteText"/>
      </w:pPr>
    </w:p>
  </w:footnote>
  <w:footnote w:id="15">
    <w:p w:rsidR="00DD7630" w:rsidRDefault="00DD7630">
      <w:pPr>
        <w:pStyle w:val="FootnoteText"/>
      </w:pPr>
      <w:r>
        <w:rPr>
          <w:rStyle w:val="FootnoteReference"/>
        </w:rPr>
        <w:footnoteRef/>
      </w:r>
      <w:r>
        <w:t xml:space="preserve"> </w:t>
      </w:r>
      <w:r>
        <w:tab/>
        <w:t>See Attachment U.2, Page 2.</w:t>
      </w:r>
    </w:p>
    <w:p w:rsidR="00DD7630" w:rsidRDefault="00DD7630">
      <w:pPr>
        <w:pStyle w:val="FootnoteText"/>
      </w:pPr>
    </w:p>
  </w:footnote>
  <w:footnote w:id="16">
    <w:p w:rsidR="00DD7630" w:rsidRDefault="00DD7630">
      <w:pPr>
        <w:pStyle w:val="FootnoteText"/>
      </w:pPr>
      <w:r>
        <w:rPr>
          <w:rStyle w:val="FootnoteReference"/>
        </w:rPr>
        <w:footnoteRef/>
      </w:r>
      <w:r>
        <w:t xml:space="preserve"> </w:t>
      </w:r>
      <w:r>
        <w:tab/>
        <w:t>See Attachment U.2, Pages 2-3.</w:t>
      </w:r>
    </w:p>
    <w:p w:rsidR="00DD7630" w:rsidRDefault="00DD7630">
      <w:pPr>
        <w:pStyle w:val="FootnoteText"/>
      </w:pPr>
    </w:p>
  </w:footnote>
  <w:footnote w:id="17">
    <w:p w:rsidR="00DD7630" w:rsidRDefault="00DD7630">
      <w:pPr>
        <w:pStyle w:val="FootnoteText"/>
      </w:pPr>
      <w:r>
        <w:rPr>
          <w:rStyle w:val="FootnoteReference"/>
        </w:rPr>
        <w:footnoteRef/>
      </w:r>
      <w:r>
        <w:t xml:space="preserve"> </w:t>
      </w:r>
      <w:r>
        <w:tab/>
        <w:t>See Attachment U.2, Page 3.</w:t>
      </w:r>
    </w:p>
    <w:p w:rsidR="00DD7630" w:rsidRDefault="00DD7630">
      <w:pPr>
        <w:pStyle w:val="FootnoteText"/>
      </w:pPr>
    </w:p>
  </w:footnote>
  <w:footnote w:id="18">
    <w:p w:rsidR="00DD7630" w:rsidRDefault="00DD7630">
      <w:pPr>
        <w:pStyle w:val="FootnoteText"/>
      </w:pPr>
      <w:r>
        <w:rPr>
          <w:rStyle w:val="FootnoteReference"/>
        </w:rPr>
        <w:footnoteRef/>
      </w:r>
      <w:r>
        <w:t xml:space="preserve"> </w:t>
      </w:r>
      <w:r>
        <w:tab/>
        <w:t>See footnote 8 herein.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30" w:rsidRDefault="00DD7630">
    <w:pPr>
      <w:tabs>
        <w:tab w:val="right" w:pos="9350"/>
      </w:tabs>
      <w:rPr>
        <w:b/>
        <w:bCs/>
        <w:sz w:val="20"/>
      </w:rPr>
    </w:pPr>
    <w:r>
      <w:rPr>
        <w:b/>
        <w:bCs/>
      </w:rPr>
      <w:t>DRAFT – August 2</w:t>
    </w:r>
    <w:r w:rsidR="00F77342">
      <w:rPr>
        <w:b/>
        <w:bCs/>
      </w:rPr>
      <w:t>6</w:t>
    </w:r>
    <w:r>
      <w:rPr>
        <w:b/>
        <w:bCs/>
      </w:rPr>
      <w:t>, 2009</w:t>
    </w:r>
  </w:p>
  <w:p w:rsidR="00DD7630" w:rsidRDefault="005E08EC" w:rsidP="002E2E5F">
    <w:pPr>
      <w:tabs>
        <w:tab w:val="right" w:pos="9350"/>
      </w:tabs>
    </w:pPr>
    <w:r w:rsidRPr="00F2777B">
      <w:rPr>
        <w:snapToGrid w:val="0"/>
        <w:sz w:val="20"/>
      </w:rPr>
      <w:fldChar w:fldCharType="begin"/>
    </w:r>
    <w:r w:rsidR="00DD7630" w:rsidRPr="00F2777B">
      <w:rPr>
        <w:snapToGrid w:val="0"/>
        <w:sz w:val="20"/>
      </w:rPr>
      <w:instrText xml:space="preserve"> FILENAME \p </w:instrText>
    </w:r>
    <w:r w:rsidRPr="00F2777B">
      <w:rPr>
        <w:snapToGrid w:val="0"/>
        <w:sz w:val="20"/>
      </w:rPr>
      <w:fldChar w:fldCharType="separate"/>
    </w:r>
    <w:r w:rsidR="00DD7630">
      <w:rPr>
        <w:noProof/>
        <w:snapToGrid w:val="0"/>
        <w:sz w:val="20"/>
      </w:rPr>
      <w:t>M:\WDOX\CLIENTS\005fpc\00027486.DOCX</w:t>
    </w:r>
    <w:r w:rsidRPr="00F2777B">
      <w:rPr>
        <w:snapToGrid w:val="0"/>
        <w:sz w:val="20"/>
      </w:rPr>
      <w:fldChar w:fldCharType="end"/>
    </w:r>
  </w:p>
  <w:p w:rsidR="00DD7630" w:rsidRPr="007A1EB1" w:rsidRDefault="00DD7630" w:rsidP="007A1EB1"/>
  <w:p w:rsidR="00DD7630" w:rsidRDefault="00DD7630">
    <w:pPr>
      <w:tabs>
        <w:tab w:val="right" w:pos="9350"/>
      </w:tabs>
    </w:pPr>
    <w:r>
      <w:rPr>
        <w:rFonts w:cs="Arial"/>
      </w:rPr>
      <w:t>The Honorable Kimberly D. Bose</w:t>
    </w:r>
    <w:r>
      <w:t xml:space="preserve"> </w:t>
    </w:r>
  </w:p>
  <w:p w:rsidR="00DD7630" w:rsidRDefault="00DD7630">
    <w:pPr>
      <w:tabs>
        <w:tab w:val="right" w:pos="9350"/>
      </w:tabs>
    </w:pPr>
    <w:r>
      <w:t>August ___, 2009</w:t>
    </w:r>
  </w:p>
  <w:p w:rsidR="00DD7630" w:rsidRDefault="00DD7630">
    <w:pPr>
      <w:tabs>
        <w:tab w:val="right" w:pos="9350"/>
      </w:tabs>
      <w:rPr>
        <w:rStyle w:val="PageNumber"/>
      </w:rPr>
    </w:pPr>
    <w:r>
      <w:t xml:space="preserve">Page </w:t>
    </w:r>
    <w:r w:rsidR="005E08EC">
      <w:rPr>
        <w:rStyle w:val="PageNumber"/>
      </w:rPr>
      <w:fldChar w:fldCharType="begin"/>
    </w:r>
    <w:r>
      <w:rPr>
        <w:rStyle w:val="PageNumber"/>
      </w:rPr>
      <w:instrText xml:space="preserve"> PAGE </w:instrText>
    </w:r>
    <w:r w:rsidR="005E08EC">
      <w:rPr>
        <w:rStyle w:val="PageNumber"/>
      </w:rPr>
      <w:fldChar w:fldCharType="separate"/>
    </w:r>
    <w:r w:rsidR="00C762D8">
      <w:rPr>
        <w:rStyle w:val="PageNumber"/>
        <w:noProof/>
      </w:rPr>
      <w:t>6</w:t>
    </w:r>
    <w:r w:rsidR="005E08EC">
      <w:rPr>
        <w:rStyle w:val="PageNumber"/>
      </w:rPr>
      <w:fldChar w:fldCharType="end"/>
    </w:r>
  </w:p>
  <w:p w:rsidR="00DD7630" w:rsidRDefault="005E08EC">
    <w:pPr>
      <w:tabs>
        <w:tab w:val="right" w:pos="9350"/>
      </w:tabs>
    </w:pPr>
    <w:r w:rsidRPr="005E08EC">
      <w:rPr>
        <w:noProof/>
        <w:sz w:val="20"/>
      </w:rPr>
      <w:pict>
        <v:line id="_x0000_s1025" style="position:absolute;z-index:251657728" from="0,11.8pt" to="468pt,11.8pt" strokeweight="3pt"/>
      </w:pict>
    </w:r>
  </w:p>
  <w:p w:rsidR="00DD7630" w:rsidRDefault="00DD7630">
    <w:pPr>
      <w:tabs>
        <w:tab w:val="right" w:pos="9350"/>
      </w:tabs>
    </w:pPr>
  </w:p>
  <w:p w:rsidR="00DD7630" w:rsidRDefault="00DD7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26CAB"/>
    <w:multiLevelType w:val="hybridMultilevel"/>
    <w:tmpl w:val="B00EA3EA"/>
    <w:lvl w:ilvl="0" w:tplc="6682F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D665C5"/>
    <w:multiLevelType w:val="hybridMultilevel"/>
    <w:tmpl w:val="2A9E5898"/>
    <w:lvl w:ilvl="0" w:tplc="DEDC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D2379B"/>
    <w:multiLevelType w:val="hybridMultilevel"/>
    <w:tmpl w:val="2A9E5898"/>
    <w:lvl w:ilvl="0" w:tplc="DEDC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20"/>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8AC"/>
    <w:rsid w:val="00055820"/>
    <w:rsid w:val="00096684"/>
    <w:rsid w:val="000C208B"/>
    <w:rsid w:val="000C6031"/>
    <w:rsid w:val="000C690B"/>
    <w:rsid w:val="001011D4"/>
    <w:rsid w:val="00102523"/>
    <w:rsid w:val="00122783"/>
    <w:rsid w:val="001273CE"/>
    <w:rsid w:val="00166033"/>
    <w:rsid w:val="00166D35"/>
    <w:rsid w:val="001C4C76"/>
    <w:rsid w:val="001C536E"/>
    <w:rsid w:val="001E0279"/>
    <w:rsid w:val="00205F2C"/>
    <w:rsid w:val="002104F8"/>
    <w:rsid w:val="00223842"/>
    <w:rsid w:val="0027071D"/>
    <w:rsid w:val="002924E6"/>
    <w:rsid w:val="002C36F0"/>
    <w:rsid w:val="002C405E"/>
    <w:rsid w:val="002C5F3C"/>
    <w:rsid w:val="002D1C0A"/>
    <w:rsid w:val="002E2E5F"/>
    <w:rsid w:val="002E5319"/>
    <w:rsid w:val="002F0DCA"/>
    <w:rsid w:val="002F5D02"/>
    <w:rsid w:val="00302BB6"/>
    <w:rsid w:val="0032114D"/>
    <w:rsid w:val="00345467"/>
    <w:rsid w:val="00392F09"/>
    <w:rsid w:val="003952EF"/>
    <w:rsid w:val="003B5BE6"/>
    <w:rsid w:val="003D3A4B"/>
    <w:rsid w:val="003E3964"/>
    <w:rsid w:val="003F60FC"/>
    <w:rsid w:val="0040003F"/>
    <w:rsid w:val="0041474E"/>
    <w:rsid w:val="004319E4"/>
    <w:rsid w:val="00452582"/>
    <w:rsid w:val="00463851"/>
    <w:rsid w:val="004C0A93"/>
    <w:rsid w:val="004F4561"/>
    <w:rsid w:val="00510C83"/>
    <w:rsid w:val="00536504"/>
    <w:rsid w:val="00545D9B"/>
    <w:rsid w:val="005508AC"/>
    <w:rsid w:val="005808F3"/>
    <w:rsid w:val="0058616F"/>
    <w:rsid w:val="005C0730"/>
    <w:rsid w:val="005E08EC"/>
    <w:rsid w:val="005E0EB1"/>
    <w:rsid w:val="005F5773"/>
    <w:rsid w:val="00622A9E"/>
    <w:rsid w:val="00644E07"/>
    <w:rsid w:val="00682FA5"/>
    <w:rsid w:val="006844AD"/>
    <w:rsid w:val="00685686"/>
    <w:rsid w:val="006B34E8"/>
    <w:rsid w:val="006D2CDC"/>
    <w:rsid w:val="006F69AA"/>
    <w:rsid w:val="00713300"/>
    <w:rsid w:val="00725986"/>
    <w:rsid w:val="00726B91"/>
    <w:rsid w:val="00735BDC"/>
    <w:rsid w:val="00747A3D"/>
    <w:rsid w:val="00754FB7"/>
    <w:rsid w:val="00771357"/>
    <w:rsid w:val="007A1EB1"/>
    <w:rsid w:val="007C2C7E"/>
    <w:rsid w:val="007E72D5"/>
    <w:rsid w:val="008579EC"/>
    <w:rsid w:val="00877333"/>
    <w:rsid w:val="008867FC"/>
    <w:rsid w:val="008A1D2D"/>
    <w:rsid w:val="008B07A0"/>
    <w:rsid w:val="008E42B6"/>
    <w:rsid w:val="008F63CC"/>
    <w:rsid w:val="00915D21"/>
    <w:rsid w:val="0097760F"/>
    <w:rsid w:val="00991AFB"/>
    <w:rsid w:val="009A613A"/>
    <w:rsid w:val="009D46BE"/>
    <w:rsid w:val="009D6B09"/>
    <w:rsid w:val="009F2E23"/>
    <w:rsid w:val="00A47214"/>
    <w:rsid w:val="00A754FE"/>
    <w:rsid w:val="00AB60DA"/>
    <w:rsid w:val="00AE53CB"/>
    <w:rsid w:val="00B36DB0"/>
    <w:rsid w:val="00B3794D"/>
    <w:rsid w:val="00B646C1"/>
    <w:rsid w:val="00B93CDF"/>
    <w:rsid w:val="00BA2A06"/>
    <w:rsid w:val="00BB12C9"/>
    <w:rsid w:val="00BF32CD"/>
    <w:rsid w:val="00C0078A"/>
    <w:rsid w:val="00C3484A"/>
    <w:rsid w:val="00C619CB"/>
    <w:rsid w:val="00C762D8"/>
    <w:rsid w:val="00CC02E8"/>
    <w:rsid w:val="00D37971"/>
    <w:rsid w:val="00D73AF5"/>
    <w:rsid w:val="00D94616"/>
    <w:rsid w:val="00DA68AC"/>
    <w:rsid w:val="00DD7630"/>
    <w:rsid w:val="00DF7D60"/>
    <w:rsid w:val="00E16EB4"/>
    <w:rsid w:val="00E533A7"/>
    <w:rsid w:val="00E60AF1"/>
    <w:rsid w:val="00EC696C"/>
    <w:rsid w:val="00EE0DEC"/>
    <w:rsid w:val="00F2777B"/>
    <w:rsid w:val="00F30939"/>
    <w:rsid w:val="00F33883"/>
    <w:rsid w:val="00F66FC6"/>
    <w:rsid w:val="00F77342"/>
    <w:rsid w:val="00F91639"/>
    <w:rsid w:val="00FF24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686"/>
    <w:rPr>
      <w:rFonts w:ascii="Arial" w:hAnsi="Arial"/>
      <w:sz w:val="24"/>
      <w:szCs w:val="24"/>
    </w:rPr>
  </w:style>
  <w:style w:type="paragraph" w:styleId="Heading1">
    <w:name w:val="heading 1"/>
    <w:basedOn w:val="Normal"/>
    <w:next w:val="Normal"/>
    <w:qFormat/>
    <w:rsid w:val="00685686"/>
    <w:pPr>
      <w:keepNext/>
      <w:keepLines/>
      <w:spacing w:after="240"/>
      <w:ind w:left="720" w:hanging="720"/>
      <w:outlineLvl w:val="0"/>
    </w:pPr>
    <w:rPr>
      <w:rFonts w:cs="Arial"/>
      <w:b/>
      <w:bCs/>
      <w:smallCaps/>
      <w:sz w:val="28"/>
      <w:szCs w:val="32"/>
    </w:rPr>
  </w:style>
  <w:style w:type="paragraph" w:styleId="Heading2">
    <w:name w:val="heading 2"/>
    <w:basedOn w:val="Normal"/>
    <w:next w:val="Normal"/>
    <w:qFormat/>
    <w:rsid w:val="00685686"/>
    <w:pPr>
      <w:keepNext/>
      <w:keepLines/>
      <w:spacing w:after="240"/>
      <w:ind w:left="1440" w:hanging="720"/>
      <w:outlineLvl w:val="1"/>
    </w:pPr>
    <w:rPr>
      <w:rFonts w:cs="Arial"/>
      <w:b/>
      <w:bCs/>
      <w:iCs/>
      <w:smallCaps/>
      <w:sz w:val="26"/>
      <w:szCs w:val="28"/>
    </w:rPr>
  </w:style>
  <w:style w:type="paragraph" w:styleId="Heading3">
    <w:name w:val="heading 3"/>
    <w:basedOn w:val="Normal"/>
    <w:next w:val="Normal"/>
    <w:qFormat/>
    <w:rsid w:val="00685686"/>
    <w:pPr>
      <w:keepNext/>
      <w:keepLines/>
      <w:spacing w:after="240"/>
      <w:ind w:left="2160" w:hanging="720"/>
      <w:outlineLvl w:val="2"/>
    </w:pPr>
    <w:rPr>
      <w:rFonts w:cs="Arial"/>
      <w:b/>
      <w:bCs/>
      <w:smallCaps/>
      <w:szCs w:val="26"/>
    </w:rPr>
  </w:style>
  <w:style w:type="paragraph" w:styleId="Heading4">
    <w:name w:val="heading 4"/>
    <w:basedOn w:val="Normal"/>
    <w:next w:val="Normal"/>
    <w:qFormat/>
    <w:rsid w:val="00685686"/>
    <w:pPr>
      <w:keepNext/>
      <w:tabs>
        <w:tab w:val="right" w:pos="9350"/>
      </w:tabs>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686"/>
    <w:pPr>
      <w:tabs>
        <w:tab w:val="center" w:pos="4320"/>
        <w:tab w:val="right" w:pos="9360"/>
      </w:tabs>
    </w:pPr>
  </w:style>
  <w:style w:type="character" w:styleId="FootnoteReference">
    <w:name w:val="footnote reference"/>
    <w:basedOn w:val="DefaultParagraphFont"/>
    <w:semiHidden/>
    <w:rsid w:val="00685686"/>
    <w:rPr>
      <w:rFonts w:ascii="Arial" w:hAnsi="Arial"/>
      <w:sz w:val="24"/>
      <w:u w:val="single"/>
      <w:vertAlign w:val="superscript"/>
    </w:rPr>
  </w:style>
  <w:style w:type="paragraph" w:styleId="FootnoteText">
    <w:name w:val="footnote text"/>
    <w:basedOn w:val="Normal"/>
    <w:semiHidden/>
    <w:rsid w:val="00685686"/>
    <w:pPr>
      <w:keepNext/>
      <w:keepLines/>
      <w:tabs>
        <w:tab w:val="left" w:pos="432"/>
      </w:tabs>
      <w:ind w:left="432" w:hanging="432"/>
    </w:pPr>
    <w:rPr>
      <w:sz w:val="20"/>
      <w:szCs w:val="20"/>
    </w:rPr>
  </w:style>
  <w:style w:type="paragraph" w:styleId="Footer">
    <w:name w:val="footer"/>
    <w:basedOn w:val="Normal"/>
    <w:rsid w:val="00685686"/>
    <w:pPr>
      <w:tabs>
        <w:tab w:val="center" w:pos="4320"/>
        <w:tab w:val="right" w:pos="9360"/>
      </w:tabs>
    </w:pPr>
  </w:style>
  <w:style w:type="character" w:styleId="PageNumber">
    <w:name w:val="page number"/>
    <w:basedOn w:val="DefaultParagraphFont"/>
    <w:rsid w:val="00685686"/>
  </w:style>
  <w:style w:type="character" w:styleId="Hyperlink">
    <w:name w:val="Hyperlink"/>
    <w:basedOn w:val="DefaultParagraphFont"/>
    <w:rsid w:val="002F5D02"/>
    <w:rPr>
      <w:color w:val="0000FF" w:themeColor="hyperlink"/>
      <w:u w:val="single"/>
    </w:rPr>
  </w:style>
  <w:style w:type="paragraph" w:customStyle="1" w:styleId="E-Mail">
    <w:name w:val="E-Mail"/>
    <w:basedOn w:val="Heading3"/>
    <w:rsid w:val="00685686"/>
    <w:pPr>
      <w:spacing w:after="0"/>
      <w:ind w:left="0" w:firstLine="0"/>
      <w:jc w:val="center"/>
    </w:pPr>
    <w:rPr>
      <w:rFonts w:ascii="Centaur" w:hAnsi="Centaur"/>
      <w:b w:val="0"/>
      <w:bCs w:val="0"/>
      <w:smallCaps w:val="0"/>
      <w:spacing w:val="30"/>
      <w:sz w:val="18"/>
    </w:rPr>
  </w:style>
  <w:style w:type="paragraph" w:styleId="BlockText">
    <w:name w:val="Block Text"/>
    <w:basedOn w:val="Normal"/>
    <w:rsid w:val="00685686"/>
    <w:pPr>
      <w:ind w:left="1440" w:right="1440"/>
    </w:pPr>
  </w:style>
  <w:style w:type="paragraph" w:styleId="BodyText">
    <w:name w:val="Body Text"/>
    <w:basedOn w:val="Normal"/>
    <w:rsid w:val="00685686"/>
    <w:pPr>
      <w:ind w:left="1440" w:right="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ess-energy.com/aboutenergy/ferc/index.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FilingLetter-ProgressEnerg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2E35-8DDD-46D9-A038-26AFBFEF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FilingLetter-ProgressEnergy</Template>
  <TotalTime>0</TotalTime>
  <Pages>8</Pages>
  <Words>1859</Words>
  <Characters>10277</Characters>
  <Application>Microsoft Office Word</Application>
  <DocSecurity>0</DocSecurity>
  <PresentationFormat>[Compatibility Mode]</PresentationFormat>
  <Lines>274</Lines>
  <Paragraphs>72</Paragraphs>
  <ScaleCrop>false</ScaleCrop>
  <HeadingPairs>
    <vt:vector size="2" baseType="variant">
      <vt:variant>
        <vt:lpstr>Title</vt:lpstr>
      </vt:variant>
      <vt:variant>
        <vt:i4>1</vt:i4>
      </vt:variant>
    </vt:vector>
  </HeadingPairs>
  <TitlesOfParts>
    <vt:vector size="1" baseType="lpstr">
      <vt:lpstr>Tltr for OATT Revisions re Transmission Radials (00027486).DOCX</vt:lpstr>
    </vt:vector>
  </TitlesOfParts>
  <Company>Bruder, Gentile, Marcoux</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Filing letter re New Transmission Radials - 8/26/09 (00027486).DOCX</dc:title>
  <dc:subject/>
  <dc:creator>lkizuka</dc:creator>
  <cp:keywords/>
  <dc:description/>
  <cp:lastModifiedBy>Antonia A. Frost</cp:lastModifiedBy>
  <cp:revision>2</cp:revision>
  <cp:lastPrinted>2009-08-17T14:11:00Z</cp:lastPrinted>
  <dcterms:created xsi:type="dcterms:W3CDTF">2009-08-31T15:11:00Z</dcterms:created>
  <dcterms:modified xsi:type="dcterms:W3CDTF">2009-08-31T15:11:00Z</dcterms:modified>
</cp:coreProperties>
</file>