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A02" w:rsidRDefault="00C37A02" w:rsidP="00C37A02">
      <w:pPr>
        <w:spacing w:line="240" w:lineRule="auto"/>
        <w:rPr>
          <w:rFonts w:ascii="Times New Roman" w:hAnsi="Times New Roman" w:cs="Times New Roman"/>
          <w:b/>
          <w:bCs/>
          <w:color w:val="000000"/>
          <w:sz w:val="24"/>
          <w:szCs w:val="24"/>
        </w:rPr>
      </w:pPr>
      <w:bookmarkStart w:id="0" w:name="_GoBack"/>
      <w:bookmarkEnd w:id="0"/>
      <w:r>
        <w:rPr>
          <w:rFonts w:ascii="Times New Roman" w:hAnsi="Times New Roman" w:cs="Times New Roman"/>
          <w:b/>
          <w:bCs/>
          <w:color w:val="000000"/>
          <w:sz w:val="24"/>
          <w:szCs w:val="24"/>
        </w:rPr>
        <w:t>METHODOLOGY TO ASSESS AVAILABLE TRANSFER CAPABILITY</w:t>
      </w:r>
    </w:p>
    <w:p w:rsidR="00C37A02" w:rsidRDefault="00C37A02" w:rsidP="00C37A02">
      <w:pPr>
        <w:spacing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(DEF ZONE)</w:t>
      </w:r>
    </w:p>
    <w:p w:rsidR="00C37A02" w:rsidRDefault="00C37A02" w:rsidP="00C37A02">
      <w:pPr>
        <w:spacing w:line="240" w:lineRule="auto"/>
        <w:rPr>
          <w:rFonts w:ascii="Times New Roman" w:hAnsi="Times New Roman" w:cs="Times New Roman"/>
          <w:b/>
          <w:bCs/>
          <w:color w:val="000000"/>
          <w:sz w:val="24"/>
          <w:szCs w:val="24"/>
        </w:rPr>
      </w:pPr>
    </w:p>
    <w:p w:rsidR="00C37A02" w:rsidRDefault="00C37A02" w:rsidP="00C37A02">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This Attachment C-2 describes the DEF methodology used to assess Total Transfer Capability ("TTC") and Available Transfer Capability ("ATC"). Members of the Florida Reliability Coordinating Council (FRCC) have formed the Florida Transmission Capability Determination Group (FTCDG) in an effort to provide ATC values to the regional electric market that are transparent, consistent, timely, and as accurate as possible. The FTCDG has contracted with Open Access Technology International, Inc. (OATI) to provide and host an OATI TTC Calculator Software that will produce ATC and TTC values for the region.</w:t>
      </w:r>
    </w:p>
    <w:p w:rsidR="00C37A02" w:rsidRDefault="00C37A02" w:rsidP="00C37A02">
      <w:pPr>
        <w:spacing w:line="240" w:lineRule="auto"/>
        <w:rPr>
          <w:rFonts w:ascii="Times New Roman" w:hAnsi="Times New Roman" w:cs="Times New Roman"/>
          <w:color w:val="000000"/>
          <w:sz w:val="24"/>
          <w:szCs w:val="24"/>
        </w:rPr>
      </w:pPr>
    </w:p>
    <w:p w:rsidR="00C37A02" w:rsidRDefault="00C37A02" w:rsidP="00C37A02">
      <w:pPr>
        <w:spacing w:line="240" w:lineRule="auto"/>
        <w:rPr>
          <w:rFonts w:ascii="Times New Roman" w:hAnsi="Times New Roman" w:cs="Times New Roman"/>
          <w:color w:val="000000"/>
          <w:sz w:val="24"/>
          <w:szCs w:val="24"/>
        </w:rPr>
      </w:pPr>
    </w:p>
    <w:p w:rsidR="00C37A02" w:rsidRDefault="00C37A02" w:rsidP="00C37A02">
      <w:pPr>
        <w:spacing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M</w:t>
      </w:r>
      <w:r>
        <w:rPr>
          <w:rFonts w:ascii="Times New Roman" w:hAnsi="Times New Roman" w:cs="Times New Roman"/>
          <w:b/>
          <w:bCs/>
          <w:color w:val="000000"/>
          <w:sz w:val="19"/>
          <w:szCs w:val="19"/>
        </w:rPr>
        <w:t xml:space="preserve">ATHEMATICAL </w:t>
      </w:r>
      <w:r>
        <w:rPr>
          <w:rFonts w:ascii="Times New Roman" w:hAnsi="Times New Roman" w:cs="Times New Roman"/>
          <w:b/>
          <w:bCs/>
          <w:color w:val="000000"/>
          <w:sz w:val="24"/>
          <w:szCs w:val="24"/>
        </w:rPr>
        <w:t>A</w:t>
      </w:r>
      <w:r>
        <w:rPr>
          <w:rFonts w:ascii="Times New Roman" w:hAnsi="Times New Roman" w:cs="Times New Roman"/>
          <w:b/>
          <w:bCs/>
          <w:color w:val="000000"/>
          <w:sz w:val="19"/>
          <w:szCs w:val="19"/>
        </w:rPr>
        <w:t>LGORITHM</w:t>
      </w:r>
      <w:r>
        <w:rPr>
          <w:rFonts w:ascii="Times New Roman" w:hAnsi="Times New Roman" w:cs="Times New Roman"/>
          <w:b/>
          <w:bCs/>
          <w:color w:val="000000"/>
          <w:sz w:val="24"/>
          <w:szCs w:val="24"/>
        </w:rPr>
        <w:t>:</w:t>
      </w:r>
    </w:p>
    <w:p w:rsidR="00C37A02" w:rsidRDefault="00C37A02" w:rsidP="00C37A02">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table below describes the mathematical algorithms used to calculate firm and non-firm ATC for the scheduling, operating and planning horizons.</w:t>
      </w:r>
    </w:p>
    <w:p w:rsidR="00652F75" w:rsidRDefault="00652F75" w:rsidP="00652F75">
      <w:pPr>
        <w:spacing w:line="240" w:lineRule="auto"/>
        <w:rPr>
          <w:rFonts w:ascii="Arial,Bold" w:hAnsi="Arial,Bold" w:cs="Arial,Bold"/>
          <w:b/>
          <w:bCs/>
        </w:rPr>
      </w:pPr>
    </w:p>
    <w:tbl>
      <w:tblPr>
        <w:tblW w:w="9000" w:type="dxa"/>
        <w:tblInd w:w="108" w:type="dxa"/>
        <w:tblBorders>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0"/>
        <w:gridCol w:w="1800"/>
        <w:gridCol w:w="2760"/>
        <w:gridCol w:w="2760"/>
      </w:tblGrid>
      <w:tr w:rsidR="00652F75" w:rsidRPr="00827015" w:rsidTr="002D4B8E">
        <w:trPr>
          <w:trHeight w:val="342"/>
        </w:trPr>
        <w:tc>
          <w:tcPr>
            <w:tcW w:w="1680" w:type="dxa"/>
            <w:tcBorders>
              <w:bottom w:val="nil"/>
              <w:right w:val="single" w:sz="12" w:space="0" w:color="auto"/>
            </w:tcBorders>
            <w:vAlign w:val="center"/>
          </w:tcPr>
          <w:p w:rsidR="00652F75" w:rsidRPr="00827015" w:rsidRDefault="00652F75" w:rsidP="002D4B8E">
            <w:pPr>
              <w:jc w:val="center"/>
              <w:rPr>
                <w:rFonts w:ascii="Gautami" w:hAnsi="Gautami" w:cs="Gautami"/>
                <w:sz w:val="16"/>
                <w:szCs w:val="16"/>
              </w:rPr>
            </w:pPr>
          </w:p>
        </w:tc>
        <w:tc>
          <w:tcPr>
            <w:tcW w:w="7320" w:type="dxa"/>
            <w:gridSpan w:val="3"/>
            <w:tcBorders>
              <w:top w:val="single" w:sz="12" w:space="0" w:color="auto"/>
              <w:left w:val="single" w:sz="12" w:space="0" w:color="auto"/>
              <w:bottom w:val="single" w:sz="12" w:space="0" w:color="auto"/>
              <w:right w:val="single" w:sz="12" w:space="0" w:color="auto"/>
            </w:tcBorders>
            <w:vAlign w:val="center"/>
          </w:tcPr>
          <w:p w:rsidR="00652F75" w:rsidRPr="00827015" w:rsidRDefault="00652F75" w:rsidP="002D4B8E">
            <w:pPr>
              <w:jc w:val="center"/>
              <w:rPr>
                <w:rFonts w:ascii="Gautami" w:hAnsi="Gautami" w:cs="Gautami"/>
                <w:b/>
                <w:sz w:val="16"/>
                <w:szCs w:val="16"/>
              </w:rPr>
            </w:pPr>
            <w:r w:rsidRPr="00827015">
              <w:rPr>
                <w:rFonts w:ascii="Gautami" w:hAnsi="Gautami" w:cs="Gautami"/>
                <w:b/>
                <w:sz w:val="16"/>
                <w:szCs w:val="16"/>
              </w:rPr>
              <w:t>CALCULATION HORIZON</w:t>
            </w:r>
          </w:p>
        </w:tc>
      </w:tr>
      <w:tr w:rsidR="00652F75" w:rsidRPr="00827015" w:rsidTr="002D4B8E">
        <w:trPr>
          <w:trHeight w:val="442"/>
        </w:trPr>
        <w:tc>
          <w:tcPr>
            <w:tcW w:w="1680" w:type="dxa"/>
            <w:tcBorders>
              <w:top w:val="nil"/>
              <w:left w:val="nil"/>
              <w:bottom w:val="single" w:sz="12" w:space="0" w:color="auto"/>
              <w:right w:val="single" w:sz="12" w:space="0" w:color="auto"/>
            </w:tcBorders>
            <w:vAlign w:val="center"/>
          </w:tcPr>
          <w:p w:rsidR="00652F75" w:rsidRPr="00827015" w:rsidRDefault="00652F75" w:rsidP="002D4B8E">
            <w:pPr>
              <w:jc w:val="center"/>
              <w:rPr>
                <w:rFonts w:ascii="Gautami" w:hAnsi="Gautami" w:cs="Gautami"/>
                <w:sz w:val="16"/>
                <w:szCs w:val="16"/>
              </w:rPr>
            </w:pPr>
          </w:p>
        </w:tc>
        <w:tc>
          <w:tcPr>
            <w:tcW w:w="1800" w:type="dxa"/>
            <w:tcBorders>
              <w:top w:val="single" w:sz="12" w:space="0" w:color="auto"/>
              <w:left w:val="single" w:sz="12" w:space="0" w:color="auto"/>
              <w:bottom w:val="single" w:sz="12" w:space="0" w:color="auto"/>
              <w:right w:val="single" w:sz="4" w:space="0" w:color="auto"/>
            </w:tcBorders>
            <w:vAlign w:val="center"/>
          </w:tcPr>
          <w:p w:rsidR="00652F75" w:rsidRPr="00827015" w:rsidRDefault="00652F75" w:rsidP="002D4B8E">
            <w:pPr>
              <w:jc w:val="center"/>
              <w:rPr>
                <w:rFonts w:ascii="Gautami" w:hAnsi="Gautami" w:cs="Gautami"/>
                <w:b/>
                <w:sz w:val="16"/>
                <w:szCs w:val="16"/>
              </w:rPr>
            </w:pPr>
            <w:r w:rsidRPr="00827015">
              <w:rPr>
                <w:rFonts w:ascii="Gautami" w:hAnsi="Gautami" w:cs="Gautami"/>
                <w:b/>
                <w:sz w:val="16"/>
                <w:szCs w:val="16"/>
              </w:rPr>
              <w:t>SCHEDULING</w:t>
            </w:r>
          </w:p>
        </w:tc>
        <w:tc>
          <w:tcPr>
            <w:tcW w:w="2760" w:type="dxa"/>
            <w:tcBorders>
              <w:top w:val="single" w:sz="12" w:space="0" w:color="auto"/>
              <w:left w:val="single" w:sz="4" w:space="0" w:color="auto"/>
              <w:bottom w:val="single" w:sz="12" w:space="0" w:color="auto"/>
              <w:right w:val="single" w:sz="4" w:space="0" w:color="auto"/>
            </w:tcBorders>
            <w:vAlign w:val="center"/>
          </w:tcPr>
          <w:p w:rsidR="00652F75" w:rsidRPr="00827015" w:rsidRDefault="00652F75" w:rsidP="002D4B8E">
            <w:pPr>
              <w:jc w:val="center"/>
              <w:rPr>
                <w:rFonts w:ascii="Gautami" w:hAnsi="Gautami" w:cs="Gautami"/>
                <w:b/>
                <w:sz w:val="16"/>
                <w:szCs w:val="16"/>
              </w:rPr>
            </w:pPr>
            <w:r w:rsidRPr="00827015">
              <w:rPr>
                <w:rFonts w:ascii="Gautami" w:hAnsi="Gautami" w:cs="Gautami"/>
                <w:b/>
                <w:sz w:val="16"/>
                <w:szCs w:val="16"/>
              </w:rPr>
              <w:t>OPERATING</w:t>
            </w:r>
          </w:p>
        </w:tc>
        <w:tc>
          <w:tcPr>
            <w:tcW w:w="2760" w:type="dxa"/>
            <w:tcBorders>
              <w:top w:val="single" w:sz="12" w:space="0" w:color="auto"/>
              <w:left w:val="single" w:sz="4" w:space="0" w:color="auto"/>
              <w:bottom w:val="single" w:sz="12" w:space="0" w:color="auto"/>
              <w:right w:val="single" w:sz="12" w:space="0" w:color="auto"/>
            </w:tcBorders>
            <w:vAlign w:val="center"/>
          </w:tcPr>
          <w:p w:rsidR="00652F75" w:rsidRPr="00827015" w:rsidRDefault="00652F75" w:rsidP="002D4B8E">
            <w:pPr>
              <w:jc w:val="center"/>
              <w:rPr>
                <w:rFonts w:ascii="Gautami" w:hAnsi="Gautami" w:cs="Gautami"/>
                <w:b/>
                <w:sz w:val="16"/>
                <w:szCs w:val="16"/>
              </w:rPr>
            </w:pPr>
            <w:r w:rsidRPr="00827015">
              <w:rPr>
                <w:rFonts w:ascii="Gautami" w:hAnsi="Gautami" w:cs="Gautami"/>
                <w:b/>
                <w:sz w:val="16"/>
                <w:szCs w:val="16"/>
              </w:rPr>
              <w:t>PLANNING</w:t>
            </w:r>
          </w:p>
        </w:tc>
      </w:tr>
      <w:tr w:rsidR="00652F75" w:rsidRPr="00827015" w:rsidTr="002D4B8E">
        <w:trPr>
          <w:trHeight w:val="391"/>
        </w:trPr>
        <w:tc>
          <w:tcPr>
            <w:tcW w:w="1680" w:type="dxa"/>
            <w:tcBorders>
              <w:top w:val="single" w:sz="12" w:space="0" w:color="auto"/>
              <w:left w:val="single" w:sz="12" w:space="0" w:color="auto"/>
              <w:right w:val="single" w:sz="12" w:space="0" w:color="auto"/>
            </w:tcBorders>
            <w:vAlign w:val="center"/>
          </w:tcPr>
          <w:p w:rsidR="00652F75" w:rsidRPr="00827015" w:rsidRDefault="00652F75" w:rsidP="002D4B8E">
            <w:pPr>
              <w:jc w:val="center"/>
              <w:rPr>
                <w:rFonts w:ascii="Gautami" w:hAnsi="Gautami" w:cs="Gautami"/>
                <w:b/>
                <w:sz w:val="16"/>
                <w:szCs w:val="16"/>
              </w:rPr>
            </w:pPr>
            <w:r w:rsidRPr="00827015">
              <w:rPr>
                <w:rFonts w:ascii="Gautami" w:hAnsi="Gautami" w:cs="Gautami"/>
                <w:b/>
                <w:sz w:val="16"/>
                <w:szCs w:val="16"/>
              </w:rPr>
              <w:t>FIRM</w:t>
            </w:r>
          </w:p>
        </w:tc>
        <w:tc>
          <w:tcPr>
            <w:tcW w:w="1800" w:type="dxa"/>
            <w:tcBorders>
              <w:top w:val="single" w:sz="12" w:space="0" w:color="auto"/>
              <w:left w:val="single" w:sz="12" w:space="0" w:color="auto"/>
              <w:bottom w:val="single" w:sz="4" w:space="0" w:color="auto"/>
            </w:tcBorders>
            <w:vAlign w:val="center"/>
          </w:tcPr>
          <w:p w:rsidR="00652F75" w:rsidRPr="00827015" w:rsidRDefault="00652F75" w:rsidP="002D4B8E">
            <w:pPr>
              <w:jc w:val="center"/>
              <w:rPr>
                <w:rFonts w:ascii="Gautami" w:hAnsi="Gautami" w:cs="Gautami"/>
                <w:sz w:val="16"/>
                <w:szCs w:val="16"/>
              </w:rPr>
            </w:pPr>
            <w:r w:rsidRPr="00827015">
              <w:rPr>
                <w:rFonts w:ascii="Gautami" w:hAnsi="Gautami" w:cs="Gautami"/>
                <w:sz w:val="16"/>
                <w:szCs w:val="16"/>
              </w:rPr>
              <w:t>N/A</w:t>
            </w:r>
          </w:p>
        </w:tc>
        <w:tc>
          <w:tcPr>
            <w:tcW w:w="2760" w:type="dxa"/>
            <w:tcBorders>
              <w:top w:val="single" w:sz="12" w:space="0" w:color="auto"/>
              <w:bottom w:val="single" w:sz="4" w:space="0" w:color="auto"/>
            </w:tcBorders>
            <w:vAlign w:val="center"/>
          </w:tcPr>
          <w:p w:rsidR="00652F75" w:rsidRPr="00827015" w:rsidRDefault="00652F75" w:rsidP="002D4B8E">
            <w:pPr>
              <w:jc w:val="center"/>
              <w:rPr>
                <w:rFonts w:ascii="Gautami" w:hAnsi="Gautami" w:cs="Gautami"/>
                <w:sz w:val="16"/>
                <w:szCs w:val="16"/>
                <w:lang w:val="pt-BR"/>
              </w:rPr>
            </w:pPr>
            <w:r w:rsidRPr="00827015">
              <w:rPr>
                <w:rFonts w:ascii="Gautami" w:hAnsi="Gautami" w:cs="Gautami"/>
                <w:sz w:val="16"/>
                <w:szCs w:val="16"/>
                <w:lang w:val="pt-BR"/>
              </w:rPr>
              <w:t>ATC = TTC - ETC - TRM - CBM</w:t>
            </w:r>
          </w:p>
        </w:tc>
        <w:tc>
          <w:tcPr>
            <w:tcW w:w="2760" w:type="dxa"/>
            <w:tcBorders>
              <w:top w:val="single" w:sz="12" w:space="0" w:color="auto"/>
              <w:right w:val="single" w:sz="12" w:space="0" w:color="auto"/>
            </w:tcBorders>
            <w:vAlign w:val="center"/>
          </w:tcPr>
          <w:p w:rsidR="00652F75" w:rsidRPr="00827015" w:rsidRDefault="00652F75" w:rsidP="002D4B8E">
            <w:pPr>
              <w:jc w:val="center"/>
              <w:rPr>
                <w:rFonts w:ascii="Gautami" w:hAnsi="Gautami" w:cs="Gautami"/>
                <w:sz w:val="16"/>
                <w:szCs w:val="16"/>
                <w:lang w:val="pt-BR"/>
              </w:rPr>
            </w:pPr>
            <w:r w:rsidRPr="00827015">
              <w:rPr>
                <w:rFonts w:ascii="Gautami" w:hAnsi="Gautami" w:cs="Gautami"/>
                <w:sz w:val="16"/>
                <w:szCs w:val="16"/>
                <w:lang w:val="pt-BR"/>
              </w:rPr>
              <w:t>ATC = TTC - ETC - TRM - CBM</w:t>
            </w:r>
          </w:p>
        </w:tc>
      </w:tr>
      <w:tr w:rsidR="00652F75" w:rsidRPr="00827015" w:rsidTr="002D4B8E">
        <w:trPr>
          <w:trHeight w:val="520"/>
        </w:trPr>
        <w:tc>
          <w:tcPr>
            <w:tcW w:w="1680" w:type="dxa"/>
            <w:tcBorders>
              <w:top w:val="single" w:sz="4" w:space="0" w:color="auto"/>
              <w:left w:val="single" w:sz="12" w:space="0" w:color="auto"/>
              <w:bottom w:val="single" w:sz="12" w:space="0" w:color="auto"/>
              <w:right w:val="single" w:sz="12" w:space="0" w:color="auto"/>
            </w:tcBorders>
            <w:vAlign w:val="center"/>
          </w:tcPr>
          <w:p w:rsidR="00652F75" w:rsidRPr="00827015" w:rsidRDefault="00652F75" w:rsidP="002D4B8E">
            <w:pPr>
              <w:jc w:val="center"/>
              <w:rPr>
                <w:rFonts w:ascii="Gautami" w:hAnsi="Gautami" w:cs="Gautami"/>
                <w:b/>
                <w:sz w:val="16"/>
                <w:szCs w:val="16"/>
              </w:rPr>
            </w:pPr>
            <w:r w:rsidRPr="00827015">
              <w:rPr>
                <w:rFonts w:ascii="Gautami" w:hAnsi="Gautami" w:cs="Gautami"/>
                <w:b/>
                <w:sz w:val="16"/>
                <w:szCs w:val="16"/>
              </w:rPr>
              <w:t>NON-FIRM</w:t>
            </w:r>
          </w:p>
        </w:tc>
        <w:tc>
          <w:tcPr>
            <w:tcW w:w="1800" w:type="dxa"/>
            <w:tcBorders>
              <w:top w:val="single" w:sz="4" w:space="0" w:color="auto"/>
              <w:left w:val="single" w:sz="12" w:space="0" w:color="auto"/>
              <w:bottom w:val="single" w:sz="12" w:space="0" w:color="auto"/>
            </w:tcBorders>
            <w:vAlign w:val="center"/>
          </w:tcPr>
          <w:p w:rsidR="00652F75" w:rsidRPr="00827015" w:rsidRDefault="00652F75" w:rsidP="002D4B8E">
            <w:pPr>
              <w:jc w:val="center"/>
              <w:rPr>
                <w:rFonts w:ascii="Gautami" w:hAnsi="Gautami" w:cs="Gautami"/>
                <w:sz w:val="16"/>
                <w:szCs w:val="16"/>
              </w:rPr>
            </w:pPr>
            <w:r w:rsidRPr="00827015">
              <w:rPr>
                <w:rFonts w:ascii="Gautami" w:hAnsi="Gautami" w:cs="Gautami"/>
                <w:sz w:val="16"/>
                <w:szCs w:val="16"/>
              </w:rPr>
              <w:t>ATC = TTC - ETC</w:t>
            </w:r>
          </w:p>
        </w:tc>
        <w:tc>
          <w:tcPr>
            <w:tcW w:w="2760" w:type="dxa"/>
            <w:tcBorders>
              <w:top w:val="single" w:sz="4" w:space="0" w:color="auto"/>
              <w:bottom w:val="single" w:sz="12" w:space="0" w:color="auto"/>
            </w:tcBorders>
            <w:vAlign w:val="center"/>
          </w:tcPr>
          <w:p w:rsidR="00652F75" w:rsidRPr="00827015" w:rsidRDefault="00652F75" w:rsidP="002D4B8E">
            <w:pPr>
              <w:jc w:val="center"/>
              <w:rPr>
                <w:rFonts w:ascii="Gautami" w:hAnsi="Gautami" w:cs="Gautami"/>
                <w:sz w:val="16"/>
                <w:szCs w:val="16"/>
              </w:rPr>
            </w:pPr>
            <w:r w:rsidRPr="00827015">
              <w:rPr>
                <w:rFonts w:ascii="Gautami" w:hAnsi="Gautami" w:cs="Gautami"/>
                <w:sz w:val="16"/>
                <w:szCs w:val="16"/>
              </w:rPr>
              <w:t>ATC = TTC - ETC - CBM</w:t>
            </w:r>
          </w:p>
        </w:tc>
        <w:tc>
          <w:tcPr>
            <w:tcW w:w="2760" w:type="dxa"/>
            <w:tcBorders>
              <w:top w:val="single" w:sz="4" w:space="0" w:color="auto"/>
              <w:bottom w:val="single" w:sz="12" w:space="0" w:color="auto"/>
              <w:right w:val="single" w:sz="12" w:space="0" w:color="auto"/>
            </w:tcBorders>
            <w:vAlign w:val="center"/>
          </w:tcPr>
          <w:p w:rsidR="00652F75" w:rsidRPr="00827015" w:rsidRDefault="00652F75" w:rsidP="002D4B8E">
            <w:pPr>
              <w:jc w:val="center"/>
              <w:rPr>
                <w:rFonts w:ascii="Gautami" w:hAnsi="Gautami" w:cs="Gautami"/>
                <w:sz w:val="16"/>
                <w:szCs w:val="16"/>
              </w:rPr>
            </w:pPr>
            <w:r w:rsidRPr="00827015">
              <w:rPr>
                <w:rFonts w:ascii="Gautami" w:hAnsi="Gautami" w:cs="Gautami"/>
                <w:sz w:val="16"/>
                <w:szCs w:val="16"/>
              </w:rPr>
              <w:t>ATC = TTC - ETC - CBM</w:t>
            </w:r>
          </w:p>
        </w:tc>
      </w:tr>
    </w:tbl>
    <w:p w:rsidR="00E87736" w:rsidRDefault="00E87736">
      <w:pPr>
        <w:spacing w:line="240" w:lineRule="auto"/>
        <w:rPr>
          <w:rFonts w:ascii="Univers" w:hAnsi="Univers"/>
          <w:b/>
          <w:smallCaps/>
          <w:sz w:val="16"/>
          <w:szCs w:val="16"/>
          <w:u w:val="single"/>
        </w:rPr>
      </w:pPr>
    </w:p>
    <w:p w:rsidR="00A74BD2" w:rsidRDefault="00A74BD2" w:rsidP="000D3715">
      <w:pPr>
        <w:spacing w:line="240" w:lineRule="auto"/>
        <w:rPr>
          <w:rFonts w:ascii="Univers" w:hAnsi="Univers"/>
          <w:b/>
          <w:smallCaps/>
          <w:sz w:val="16"/>
          <w:szCs w:val="16"/>
          <w:u w:val="single"/>
        </w:rPr>
      </w:pPr>
    </w:p>
    <w:p w:rsidR="00A74BD2" w:rsidRDefault="00A74BD2" w:rsidP="000D3715">
      <w:pPr>
        <w:spacing w:line="240" w:lineRule="auto"/>
        <w:rPr>
          <w:rFonts w:ascii="Univers" w:hAnsi="Univers"/>
          <w:b/>
          <w:smallCaps/>
          <w:sz w:val="16"/>
          <w:szCs w:val="16"/>
          <w:u w:val="single"/>
        </w:rPr>
      </w:pPr>
      <w:r w:rsidRPr="00A54186">
        <w:rPr>
          <w:color w:val="000000"/>
        </w:rPr>
        <w:t>The Scheduling Horizon is the same day and real time.</w:t>
      </w:r>
      <w:r w:rsidRPr="00A54186">
        <w:rPr>
          <w:color w:val="000000"/>
        </w:rPr>
        <w:br/>
        <w:t>The ATC Operating Horizon is day ahead and pre-schedule.</w:t>
      </w:r>
      <w:r w:rsidRPr="00A54186">
        <w:rPr>
          <w:color w:val="000000"/>
        </w:rPr>
        <w:br/>
        <w:t>The ATC Planning Horizon is beyond the operating horizon out to month 13</w:t>
      </w:r>
      <w:r w:rsidR="00943C9A">
        <w:rPr>
          <w:color w:val="000000"/>
        </w:rPr>
        <w:t>.</w:t>
      </w:r>
    </w:p>
    <w:p w:rsidR="00A74BD2" w:rsidRDefault="00A74BD2" w:rsidP="000D3715">
      <w:pPr>
        <w:spacing w:line="240" w:lineRule="auto"/>
        <w:rPr>
          <w:rFonts w:ascii="Univers" w:hAnsi="Univers"/>
          <w:b/>
          <w:smallCaps/>
          <w:sz w:val="16"/>
          <w:szCs w:val="16"/>
          <w:u w:val="single"/>
        </w:rPr>
      </w:pPr>
    </w:p>
    <w:p w:rsidR="00A74BD2" w:rsidRDefault="00A74BD2" w:rsidP="000D3715">
      <w:pPr>
        <w:spacing w:line="240" w:lineRule="auto"/>
        <w:rPr>
          <w:rFonts w:ascii="Univers" w:hAnsi="Univers"/>
          <w:b/>
          <w:smallCaps/>
          <w:sz w:val="16"/>
          <w:szCs w:val="16"/>
          <w:u w:val="single"/>
        </w:rPr>
      </w:pPr>
    </w:p>
    <w:p w:rsidR="00652F75" w:rsidRDefault="00652F75" w:rsidP="00652F75">
      <w:pPr>
        <w:spacing w:line="240" w:lineRule="auto"/>
        <w:rPr>
          <w:rFonts w:ascii="Univers" w:hAnsi="Univers"/>
        </w:rPr>
      </w:pPr>
      <w:r>
        <w:rPr>
          <w:rFonts w:ascii="Univers" w:hAnsi="Univers"/>
          <w:b/>
          <w:smallCaps/>
          <w:sz w:val="16"/>
          <w:szCs w:val="16"/>
          <w:u w:val="single"/>
        </w:rPr>
        <w:t xml:space="preserve">N/A - Firm products do not exist in Scheduling </w:t>
      </w:r>
      <w:r w:rsidR="005730ED">
        <w:rPr>
          <w:rFonts w:ascii="Univers" w:hAnsi="Univers"/>
          <w:b/>
          <w:smallCaps/>
          <w:sz w:val="16"/>
          <w:szCs w:val="16"/>
          <w:u w:val="single"/>
        </w:rPr>
        <w:t>HORIZON</w:t>
      </w:r>
      <w:r>
        <w:rPr>
          <w:rFonts w:ascii="Univers" w:hAnsi="Univers"/>
          <w:b/>
          <w:smallCaps/>
          <w:sz w:val="16"/>
          <w:szCs w:val="16"/>
          <w:u w:val="single"/>
        </w:rPr>
        <w:t>.</w:t>
      </w:r>
    </w:p>
    <w:p w:rsidR="00652F75" w:rsidRDefault="00652F75" w:rsidP="00652F75">
      <w:pPr>
        <w:tabs>
          <w:tab w:val="left" w:pos="8820"/>
        </w:tabs>
        <w:spacing w:line="240" w:lineRule="auto"/>
        <w:ind w:right="184"/>
        <w:jc w:val="both"/>
        <w:rPr>
          <w:rFonts w:ascii="Univers" w:hAnsi="Univers"/>
        </w:rPr>
      </w:pPr>
    </w:p>
    <w:p w:rsidR="00F45A24" w:rsidRPr="00642578" w:rsidRDefault="00F45A24" w:rsidP="00F45A24">
      <w:pPr>
        <w:tabs>
          <w:tab w:val="left" w:pos="0"/>
          <w:tab w:val="left" w:pos="1260"/>
          <w:tab w:val="left" w:pos="2070"/>
          <w:tab w:val="left" w:pos="4140"/>
          <w:tab w:val="left" w:pos="4320"/>
          <w:tab w:val="left" w:pos="5040"/>
          <w:tab w:val="left" w:pos="5760"/>
          <w:tab w:val="left" w:pos="6480"/>
          <w:tab w:val="left" w:pos="7200"/>
          <w:tab w:val="left" w:pos="7920"/>
          <w:tab w:val="left" w:pos="8640"/>
        </w:tabs>
        <w:jc w:val="both"/>
        <w:rPr>
          <w:b/>
          <w:smallCaps/>
          <w:u w:val="single"/>
        </w:rPr>
      </w:pPr>
      <w:r w:rsidRPr="00642578">
        <w:rPr>
          <w:b/>
          <w:smallCaps/>
          <w:u w:val="single"/>
        </w:rPr>
        <w:t xml:space="preserve">ATC, TTC, </w:t>
      </w:r>
      <w:r>
        <w:rPr>
          <w:b/>
          <w:smallCaps/>
          <w:u w:val="single"/>
        </w:rPr>
        <w:t xml:space="preserve">ETC, </w:t>
      </w:r>
      <w:r w:rsidRPr="00642578">
        <w:rPr>
          <w:b/>
          <w:smallCaps/>
          <w:u w:val="single"/>
        </w:rPr>
        <w:t>and TRM Calculation</w:t>
      </w:r>
      <w:r>
        <w:rPr>
          <w:b/>
          <w:smallCaps/>
          <w:u w:val="single"/>
        </w:rPr>
        <w:t>:</w:t>
      </w:r>
    </w:p>
    <w:p w:rsidR="00215127" w:rsidRDefault="00F45A24" w:rsidP="00215127">
      <w:pPr>
        <w:spacing w:line="240" w:lineRule="auto"/>
        <w:jc w:val="both"/>
        <w:rPr>
          <w:bCs/>
        </w:rPr>
      </w:pPr>
      <w:r>
        <w:rPr>
          <w:bCs/>
        </w:rPr>
        <w:t xml:space="preserve">ATC values are determined using </w:t>
      </w:r>
      <w:r w:rsidR="005730ED">
        <w:rPr>
          <w:bCs/>
        </w:rPr>
        <w:t>an</w:t>
      </w:r>
      <w:r>
        <w:rPr>
          <w:bCs/>
        </w:rPr>
        <w:t xml:space="preserve"> area interchange</w:t>
      </w:r>
      <w:r w:rsidR="00F26417" w:rsidRPr="00F26417">
        <w:t xml:space="preserve"> method to determine ATC on paths within the FRCC. </w:t>
      </w:r>
    </w:p>
    <w:p w:rsidR="00A74BD2" w:rsidRDefault="00A74BD2" w:rsidP="00215127">
      <w:pPr>
        <w:spacing w:line="240" w:lineRule="auto"/>
        <w:ind w:left="720"/>
        <w:rPr>
          <w:b/>
          <w:bCs/>
        </w:rPr>
      </w:pPr>
    </w:p>
    <w:p w:rsidR="00215127" w:rsidRPr="00AE3C4E" w:rsidRDefault="00F45A24" w:rsidP="00215127">
      <w:pPr>
        <w:spacing w:line="240" w:lineRule="auto"/>
        <w:ind w:left="720"/>
        <w:rPr>
          <w:b/>
          <w:bCs/>
          <w:u w:val="single"/>
        </w:rPr>
      </w:pPr>
      <w:proofErr w:type="spellStart"/>
      <w:r w:rsidRPr="00AE3C4E">
        <w:rPr>
          <w:b/>
          <w:bCs/>
          <w:u w:val="single"/>
        </w:rPr>
        <w:t>Loadflow</w:t>
      </w:r>
      <w:proofErr w:type="spellEnd"/>
      <w:r w:rsidRPr="00AE3C4E">
        <w:rPr>
          <w:b/>
          <w:bCs/>
          <w:u w:val="single"/>
        </w:rPr>
        <w:t xml:space="preserve"> </w:t>
      </w:r>
      <w:r w:rsidR="005730ED" w:rsidRPr="00AE3C4E">
        <w:rPr>
          <w:b/>
          <w:bCs/>
          <w:u w:val="single"/>
        </w:rPr>
        <w:t>Model</w:t>
      </w:r>
      <w:r w:rsidRPr="00AE3C4E">
        <w:rPr>
          <w:b/>
          <w:bCs/>
          <w:u w:val="single"/>
        </w:rPr>
        <w:t xml:space="preserve"> Development</w:t>
      </w:r>
    </w:p>
    <w:p w:rsidR="00090A08" w:rsidRPr="00A74BD2" w:rsidRDefault="00090A08" w:rsidP="00215127">
      <w:pPr>
        <w:spacing w:line="240" w:lineRule="auto"/>
        <w:ind w:left="720"/>
        <w:rPr>
          <w:bCs/>
        </w:rPr>
      </w:pPr>
    </w:p>
    <w:p w:rsidR="00435A3E" w:rsidRDefault="00F45A24" w:rsidP="00D572B9">
      <w:pPr>
        <w:spacing w:line="240" w:lineRule="auto"/>
        <w:ind w:left="720"/>
        <w:jc w:val="both"/>
      </w:pPr>
      <w:r w:rsidRPr="00A74BD2">
        <w:rPr>
          <w:bCs/>
        </w:rPr>
        <w:t>Base models</w:t>
      </w:r>
      <w:r w:rsidR="00B46581">
        <w:rPr>
          <w:bCs/>
        </w:rPr>
        <w:t xml:space="preserve"> </w:t>
      </w:r>
      <w:r w:rsidR="00B46581" w:rsidRPr="00F26417">
        <w:t xml:space="preserve">are derived from the </w:t>
      </w:r>
      <w:r w:rsidR="00B46581" w:rsidRPr="00A74BD2">
        <w:rPr>
          <w:bCs/>
        </w:rPr>
        <w:t>current</w:t>
      </w:r>
      <w:r w:rsidR="00B46581" w:rsidRPr="00F26417">
        <w:t xml:space="preserve"> FRCC Transmission Working Group (“TWG”) </w:t>
      </w:r>
      <w:r w:rsidR="00B46581" w:rsidRPr="00A74BD2">
        <w:rPr>
          <w:bCs/>
        </w:rPr>
        <w:t>seasonal models by the FTCDG</w:t>
      </w:r>
      <w:r w:rsidR="00B46581" w:rsidRPr="00F26417">
        <w:t xml:space="preserve"> and represent seasonal load profiles, in-service generating units, in-service transmission facilities and firm interchange contracts according to NERC guidelines. </w:t>
      </w:r>
      <w:r w:rsidR="00B46581" w:rsidRPr="00A74BD2">
        <w:rPr>
          <w:bCs/>
        </w:rPr>
        <w:t>FTCDG provides summer and winter base models</w:t>
      </w:r>
      <w:r w:rsidR="00B46581" w:rsidRPr="00F26417">
        <w:t xml:space="preserve"> to </w:t>
      </w:r>
      <w:r w:rsidR="00B46581" w:rsidRPr="00A74BD2">
        <w:rPr>
          <w:bCs/>
        </w:rPr>
        <w:t>OATI. OATI creates</w:t>
      </w:r>
      <w:r w:rsidR="00B46581" w:rsidRPr="00F26417">
        <w:t xml:space="preserve"> </w:t>
      </w:r>
      <w:proofErr w:type="spellStart"/>
      <w:r w:rsidR="00B46581" w:rsidRPr="00F26417">
        <w:t>loadflow</w:t>
      </w:r>
      <w:proofErr w:type="spellEnd"/>
      <w:r w:rsidR="00B46581" w:rsidRPr="00F26417">
        <w:t xml:space="preserve"> </w:t>
      </w:r>
      <w:r w:rsidR="00B46581" w:rsidRPr="00A74BD2">
        <w:rPr>
          <w:bCs/>
        </w:rPr>
        <w:t>models</w:t>
      </w:r>
      <w:r w:rsidR="00B46581" w:rsidRPr="00F26417">
        <w:t xml:space="preserve"> of planned operations, expected load levels, facility outages</w:t>
      </w:r>
      <w:r w:rsidR="00B46581" w:rsidRPr="00A74BD2">
        <w:rPr>
          <w:bCs/>
        </w:rPr>
        <w:t xml:space="preserve"> by using current data from the </w:t>
      </w:r>
      <w:r w:rsidR="00B46581">
        <w:rPr>
          <w:bCs/>
        </w:rPr>
        <w:t>FRCC FTMS</w:t>
      </w:r>
      <w:r w:rsidR="00B46581" w:rsidRPr="00A74BD2">
        <w:rPr>
          <w:bCs/>
        </w:rPr>
        <w:t>. The FTCDG base</w:t>
      </w:r>
      <w:r w:rsidR="00B46581" w:rsidRPr="00F26417">
        <w:t xml:space="preserve"> model currently includes the total load; therefore, interruptible demands are not utilized in determining ATC values.</w:t>
      </w:r>
    </w:p>
    <w:p w:rsidR="00B46581" w:rsidRDefault="00B46581" w:rsidP="00D572B9">
      <w:pPr>
        <w:spacing w:line="240" w:lineRule="auto"/>
        <w:ind w:left="720"/>
        <w:jc w:val="both"/>
        <w:rPr>
          <w:rFonts w:ascii="Univers" w:hAnsi="Univers"/>
        </w:rPr>
        <w:sectPr w:rsidR="00B46581" w:rsidSect="00E12EED">
          <w:headerReference w:type="default" r:id="rId12"/>
          <w:footerReference w:type="default" r:id="rId13"/>
          <w:footnotePr>
            <w:numRestart w:val="eachSect"/>
          </w:footnotePr>
          <w:endnotePr>
            <w:numFmt w:val="decimal"/>
          </w:endnotePr>
          <w:pgSz w:w="12240" w:h="15840" w:code="1"/>
          <w:pgMar w:top="720" w:right="1340" w:bottom="720" w:left="1890" w:header="360" w:footer="121" w:gutter="0"/>
          <w:pgNumType w:start="211"/>
          <w:cols w:space="720"/>
          <w:noEndnote/>
        </w:sectPr>
      </w:pPr>
    </w:p>
    <w:p w:rsidR="00F45A24" w:rsidRPr="00AE3C4E" w:rsidRDefault="007F67E1" w:rsidP="00B46581">
      <w:pPr>
        <w:spacing w:line="240" w:lineRule="auto"/>
        <w:ind w:left="1080"/>
        <w:jc w:val="both"/>
        <w:rPr>
          <w:b/>
          <w:bCs/>
          <w:color w:val="000000" w:themeColor="text1"/>
          <w:u w:val="single"/>
        </w:rPr>
      </w:pPr>
      <w:r w:rsidRPr="00AE3C4E">
        <w:rPr>
          <w:b/>
          <w:bCs/>
          <w:color w:val="000000" w:themeColor="text1"/>
          <w:u w:val="single"/>
        </w:rPr>
        <w:lastRenderedPageBreak/>
        <w:t xml:space="preserve">TTC and </w:t>
      </w:r>
      <w:r w:rsidR="00F45A24" w:rsidRPr="00AE3C4E">
        <w:rPr>
          <w:b/>
          <w:bCs/>
          <w:color w:val="000000" w:themeColor="text1"/>
          <w:u w:val="single"/>
        </w:rPr>
        <w:t>ATC Calculation</w:t>
      </w:r>
    </w:p>
    <w:p w:rsidR="00E87736" w:rsidRDefault="007F67E1">
      <w:pPr>
        <w:tabs>
          <w:tab w:val="left" w:pos="8820"/>
        </w:tabs>
        <w:spacing w:line="240" w:lineRule="auto"/>
        <w:ind w:left="1080" w:right="10"/>
        <w:jc w:val="both"/>
      </w:pPr>
      <w:r w:rsidRPr="00A74BD2">
        <w:rPr>
          <w:color w:val="000000" w:themeColor="text1"/>
        </w:rPr>
        <w:t xml:space="preserve">TTC values are calculated each time the calculation engine runs. At a minimum, the engine runs once every hour to calculate TTC values for the next 72 hours.  Additionally, the engine runs at least once a day to calculate </w:t>
      </w:r>
      <w:r w:rsidR="006738A5">
        <w:rPr>
          <w:color w:val="000000" w:themeColor="text1"/>
        </w:rPr>
        <w:t>daily</w:t>
      </w:r>
      <w:r w:rsidR="006738A5" w:rsidRPr="00A74BD2">
        <w:rPr>
          <w:color w:val="000000" w:themeColor="text1"/>
        </w:rPr>
        <w:t xml:space="preserve"> </w:t>
      </w:r>
      <w:r w:rsidRPr="00A74BD2">
        <w:rPr>
          <w:color w:val="000000" w:themeColor="text1"/>
        </w:rPr>
        <w:t xml:space="preserve">TTC values for the next 13 months. Firm and non-firm ATC values are determined using the </w:t>
      </w:r>
      <w:r w:rsidR="00A74BD2">
        <w:rPr>
          <w:color w:val="000000" w:themeColor="text1"/>
        </w:rPr>
        <w:t>m</w:t>
      </w:r>
      <w:r w:rsidR="00A74BD2" w:rsidRPr="00A74BD2">
        <w:rPr>
          <w:color w:val="000000" w:themeColor="text1"/>
        </w:rPr>
        <w:t xml:space="preserve">athematical </w:t>
      </w:r>
      <w:r w:rsidR="00A74BD2">
        <w:rPr>
          <w:color w:val="000000" w:themeColor="text1"/>
        </w:rPr>
        <w:t>a</w:t>
      </w:r>
      <w:r w:rsidR="00A74BD2" w:rsidRPr="00A74BD2">
        <w:rPr>
          <w:color w:val="000000" w:themeColor="text1"/>
        </w:rPr>
        <w:t xml:space="preserve">lgorithms </w:t>
      </w:r>
      <w:r w:rsidRPr="00A74BD2">
        <w:rPr>
          <w:color w:val="000000" w:themeColor="text1"/>
        </w:rPr>
        <w:t>for each calculation horizon.</w:t>
      </w:r>
    </w:p>
    <w:p w:rsidR="00215127" w:rsidRDefault="00215127" w:rsidP="00215127">
      <w:pPr>
        <w:spacing w:line="240" w:lineRule="auto"/>
        <w:ind w:left="720"/>
        <w:jc w:val="both"/>
      </w:pPr>
    </w:p>
    <w:p w:rsidR="00993338" w:rsidRPr="00AE3C4E" w:rsidRDefault="00823491" w:rsidP="00657475">
      <w:pPr>
        <w:tabs>
          <w:tab w:val="left" w:pos="1260"/>
          <w:tab w:val="left" w:pos="2070"/>
          <w:tab w:val="left" w:pos="4140"/>
          <w:tab w:val="left" w:pos="4320"/>
          <w:tab w:val="left" w:pos="5040"/>
          <w:tab w:val="left" w:pos="5760"/>
          <w:tab w:val="left" w:pos="6480"/>
          <w:tab w:val="left" w:pos="7200"/>
          <w:tab w:val="left" w:pos="7920"/>
          <w:tab w:val="left" w:pos="8640"/>
        </w:tabs>
        <w:spacing w:line="240" w:lineRule="auto"/>
        <w:ind w:left="1080" w:right="660"/>
        <w:jc w:val="both"/>
        <w:rPr>
          <w:rFonts w:ascii="Univers" w:hAnsi="Univers"/>
          <w:b/>
          <w:u w:val="single"/>
        </w:rPr>
      </w:pPr>
      <w:r w:rsidRPr="00AE3C4E">
        <w:rPr>
          <w:b/>
          <w:bCs/>
          <w:color w:val="000000"/>
          <w:u w:val="single"/>
        </w:rPr>
        <w:t>Process to Calculate TTC</w:t>
      </w:r>
      <w:r w:rsidR="00993338" w:rsidRPr="00AE3C4E">
        <w:rPr>
          <w:rFonts w:ascii="Univers" w:hAnsi="Univers"/>
          <w:b/>
          <w:u w:val="single"/>
        </w:rPr>
        <w:t xml:space="preserve"> </w:t>
      </w:r>
    </w:p>
    <w:p w:rsidR="00993338" w:rsidRDefault="00993338" w:rsidP="00993338">
      <w:pPr>
        <w:tabs>
          <w:tab w:val="left" w:pos="0"/>
          <w:tab w:val="left" w:pos="1260"/>
          <w:tab w:val="left" w:pos="2070"/>
          <w:tab w:val="left" w:pos="4140"/>
          <w:tab w:val="left" w:pos="4320"/>
          <w:tab w:val="left" w:pos="5040"/>
          <w:tab w:val="left" w:pos="5760"/>
          <w:tab w:val="left" w:pos="6480"/>
          <w:tab w:val="left" w:pos="7200"/>
          <w:tab w:val="left" w:pos="7920"/>
          <w:tab w:val="left" w:pos="8640"/>
        </w:tabs>
        <w:spacing w:line="240" w:lineRule="auto"/>
        <w:ind w:right="660"/>
        <w:jc w:val="both"/>
        <w:rPr>
          <w:rFonts w:ascii="Univers" w:hAnsi="Univers"/>
          <w:b/>
          <w:u w:val="single"/>
        </w:rPr>
      </w:pPr>
    </w:p>
    <w:p w:rsidR="00F26417" w:rsidRDefault="00993338" w:rsidP="00F26417">
      <w:pPr>
        <w:tabs>
          <w:tab w:val="left" w:pos="0"/>
          <w:tab w:val="left" w:pos="1260"/>
          <w:tab w:val="left" w:pos="2070"/>
          <w:tab w:val="left" w:pos="4140"/>
          <w:tab w:val="left" w:pos="4320"/>
          <w:tab w:val="left" w:pos="5040"/>
          <w:tab w:val="left" w:pos="5760"/>
          <w:tab w:val="left" w:pos="6480"/>
          <w:tab w:val="left" w:pos="7200"/>
          <w:tab w:val="left" w:pos="7920"/>
          <w:tab w:val="left" w:pos="8640"/>
        </w:tabs>
        <w:spacing w:line="240" w:lineRule="auto"/>
        <w:ind w:left="1080" w:right="660"/>
        <w:jc w:val="both"/>
        <w:rPr>
          <w:rFonts w:ascii="Univers" w:hAnsi="Univers"/>
          <w:b/>
        </w:rPr>
      </w:pPr>
      <w:r w:rsidRPr="00AE3C4E">
        <w:rPr>
          <w:rFonts w:ascii="Univers" w:hAnsi="Univers"/>
          <w:b/>
        </w:rPr>
        <w:t>TTC</w:t>
      </w:r>
      <w:r w:rsidR="00B31C5F" w:rsidRPr="00AE3C4E">
        <w:rPr>
          <w:rFonts w:ascii="Univers" w:hAnsi="Univers"/>
          <w:b/>
        </w:rPr>
        <w:t xml:space="preserve"> definition: </w:t>
      </w:r>
    </w:p>
    <w:p w:rsidR="00E87736" w:rsidRDefault="00F31B93">
      <w:pPr>
        <w:tabs>
          <w:tab w:val="left" w:pos="0"/>
          <w:tab w:val="left" w:pos="1260"/>
          <w:tab w:val="left" w:pos="2070"/>
          <w:tab w:val="left" w:pos="4140"/>
          <w:tab w:val="left" w:pos="4320"/>
          <w:tab w:val="left" w:pos="5040"/>
          <w:tab w:val="left" w:pos="5760"/>
          <w:tab w:val="left" w:pos="6480"/>
          <w:tab w:val="left" w:pos="7200"/>
          <w:tab w:val="left" w:pos="7920"/>
          <w:tab w:val="left" w:pos="8640"/>
        </w:tabs>
        <w:spacing w:line="240" w:lineRule="auto"/>
        <w:ind w:left="1080" w:right="10"/>
        <w:jc w:val="both"/>
        <w:rPr>
          <w:b/>
          <w:bCs/>
          <w:color w:val="000000"/>
        </w:rPr>
      </w:pPr>
      <w:r w:rsidRPr="00A93E90">
        <w:rPr>
          <w:rFonts w:ascii="Univers" w:hAnsi="Univers"/>
        </w:rPr>
        <w:t>Total Transfer Capability (TTC) - The amount of electric power that can be moved or transferred reliably from one area to another area of the interconnected transmission systems by way of all transmission lines (or paths) between those areas under specified system conditions.</w:t>
      </w:r>
    </w:p>
    <w:p w:rsidR="00F26417" w:rsidRDefault="00F26417" w:rsidP="00F26417">
      <w:pPr>
        <w:tabs>
          <w:tab w:val="left" w:pos="0"/>
          <w:tab w:val="left" w:pos="1260"/>
          <w:tab w:val="left" w:pos="2070"/>
          <w:tab w:val="left" w:pos="4140"/>
          <w:tab w:val="left" w:pos="4320"/>
          <w:tab w:val="left" w:pos="5040"/>
          <w:tab w:val="left" w:pos="5760"/>
          <w:tab w:val="left" w:pos="6480"/>
          <w:tab w:val="left" w:pos="7200"/>
          <w:tab w:val="left" w:pos="7920"/>
          <w:tab w:val="left" w:pos="8640"/>
        </w:tabs>
        <w:spacing w:line="240" w:lineRule="auto"/>
        <w:ind w:left="1080" w:right="660"/>
        <w:jc w:val="both"/>
        <w:rPr>
          <w:b/>
          <w:bCs/>
          <w:color w:val="000000"/>
        </w:rPr>
      </w:pPr>
    </w:p>
    <w:p w:rsidR="00F26417" w:rsidRDefault="00B31C5F" w:rsidP="00F26417">
      <w:pPr>
        <w:spacing w:line="240" w:lineRule="auto"/>
        <w:ind w:left="1080"/>
        <w:jc w:val="both"/>
        <w:rPr>
          <w:bCs/>
          <w:color w:val="000000"/>
        </w:rPr>
      </w:pPr>
      <w:r>
        <w:rPr>
          <w:bCs/>
          <w:color w:val="000000"/>
        </w:rPr>
        <w:t>OATI</w:t>
      </w:r>
      <w:r w:rsidR="00823491">
        <w:rPr>
          <w:bCs/>
          <w:color w:val="000000"/>
        </w:rPr>
        <w:t xml:space="preserve"> calculates</w:t>
      </w:r>
      <w:r w:rsidR="000D2E1D">
        <w:rPr>
          <w:bCs/>
          <w:color w:val="000000"/>
        </w:rPr>
        <w:t xml:space="preserve"> </w:t>
      </w:r>
      <w:r w:rsidR="00823491">
        <w:rPr>
          <w:bCs/>
          <w:color w:val="000000"/>
        </w:rPr>
        <w:t xml:space="preserve">the First Contingency Incremental Transfer Capability ("FCITC"), between two areas that define a transmission path; the “From” area and the “To” area.  The generation is economically increased in the </w:t>
      </w:r>
      <w:r w:rsidR="009709BC">
        <w:rPr>
          <w:bCs/>
          <w:color w:val="000000"/>
        </w:rPr>
        <w:t>“</w:t>
      </w:r>
      <w:r w:rsidR="00823491">
        <w:rPr>
          <w:bCs/>
          <w:color w:val="000000"/>
        </w:rPr>
        <w:t>From</w:t>
      </w:r>
      <w:r w:rsidR="009709BC">
        <w:rPr>
          <w:bCs/>
          <w:color w:val="000000"/>
        </w:rPr>
        <w:t>”</w:t>
      </w:r>
      <w:r w:rsidR="00823491">
        <w:rPr>
          <w:bCs/>
          <w:color w:val="000000"/>
        </w:rPr>
        <w:t xml:space="preserve"> area and decreased in the </w:t>
      </w:r>
      <w:r w:rsidR="009709BC">
        <w:rPr>
          <w:bCs/>
          <w:color w:val="000000"/>
        </w:rPr>
        <w:t>“</w:t>
      </w:r>
      <w:r w:rsidR="00823491">
        <w:rPr>
          <w:bCs/>
          <w:color w:val="000000"/>
        </w:rPr>
        <w:t>To</w:t>
      </w:r>
      <w:r w:rsidR="009709BC">
        <w:rPr>
          <w:bCs/>
          <w:color w:val="000000"/>
        </w:rPr>
        <w:t>”</w:t>
      </w:r>
      <w:r w:rsidR="00823491">
        <w:rPr>
          <w:bCs/>
          <w:color w:val="000000"/>
        </w:rPr>
        <w:t xml:space="preserve"> area while monitoring for contingency overload conditions.</w:t>
      </w:r>
      <w:r w:rsidR="000B592A">
        <w:rPr>
          <w:bCs/>
          <w:color w:val="000000"/>
        </w:rPr>
        <w:t xml:space="preserve"> The generation that participates in the “From” and “To” is determined by a </w:t>
      </w:r>
      <w:r w:rsidR="000B592A">
        <w:t>FTCDG</w:t>
      </w:r>
      <w:r w:rsidR="000B592A" w:rsidRPr="00706C19">
        <w:t xml:space="preserve"> approved economic merit order</w:t>
      </w:r>
      <w:r w:rsidR="005F65F0">
        <w:t>.</w:t>
      </w:r>
    </w:p>
    <w:p w:rsidR="00F26417" w:rsidRDefault="00F26417" w:rsidP="00F26417">
      <w:pPr>
        <w:spacing w:line="240" w:lineRule="auto"/>
        <w:ind w:left="1080"/>
        <w:rPr>
          <w:bCs/>
          <w:color w:val="000000"/>
        </w:rPr>
      </w:pPr>
    </w:p>
    <w:p w:rsidR="00F26417" w:rsidRDefault="00823491" w:rsidP="00F26417">
      <w:pPr>
        <w:spacing w:line="240" w:lineRule="auto"/>
        <w:ind w:left="1080"/>
        <w:jc w:val="both"/>
        <w:rPr>
          <w:bCs/>
          <w:color w:val="000000"/>
        </w:rPr>
      </w:pPr>
      <w:r w:rsidRPr="00CB0834">
        <w:rPr>
          <w:bCs/>
          <w:color w:val="000000"/>
        </w:rPr>
        <w:t>The TTC is the lower of the contractual limitations for a path and the FCITC added to the “impacts of firm transmission services.”</w:t>
      </w:r>
      <w:r w:rsidR="002B3E15">
        <w:rPr>
          <w:bCs/>
          <w:color w:val="000000"/>
        </w:rPr>
        <w:t xml:space="preserve"> </w:t>
      </w:r>
      <w:r w:rsidRPr="00CB0834">
        <w:rPr>
          <w:bCs/>
          <w:color w:val="000000"/>
        </w:rPr>
        <w:t xml:space="preserve">The value for this “impact of firm transmission service” is based on the </w:t>
      </w:r>
      <w:r w:rsidR="002B3E15">
        <w:rPr>
          <w:bCs/>
          <w:color w:val="000000"/>
        </w:rPr>
        <w:t>transactions</w:t>
      </w:r>
      <w:r w:rsidRPr="00CB0834">
        <w:rPr>
          <w:bCs/>
          <w:color w:val="000000"/>
        </w:rPr>
        <w:t xml:space="preserve"> </w:t>
      </w:r>
      <w:r w:rsidR="002B3E15">
        <w:rPr>
          <w:bCs/>
          <w:color w:val="000000"/>
        </w:rPr>
        <w:t>exi</w:t>
      </w:r>
      <w:r w:rsidR="00354908">
        <w:rPr>
          <w:bCs/>
          <w:color w:val="000000"/>
        </w:rPr>
        <w:t>st</w:t>
      </w:r>
      <w:r w:rsidR="002B3E15">
        <w:rPr>
          <w:bCs/>
          <w:color w:val="000000"/>
        </w:rPr>
        <w:t>ing</w:t>
      </w:r>
      <w:r w:rsidRPr="00CB0834">
        <w:rPr>
          <w:bCs/>
          <w:color w:val="000000"/>
        </w:rPr>
        <w:t xml:space="preserve"> in the study </w:t>
      </w:r>
      <w:r w:rsidR="000D2E1D" w:rsidRPr="00CB0834">
        <w:rPr>
          <w:bCs/>
          <w:color w:val="000000"/>
        </w:rPr>
        <w:t>model</w:t>
      </w:r>
      <w:r w:rsidRPr="00CB0834">
        <w:rPr>
          <w:bCs/>
          <w:color w:val="000000"/>
        </w:rPr>
        <w:t xml:space="preserve">.   </w:t>
      </w:r>
    </w:p>
    <w:p w:rsidR="00215127" w:rsidRDefault="00215127" w:rsidP="00215127">
      <w:pPr>
        <w:spacing w:line="240" w:lineRule="auto"/>
        <w:ind w:left="720"/>
        <w:jc w:val="both"/>
        <w:rPr>
          <w:bCs/>
          <w:color w:val="000000"/>
        </w:rPr>
      </w:pPr>
    </w:p>
    <w:p w:rsidR="00D62FEF" w:rsidRDefault="00D62FEF">
      <w:pPr>
        <w:widowControl/>
        <w:autoSpaceDE/>
        <w:autoSpaceDN/>
        <w:adjustRightInd/>
        <w:spacing w:after="200" w:line="276" w:lineRule="auto"/>
        <w:rPr>
          <w:rFonts w:ascii="Univers" w:hAnsi="Univers"/>
          <w:b/>
          <w:smallCaps/>
          <w:u w:val="single"/>
        </w:rPr>
      </w:pPr>
      <w:r>
        <w:rPr>
          <w:rFonts w:ascii="Univers" w:hAnsi="Univers"/>
          <w:b/>
          <w:smallCaps/>
          <w:u w:val="single"/>
        </w:rPr>
        <w:br w:type="page"/>
      </w:r>
    </w:p>
    <w:p w:rsidR="00D62FEF" w:rsidRDefault="00D62FEF" w:rsidP="00652F75">
      <w:pPr>
        <w:tabs>
          <w:tab w:val="left" w:pos="0"/>
          <w:tab w:val="left" w:pos="1260"/>
          <w:tab w:val="left" w:pos="2070"/>
          <w:tab w:val="left" w:pos="4140"/>
          <w:tab w:val="left" w:pos="4320"/>
          <w:tab w:val="left" w:pos="5040"/>
          <w:tab w:val="left" w:pos="5760"/>
          <w:tab w:val="left" w:pos="6480"/>
          <w:tab w:val="left" w:pos="7200"/>
          <w:tab w:val="left" w:pos="7920"/>
          <w:tab w:val="left" w:pos="8640"/>
        </w:tabs>
        <w:rPr>
          <w:rFonts w:ascii="Univers" w:hAnsi="Univers"/>
          <w:b/>
          <w:smallCaps/>
          <w:u w:val="single"/>
        </w:rPr>
        <w:sectPr w:rsidR="00D62FEF" w:rsidSect="002D4B8E">
          <w:headerReference w:type="default" r:id="rId14"/>
          <w:footerReference w:type="default" r:id="rId15"/>
          <w:footnotePr>
            <w:numRestart w:val="eachSect"/>
          </w:footnotePr>
          <w:endnotePr>
            <w:numFmt w:val="decimal"/>
          </w:endnotePr>
          <w:pgSz w:w="12240" w:h="15840" w:code="1"/>
          <w:pgMar w:top="720" w:right="1340" w:bottom="720" w:left="1440" w:header="360" w:footer="421" w:gutter="0"/>
          <w:pgNumType w:start="211"/>
          <w:cols w:space="720"/>
          <w:noEndnote/>
        </w:sectPr>
      </w:pPr>
    </w:p>
    <w:p w:rsidR="00A01D66" w:rsidRDefault="00A01D66" w:rsidP="00A01D66">
      <w:pPr>
        <w:spacing w:line="240" w:lineRule="auto"/>
        <w:ind w:right="454"/>
        <w:jc w:val="both"/>
        <w:rPr>
          <w:bCs/>
          <w:color w:val="000000"/>
        </w:rPr>
      </w:pPr>
      <w:r>
        <w:lastRenderedPageBreak/>
        <w:t>OATI</w:t>
      </w:r>
      <w:r w:rsidRPr="005E6954">
        <w:rPr>
          <w:color w:val="000000"/>
        </w:rPr>
        <w:t xml:space="preserve"> utilizes a discrete contingency and monitor list </w:t>
      </w:r>
      <w:r>
        <w:rPr>
          <w:bCs/>
          <w:color w:val="000000"/>
        </w:rPr>
        <w:t xml:space="preserve">supplied by FTCDG </w:t>
      </w:r>
      <w:r w:rsidRPr="00215127">
        <w:rPr>
          <w:bCs/>
          <w:color w:val="000000"/>
        </w:rPr>
        <w:t xml:space="preserve">for </w:t>
      </w:r>
      <w:r>
        <w:rPr>
          <w:bCs/>
          <w:color w:val="000000"/>
        </w:rPr>
        <w:t>FCITC</w:t>
      </w:r>
      <w:r w:rsidRPr="00215127">
        <w:rPr>
          <w:bCs/>
          <w:color w:val="000000"/>
        </w:rPr>
        <w:t xml:space="preserve"> calculation</w:t>
      </w:r>
      <w:r>
        <w:rPr>
          <w:bCs/>
          <w:color w:val="000000"/>
        </w:rPr>
        <w:t>s:</w:t>
      </w:r>
    </w:p>
    <w:p w:rsidR="00A01D66" w:rsidRDefault="00A01D66" w:rsidP="00A01D66">
      <w:pPr>
        <w:spacing w:line="240" w:lineRule="auto"/>
        <w:ind w:right="454"/>
        <w:jc w:val="both"/>
        <w:rPr>
          <w:bCs/>
          <w:color w:val="000000"/>
        </w:rPr>
      </w:pPr>
    </w:p>
    <w:p w:rsidR="00A01D66" w:rsidRPr="005E6954" w:rsidRDefault="00A01D66" w:rsidP="00A01D66">
      <w:pPr>
        <w:spacing w:line="240" w:lineRule="auto"/>
        <w:ind w:right="454"/>
        <w:jc w:val="both"/>
        <w:rPr>
          <w:color w:val="000000"/>
        </w:rPr>
      </w:pPr>
      <w:r>
        <w:rPr>
          <w:bCs/>
          <w:color w:val="000000"/>
        </w:rPr>
        <w:t>Monitored</w:t>
      </w:r>
      <w:r w:rsidRPr="005E6954">
        <w:rPr>
          <w:color w:val="000000"/>
        </w:rPr>
        <w:t xml:space="preserve"> facilities are those facilities that are monitored for overloads and low voltage conditions (limits) under normal or first contingency analysis when calculating </w:t>
      </w:r>
      <w:r>
        <w:rPr>
          <w:bCs/>
          <w:color w:val="000000"/>
        </w:rPr>
        <w:t>TTC</w:t>
      </w:r>
      <w:r w:rsidRPr="00215127">
        <w:rPr>
          <w:bCs/>
          <w:color w:val="000000"/>
        </w:rPr>
        <w:t>.</w:t>
      </w:r>
      <w:r w:rsidRPr="005E6954">
        <w:rPr>
          <w:color w:val="000000"/>
        </w:rPr>
        <w:t xml:space="preserve">  Monitored facilities for use in </w:t>
      </w:r>
      <w:r>
        <w:rPr>
          <w:bCs/>
          <w:color w:val="000000"/>
        </w:rPr>
        <w:t>TTC</w:t>
      </w:r>
      <w:r w:rsidRPr="005E6954">
        <w:rPr>
          <w:color w:val="000000"/>
        </w:rPr>
        <w:t xml:space="preserve"> calculations will include facilities operated at 69 kV and above and all tie lines between Transmission Providers.  Other facilities operated at lower voltage levels may be added to the monitored facilities list. The </w:t>
      </w:r>
      <w:r>
        <w:rPr>
          <w:bCs/>
          <w:color w:val="000000"/>
        </w:rPr>
        <w:t>FTCDG</w:t>
      </w:r>
      <w:r w:rsidRPr="005E6954">
        <w:rPr>
          <w:color w:val="000000"/>
        </w:rPr>
        <w:t xml:space="preserve"> is responsible for compilation of the monitored facilities list, and uses the current monitored facilities list for the FRCC Reliability Coordinator and FRCC Operations Planning Coordinator functions as a starting point. </w:t>
      </w:r>
    </w:p>
    <w:p w:rsidR="00A01D66" w:rsidRPr="005E6954" w:rsidRDefault="00A01D66" w:rsidP="00A01D66">
      <w:pPr>
        <w:spacing w:line="240" w:lineRule="auto"/>
        <w:ind w:right="454"/>
        <w:jc w:val="both"/>
        <w:rPr>
          <w:color w:val="000000"/>
        </w:rPr>
      </w:pPr>
    </w:p>
    <w:p w:rsidR="00A01D66" w:rsidRDefault="00A01D66" w:rsidP="00A01D66">
      <w:pPr>
        <w:spacing w:line="240" w:lineRule="auto"/>
        <w:ind w:right="454"/>
        <w:jc w:val="both"/>
        <w:rPr>
          <w:color w:val="000000"/>
        </w:rPr>
      </w:pPr>
      <w:r>
        <w:rPr>
          <w:bCs/>
          <w:color w:val="000000"/>
        </w:rPr>
        <w:t>Critical</w:t>
      </w:r>
      <w:r w:rsidRPr="005E6954">
        <w:rPr>
          <w:color w:val="000000"/>
        </w:rPr>
        <w:t xml:space="preserve"> contingencies are those facilities that, when </w:t>
      </w:r>
      <w:proofErr w:type="spellStart"/>
      <w:r w:rsidRPr="005E6954">
        <w:rPr>
          <w:color w:val="000000"/>
        </w:rPr>
        <w:t>outaged</w:t>
      </w:r>
      <w:proofErr w:type="spellEnd"/>
      <w:r w:rsidRPr="005E6954">
        <w:rPr>
          <w:color w:val="000000"/>
        </w:rPr>
        <w:t xml:space="preserve"> are deemed to have an adverse impact on the reliability of the transmission network. These facilities may be transmission facilities, including multi-terminal lines, or generating units. All tie-lines regardless of voltage and the largest unit of each control area will be considered critical contingencies. The </w:t>
      </w:r>
      <w:r w:rsidRPr="00215127">
        <w:rPr>
          <w:bCs/>
          <w:color w:val="000000"/>
        </w:rPr>
        <w:t>FTCDG</w:t>
      </w:r>
      <w:r w:rsidRPr="005E6954">
        <w:rPr>
          <w:color w:val="000000"/>
        </w:rPr>
        <w:t xml:space="preserve"> is responsible for compilation of the critical contingencies list for </w:t>
      </w:r>
      <w:r>
        <w:rPr>
          <w:bCs/>
          <w:color w:val="000000"/>
        </w:rPr>
        <w:t>TTC</w:t>
      </w:r>
      <w:r w:rsidRPr="005E6954">
        <w:rPr>
          <w:color w:val="000000"/>
        </w:rPr>
        <w:t xml:space="preserve"> calculations.</w:t>
      </w:r>
    </w:p>
    <w:p w:rsidR="00C861D5" w:rsidRDefault="00C861D5">
      <w:pPr>
        <w:widowControl/>
        <w:autoSpaceDE/>
        <w:autoSpaceDN/>
        <w:adjustRightInd/>
        <w:spacing w:after="200" w:line="276" w:lineRule="auto"/>
        <w:rPr>
          <w:rFonts w:ascii="Univers" w:hAnsi="Univers"/>
        </w:rPr>
      </w:pPr>
    </w:p>
    <w:p w:rsidR="001F6D16" w:rsidRDefault="001F6D16" w:rsidP="00657475">
      <w:pPr>
        <w:tabs>
          <w:tab w:val="left" w:pos="0"/>
          <w:tab w:val="left" w:pos="1260"/>
          <w:tab w:val="left" w:pos="2070"/>
          <w:tab w:val="left" w:pos="4140"/>
          <w:tab w:val="left" w:pos="4320"/>
          <w:tab w:val="left" w:pos="5040"/>
          <w:tab w:val="left" w:pos="5760"/>
          <w:tab w:val="left" w:pos="6480"/>
          <w:tab w:val="left" w:pos="7200"/>
          <w:tab w:val="left" w:pos="7920"/>
          <w:tab w:val="left" w:pos="8640"/>
        </w:tabs>
        <w:spacing w:line="240" w:lineRule="auto"/>
        <w:ind w:right="660"/>
        <w:jc w:val="both"/>
        <w:rPr>
          <w:rFonts w:ascii="Univers" w:hAnsi="Univers"/>
        </w:rPr>
        <w:sectPr w:rsidR="001F6D16" w:rsidSect="00AB0F12">
          <w:headerReference w:type="default" r:id="rId16"/>
          <w:footerReference w:type="default" r:id="rId17"/>
          <w:pgSz w:w="12240" w:h="15840" w:code="1"/>
          <w:pgMar w:top="1440" w:right="1440" w:bottom="1800" w:left="1440" w:header="821" w:footer="25" w:gutter="0"/>
          <w:paperSrc w:first="262"/>
          <w:cols w:space="432"/>
          <w:noEndnote/>
          <w:docGrid w:linePitch="272"/>
        </w:sectPr>
      </w:pPr>
    </w:p>
    <w:p w:rsidR="00652F75" w:rsidRDefault="00921016" w:rsidP="00652F75">
      <w:pPr>
        <w:spacing w:line="240" w:lineRule="auto"/>
        <w:rPr>
          <w:rFonts w:ascii="TimesNewRomanPSMT" w:hAnsi="TimesNewRomanPSMT" w:cs="TimesNewRomanPSMT"/>
          <w:color w:val="FF0000"/>
          <w:sz w:val="26"/>
          <w:szCs w:val="26"/>
        </w:rPr>
      </w:pPr>
      <w:r>
        <w:rPr>
          <w:rFonts w:ascii="Univers" w:hAnsi="Univers"/>
          <w:noProof/>
        </w:rPr>
        <w:lastRenderedPageBreak/>
        <w:drawing>
          <wp:inline distT="0" distB="0" distL="0" distR="0" wp14:anchorId="3BEC8999" wp14:editId="7C678CCB">
            <wp:extent cx="5943600" cy="706755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5943600" cy="7067550"/>
                    </a:xfrm>
                    <a:prstGeom prst="rect">
                      <a:avLst/>
                    </a:prstGeom>
                    <a:noFill/>
                    <a:ln w="9525">
                      <a:noFill/>
                      <a:miter lim="800000"/>
                      <a:headEnd/>
                      <a:tailEnd/>
                    </a:ln>
                  </pic:spPr>
                </pic:pic>
              </a:graphicData>
            </a:graphic>
          </wp:inline>
        </w:drawing>
      </w:r>
    </w:p>
    <w:p w:rsidR="00092632" w:rsidRDefault="00092632">
      <w:pPr>
        <w:spacing w:line="240" w:lineRule="auto"/>
        <w:jc w:val="both"/>
      </w:pPr>
    </w:p>
    <w:p w:rsidR="00092632" w:rsidRDefault="00092632">
      <w:pPr>
        <w:spacing w:line="240" w:lineRule="auto"/>
        <w:jc w:val="both"/>
      </w:pPr>
    </w:p>
    <w:p w:rsidR="00092632" w:rsidRDefault="00092632">
      <w:pPr>
        <w:spacing w:line="240" w:lineRule="auto"/>
        <w:jc w:val="both"/>
      </w:pPr>
    </w:p>
    <w:p w:rsidR="00092632" w:rsidRDefault="00092632" w:rsidP="00092632">
      <w:pPr>
        <w:tabs>
          <w:tab w:val="left" w:pos="0"/>
          <w:tab w:val="left" w:pos="1260"/>
          <w:tab w:val="left" w:pos="2070"/>
          <w:tab w:val="left" w:pos="4140"/>
          <w:tab w:val="left" w:pos="4320"/>
          <w:tab w:val="left" w:pos="5040"/>
          <w:tab w:val="left" w:pos="5760"/>
          <w:tab w:val="left" w:pos="6480"/>
          <w:tab w:val="left" w:pos="7200"/>
          <w:tab w:val="left" w:pos="7920"/>
          <w:tab w:val="left" w:pos="8640"/>
        </w:tabs>
        <w:spacing w:line="240" w:lineRule="auto"/>
        <w:jc w:val="both"/>
        <w:rPr>
          <w:rFonts w:ascii="Univers" w:hAnsi="Univers"/>
          <w:b/>
          <w:u w:val="single"/>
        </w:rPr>
        <w:sectPr w:rsidR="00092632" w:rsidSect="002D4B8E">
          <w:headerReference w:type="default" r:id="rId19"/>
          <w:footerReference w:type="default" r:id="rId20"/>
          <w:pgSz w:w="12240" w:h="15840" w:code="1"/>
          <w:pgMar w:top="1440" w:right="1440" w:bottom="1800" w:left="1886" w:header="816" w:footer="109" w:gutter="0"/>
          <w:paperSrc w:first="262"/>
          <w:cols w:space="432"/>
          <w:noEndnote/>
          <w:docGrid w:linePitch="272"/>
        </w:sectPr>
      </w:pPr>
    </w:p>
    <w:p w:rsidR="00092632" w:rsidRDefault="00092632" w:rsidP="00092632">
      <w:pPr>
        <w:tabs>
          <w:tab w:val="left" w:pos="0"/>
          <w:tab w:val="left" w:pos="1260"/>
          <w:tab w:val="left" w:pos="2070"/>
          <w:tab w:val="left" w:pos="4140"/>
          <w:tab w:val="left" w:pos="4320"/>
          <w:tab w:val="left" w:pos="5040"/>
          <w:tab w:val="left" w:pos="5760"/>
          <w:tab w:val="left" w:pos="6480"/>
          <w:tab w:val="left" w:pos="7200"/>
          <w:tab w:val="left" w:pos="7920"/>
          <w:tab w:val="left" w:pos="8640"/>
        </w:tabs>
        <w:spacing w:line="240" w:lineRule="auto"/>
        <w:jc w:val="both"/>
        <w:rPr>
          <w:rFonts w:ascii="Univers" w:hAnsi="Univers"/>
          <w:b/>
          <w:u w:val="single"/>
        </w:rPr>
      </w:pPr>
      <w:r>
        <w:rPr>
          <w:rFonts w:ascii="Univers" w:hAnsi="Univers"/>
          <w:b/>
          <w:u w:val="single"/>
        </w:rPr>
        <w:lastRenderedPageBreak/>
        <w:t>Existing Transmission Commitments (E</w:t>
      </w:r>
      <w:r w:rsidRPr="00136BC7">
        <w:rPr>
          <w:rFonts w:ascii="Univers" w:hAnsi="Univers"/>
          <w:b/>
          <w:u w:val="single"/>
        </w:rPr>
        <w:t>TC</w:t>
      </w:r>
      <w:r>
        <w:rPr>
          <w:rFonts w:ascii="Univers" w:hAnsi="Univers"/>
          <w:b/>
          <w:u w:val="single"/>
        </w:rPr>
        <w:t>)</w:t>
      </w:r>
    </w:p>
    <w:p w:rsidR="00092632" w:rsidRDefault="00092632" w:rsidP="00092632">
      <w:pPr>
        <w:tabs>
          <w:tab w:val="left" w:pos="0"/>
          <w:tab w:val="left" w:pos="1260"/>
          <w:tab w:val="left" w:pos="2070"/>
          <w:tab w:val="left" w:pos="4140"/>
          <w:tab w:val="left" w:pos="4320"/>
          <w:tab w:val="left" w:pos="5040"/>
          <w:tab w:val="left" w:pos="5760"/>
          <w:tab w:val="left" w:pos="6480"/>
          <w:tab w:val="left" w:pos="7200"/>
          <w:tab w:val="left" w:pos="7920"/>
          <w:tab w:val="left" w:pos="8640"/>
        </w:tabs>
        <w:spacing w:line="240" w:lineRule="auto"/>
        <w:jc w:val="both"/>
        <w:rPr>
          <w:rFonts w:ascii="Univers" w:hAnsi="Univers"/>
          <w:b/>
          <w:u w:val="single"/>
        </w:rPr>
      </w:pPr>
    </w:p>
    <w:p w:rsidR="00D6410A" w:rsidRDefault="00092632" w:rsidP="00092632">
      <w:pPr>
        <w:spacing w:line="240" w:lineRule="auto"/>
        <w:jc w:val="both"/>
      </w:pPr>
      <w:r w:rsidRPr="00706C19">
        <w:t xml:space="preserve">Definition- </w:t>
      </w:r>
      <w:r w:rsidR="00AB54BC">
        <w:t>DEF</w:t>
      </w:r>
      <w:r w:rsidRPr="00706C19">
        <w:t xml:space="preserve"> defines ETC as the committed uses of the </w:t>
      </w:r>
      <w:r w:rsidR="00AB54BC">
        <w:t>DEF</w:t>
      </w:r>
      <w:r w:rsidRPr="00706C19">
        <w:t xml:space="preserve"> transmission system </w:t>
      </w:r>
      <w:r w:rsidR="00652F75" w:rsidRPr="00706C19">
        <w:t>considered when determining Available Transfer Capability.</w:t>
      </w:r>
    </w:p>
    <w:p w:rsidR="00D6410A" w:rsidRDefault="00D6410A">
      <w:pPr>
        <w:spacing w:line="240" w:lineRule="auto"/>
        <w:jc w:val="both"/>
      </w:pPr>
    </w:p>
    <w:p w:rsidR="00D6410A" w:rsidRDefault="00652F75">
      <w:pPr>
        <w:spacing w:line="240" w:lineRule="auto"/>
        <w:jc w:val="both"/>
      </w:pPr>
      <w:r w:rsidRPr="00706C19">
        <w:t>ETC Calculation Methods – To set aside transfer capability for native load and non-OATT customers for the operating and planning horizons</w:t>
      </w:r>
      <w:r>
        <w:t>,</w:t>
      </w:r>
      <w:r w:rsidRPr="00706C19">
        <w:t xml:space="preserve"> </w:t>
      </w:r>
      <w:r w:rsidR="00AB54BC">
        <w:t>DEF</w:t>
      </w:r>
      <w:r w:rsidRPr="00706C19">
        <w:t xml:space="preserve"> explicitly models the transactions and load using load forecasting when appropriate. The generation assumed to participate for native load and non-OATT customer impact is determined by using a </w:t>
      </w:r>
      <w:r w:rsidR="00F96F9C">
        <w:t>FTCDG</w:t>
      </w:r>
      <w:r w:rsidR="00F96F9C" w:rsidRPr="00706C19">
        <w:t xml:space="preserve"> </w:t>
      </w:r>
      <w:r w:rsidRPr="00706C19">
        <w:t>approved economic merit order. Point to Point (PTP) OATT transaction</w:t>
      </w:r>
      <w:r>
        <w:t>s</w:t>
      </w:r>
      <w:r w:rsidRPr="00706C19">
        <w:t xml:space="preserve"> are modeled explicitly and the generation assumed to participate for Point to Point (PTP) OATT is determined by using an </w:t>
      </w:r>
      <w:r w:rsidR="004A66CD">
        <w:t>FTCDG</w:t>
      </w:r>
      <w:r w:rsidRPr="00706C19">
        <w:t xml:space="preserve"> approved economic merit order.  For models at various load levels the loads are scaled down</w:t>
      </w:r>
      <w:r>
        <w:t>,</w:t>
      </w:r>
      <w:r w:rsidRPr="00706C19">
        <w:t xml:space="preserve"> and generation is adjusted using the economic merit order.</w:t>
      </w:r>
    </w:p>
    <w:p w:rsidR="00D6410A" w:rsidRDefault="00D6410A">
      <w:pPr>
        <w:spacing w:line="240" w:lineRule="auto"/>
        <w:jc w:val="both"/>
      </w:pPr>
    </w:p>
    <w:p w:rsidR="00D6410A" w:rsidRDefault="00652F75">
      <w:pPr>
        <w:spacing w:line="240" w:lineRule="auto"/>
        <w:jc w:val="both"/>
      </w:pPr>
      <w:r w:rsidRPr="00706C19">
        <w:t xml:space="preserve">Rollover – </w:t>
      </w:r>
      <w:r w:rsidR="00AB54BC">
        <w:t>DEF</w:t>
      </w:r>
      <w:r w:rsidRPr="00706C19">
        <w:t xml:space="preserve"> assumes </w:t>
      </w:r>
      <w:r>
        <w:t>in ATC determinations that existing</w:t>
      </w:r>
      <w:r w:rsidRPr="00706C19">
        <w:t xml:space="preserve"> transactions </w:t>
      </w:r>
      <w:r>
        <w:t xml:space="preserve">eligible for rollover by a customer </w:t>
      </w:r>
      <w:r w:rsidRPr="00706C19">
        <w:t>will rollover</w:t>
      </w:r>
      <w:r>
        <w:t>.</w:t>
      </w:r>
      <w:r w:rsidRPr="00706C19">
        <w:t xml:space="preserve"> </w:t>
      </w:r>
      <w:r>
        <w:t xml:space="preserve"> If a customer has elected to not exercise rollover rights, </w:t>
      </w:r>
      <w:r w:rsidR="00AB54BC">
        <w:t>DEF</w:t>
      </w:r>
      <w:r>
        <w:t xml:space="preserve"> would exclude that transaction from </w:t>
      </w:r>
      <w:r w:rsidRPr="00706C19">
        <w:t>ATC determinations.</w:t>
      </w:r>
    </w:p>
    <w:p w:rsidR="00D6410A" w:rsidRDefault="00D6410A">
      <w:pPr>
        <w:spacing w:line="240" w:lineRule="auto"/>
        <w:jc w:val="both"/>
      </w:pPr>
    </w:p>
    <w:p w:rsidR="00D6410A" w:rsidRDefault="00652F75">
      <w:pPr>
        <w:tabs>
          <w:tab w:val="left" w:pos="0"/>
          <w:tab w:val="left" w:pos="1260"/>
          <w:tab w:val="left" w:pos="2070"/>
          <w:tab w:val="left" w:pos="4140"/>
          <w:tab w:val="left" w:pos="4320"/>
          <w:tab w:val="left" w:pos="5040"/>
          <w:tab w:val="left" w:pos="5760"/>
          <w:tab w:val="left" w:pos="6480"/>
          <w:tab w:val="left" w:pos="7200"/>
          <w:tab w:val="left" w:pos="7920"/>
          <w:tab w:val="left" w:pos="8640"/>
        </w:tabs>
        <w:spacing w:line="240" w:lineRule="auto"/>
        <w:jc w:val="both"/>
        <w:rPr>
          <w:rFonts w:ascii="Univers" w:hAnsi="Univers"/>
          <w:b/>
          <w:u w:val="single"/>
        </w:rPr>
      </w:pPr>
      <w:r w:rsidRPr="00706C19">
        <w:t xml:space="preserve">Release of </w:t>
      </w:r>
      <w:r>
        <w:t>un</w:t>
      </w:r>
      <w:r w:rsidRPr="00706C19">
        <w:t xml:space="preserve">scheduled </w:t>
      </w:r>
      <w:r>
        <w:t>F</w:t>
      </w:r>
      <w:r w:rsidRPr="00706C19">
        <w:t xml:space="preserve">irm </w:t>
      </w:r>
      <w:r>
        <w:t xml:space="preserve">ATC reservations - </w:t>
      </w:r>
      <w:r w:rsidR="00AB54BC">
        <w:t>DEF</w:t>
      </w:r>
      <w:r w:rsidRPr="00706C19">
        <w:t xml:space="preserve"> re</w:t>
      </w:r>
      <w:r>
        <w:t xml:space="preserve">leases unscheduled firm as </w:t>
      </w:r>
      <w:proofErr w:type="spellStart"/>
      <w:r>
        <w:t>nonfi</w:t>
      </w:r>
      <w:r w:rsidRPr="00706C19">
        <w:t>rm</w:t>
      </w:r>
      <w:proofErr w:type="spellEnd"/>
      <w:r w:rsidRPr="00706C19">
        <w:t xml:space="preserve"> ATC in the scheduling horizon (next 4 hours). The release is accomplished automatically</w:t>
      </w:r>
      <w:r>
        <w:t xml:space="preserve"> on OASIS </w:t>
      </w:r>
      <w:r w:rsidRPr="00706C19">
        <w:t xml:space="preserve">by comparing the reserved ATC and the pending or committed schedules (tags). The tags have </w:t>
      </w:r>
      <w:r>
        <w:t>an OASIS</w:t>
      </w:r>
      <w:r w:rsidRPr="00706C19">
        <w:t xml:space="preserve"> reservation number on them</w:t>
      </w:r>
      <w:r>
        <w:t>,</w:t>
      </w:r>
      <w:r w:rsidRPr="00706C19">
        <w:t xml:space="preserve"> and when the tag does not exist at all or in </w:t>
      </w:r>
      <w:r w:rsidR="005730ED">
        <w:t>model</w:t>
      </w:r>
      <w:r w:rsidR="000D3715" w:rsidRPr="00706C19">
        <w:t>s</w:t>
      </w:r>
      <w:r w:rsidRPr="00706C19">
        <w:t xml:space="preserve"> when the tag scheduled ATC is less than the </w:t>
      </w:r>
      <w:r>
        <w:t xml:space="preserve">OASIS </w:t>
      </w:r>
      <w:r w:rsidRPr="00706C19">
        <w:t>reservation amount</w:t>
      </w:r>
      <w:r>
        <w:t>,</w:t>
      </w:r>
      <w:r w:rsidRPr="00706C19">
        <w:t xml:space="preserve"> the unscheduled portion is not subtracted from TTC in the </w:t>
      </w:r>
      <w:proofErr w:type="spellStart"/>
      <w:r w:rsidRPr="00706C19">
        <w:t>nonfirm</w:t>
      </w:r>
      <w:proofErr w:type="spellEnd"/>
      <w:r w:rsidRPr="00706C19">
        <w:t xml:space="preserve"> ATC algorithm for the scheduling horizon</w:t>
      </w:r>
      <w:r>
        <w:t>,</w:t>
      </w:r>
      <w:r w:rsidRPr="00706C19">
        <w:t xml:space="preserve"> and thus the capacity is released.</w:t>
      </w:r>
    </w:p>
    <w:p w:rsidR="00652F75" w:rsidRDefault="00652F75" w:rsidP="00151474">
      <w:pPr>
        <w:spacing w:line="240" w:lineRule="auto"/>
        <w:jc w:val="both"/>
        <w:rPr>
          <w:rFonts w:ascii="Univers" w:hAnsi="Univers"/>
        </w:rPr>
      </w:pPr>
    </w:p>
    <w:p w:rsidR="00652F75" w:rsidRDefault="00652F75" w:rsidP="00652F75">
      <w:pPr>
        <w:spacing w:line="240" w:lineRule="auto"/>
        <w:jc w:val="both"/>
        <w:rPr>
          <w:rFonts w:ascii="Univers" w:hAnsi="Univers"/>
        </w:rPr>
        <w:sectPr w:rsidR="00652F75" w:rsidSect="002D4B8E">
          <w:headerReference w:type="default" r:id="rId21"/>
          <w:pgSz w:w="12240" w:h="15840" w:code="1"/>
          <w:pgMar w:top="1440" w:right="1440" w:bottom="1800" w:left="1886" w:header="816" w:footer="109" w:gutter="0"/>
          <w:paperSrc w:first="262"/>
          <w:cols w:space="432"/>
          <w:noEndnote/>
          <w:docGrid w:linePitch="272"/>
        </w:sectPr>
      </w:pPr>
    </w:p>
    <w:p w:rsidR="00652F75" w:rsidRDefault="00652F75" w:rsidP="00652F75">
      <w:pPr>
        <w:tabs>
          <w:tab w:val="left" w:pos="0"/>
          <w:tab w:val="left" w:pos="1260"/>
          <w:tab w:val="left" w:pos="2070"/>
          <w:tab w:val="left" w:pos="4140"/>
          <w:tab w:val="left" w:pos="4320"/>
          <w:tab w:val="left" w:pos="5040"/>
          <w:tab w:val="left" w:pos="5760"/>
          <w:tab w:val="left" w:pos="6480"/>
          <w:tab w:val="left" w:pos="7200"/>
          <w:tab w:val="left" w:pos="7920"/>
          <w:tab w:val="left" w:pos="8640"/>
        </w:tabs>
        <w:spacing w:line="240" w:lineRule="auto"/>
        <w:jc w:val="both"/>
        <w:rPr>
          <w:rFonts w:ascii="Univers" w:hAnsi="Univers"/>
          <w:b/>
          <w:u w:val="single"/>
        </w:rPr>
      </w:pPr>
      <w:r w:rsidRPr="00136BC7">
        <w:rPr>
          <w:rFonts w:ascii="Univers" w:hAnsi="Univers"/>
          <w:b/>
          <w:u w:val="single"/>
        </w:rPr>
        <w:lastRenderedPageBreak/>
        <w:t>T</w:t>
      </w:r>
      <w:r>
        <w:rPr>
          <w:rFonts w:ascii="Univers" w:hAnsi="Univers"/>
          <w:b/>
          <w:u w:val="single"/>
        </w:rPr>
        <w:t>RM</w:t>
      </w:r>
    </w:p>
    <w:p w:rsidR="00652F75" w:rsidRPr="00136BC7" w:rsidRDefault="00652F75" w:rsidP="00652F75">
      <w:pPr>
        <w:tabs>
          <w:tab w:val="left" w:pos="0"/>
          <w:tab w:val="left" w:pos="1260"/>
          <w:tab w:val="left" w:pos="2070"/>
          <w:tab w:val="left" w:pos="4140"/>
          <w:tab w:val="left" w:pos="4320"/>
          <w:tab w:val="left" w:pos="5040"/>
          <w:tab w:val="left" w:pos="5760"/>
          <w:tab w:val="left" w:pos="6480"/>
          <w:tab w:val="left" w:pos="7200"/>
          <w:tab w:val="left" w:pos="7920"/>
          <w:tab w:val="left" w:pos="8640"/>
        </w:tabs>
        <w:spacing w:line="240" w:lineRule="auto"/>
        <w:jc w:val="both"/>
        <w:rPr>
          <w:rFonts w:ascii="Univers" w:hAnsi="Univers"/>
          <w:b/>
          <w:u w:val="single"/>
        </w:rPr>
      </w:pPr>
    </w:p>
    <w:p w:rsidR="00E87736" w:rsidRDefault="00652F75">
      <w:pPr>
        <w:tabs>
          <w:tab w:val="left" w:pos="0"/>
          <w:tab w:val="left" w:pos="1260"/>
          <w:tab w:val="left" w:pos="2070"/>
          <w:tab w:val="left" w:pos="4140"/>
          <w:tab w:val="left" w:pos="4320"/>
          <w:tab w:val="left" w:pos="5040"/>
          <w:tab w:val="left" w:pos="5760"/>
          <w:tab w:val="left" w:pos="6480"/>
          <w:tab w:val="left" w:pos="7200"/>
          <w:tab w:val="left" w:pos="7920"/>
          <w:tab w:val="left" w:pos="8640"/>
        </w:tabs>
        <w:spacing w:line="240" w:lineRule="auto"/>
        <w:jc w:val="both"/>
        <w:rPr>
          <w:rFonts w:ascii="Univers" w:hAnsi="Univers"/>
          <w:b/>
          <w:u w:val="single"/>
        </w:rPr>
      </w:pPr>
      <w:r w:rsidRPr="00662232">
        <w:rPr>
          <w:rFonts w:ascii="Univers" w:hAnsi="Univers"/>
        </w:rPr>
        <w:t>Transmission Reliability Margin</w:t>
      </w:r>
      <w:r>
        <w:rPr>
          <w:rFonts w:ascii="Univers" w:hAnsi="Univers"/>
          <w:b/>
        </w:rPr>
        <w:t xml:space="preserve"> </w:t>
      </w:r>
      <w:r w:rsidRPr="00662232">
        <w:rPr>
          <w:rFonts w:ascii="Univers" w:hAnsi="Univers"/>
        </w:rPr>
        <w:t>(TRM)</w:t>
      </w:r>
      <w:r>
        <w:rPr>
          <w:rFonts w:ascii="Univers" w:hAnsi="Univers"/>
        </w:rPr>
        <w:t xml:space="preserve"> - The amount of transmission transfer capability necessary to </w:t>
      </w:r>
      <w:r w:rsidRPr="00383687">
        <w:rPr>
          <w:rFonts w:ascii="Univers" w:hAnsi="Univers"/>
        </w:rPr>
        <w:t>provide reasonable assurance that the</w:t>
      </w:r>
      <w:r>
        <w:rPr>
          <w:rFonts w:ascii="Univers" w:hAnsi="Univers"/>
        </w:rPr>
        <w:t xml:space="preserve"> </w:t>
      </w:r>
      <w:r w:rsidRPr="00383687">
        <w:rPr>
          <w:rFonts w:ascii="Univers" w:hAnsi="Univers"/>
        </w:rPr>
        <w:t>interconnected transmission network will be secure.</w:t>
      </w:r>
      <w:r>
        <w:rPr>
          <w:rFonts w:ascii="Univers" w:hAnsi="Univers"/>
        </w:rPr>
        <w:t xml:space="preserve"> </w:t>
      </w:r>
      <w:r w:rsidRPr="00383687">
        <w:rPr>
          <w:rFonts w:ascii="Univers" w:hAnsi="Univers"/>
        </w:rPr>
        <w:t>TRM accounts for the inherent uncertainty in system</w:t>
      </w:r>
      <w:r>
        <w:rPr>
          <w:rFonts w:ascii="Univers" w:hAnsi="Univers"/>
        </w:rPr>
        <w:t xml:space="preserve"> </w:t>
      </w:r>
      <w:r w:rsidRPr="00383687">
        <w:rPr>
          <w:rFonts w:ascii="Univers" w:hAnsi="Univers"/>
        </w:rPr>
        <w:t>conditions and the need for operating flexibility to</w:t>
      </w:r>
      <w:r>
        <w:rPr>
          <w:rFonts w:ascii="Univers" w:hAnsi="Univers"/>
        </w:rPr>
        <w:t xml:space="preserve"> </w:t>
      </w:r>
      <w:r w:rsidRPr="00383687">
        <w:rPr>
          <w:rFonts w:ascii="Univers" w:hAnsi="Univers"/>
        </w:rPr>
        <w:t>ensure reliable system operation as system conditions</w:t>
      </w:r>
      <w:r>
        <w:rPr>
          <w:rFonts w:ascii="Univers" w:hAnsi="Univers"/>
        </w:rPr>
        <w:t xml:space="preserve"> </w:t>
      </w:r>
      <w:r w:rsidRPr="00383687">
        <w:rPr>
          <w:rFonts w:ascii="Univers" w:hAnsi="Univers"/>
        </w:rPr>
        <w:t>change.</w:t>
      </w:r>
    </w:p>
    <w:p w:rsidR="00E87736" w:rsidRDefault="00E87736">
      <w:pPr>
        <w:tabs>
          <w:tab w:val="left" w:pos="0"/>
          <w:tab w:val="left" w:pos="1260"/>
          <w:tab w:val="left" w:pos="2070"/>
          <w:tab w:val="left" w:pos="4140"/>
          <w:tab w:val="left" w:pos="4320"/>
          <w:tab w:val="left" w:pos="5040"/>
          <w:tab w:val="left" w:pos="5760"/>
          <w:tab w:val="left" w:pos="6480"/>
          <w:tab w:val="left" w:pos="7200"/>
          <w:tab w:val="left" w:pos="7920"/>
          <w:tab w:val="left" w:pos="8640"/>
        </w:tabs>
        <w:spacing w:line="240" w:lineRule="auto"/>
        <w:jc w:val="both"/>
        <w:rPr>
          <w:rFonts w:ascii="Univers" w:hAnsi="Univers"/>
          <w:b/>
          <w:u w:val="single"/>
        </w:rPr>
      </w:pPr>
    </w:p>
    <w:p w:rsidR="00215127" w:rsidRDefault="00A5651A" w:rsidP="00151474">
      <w:pPr>
        <w:tabs>
          <w:tab w:val="left" w:pos="0"/>
          <w:tab w:val="left" w:pos="2070"/>
          <w:tab w:val="left" w:pos="4140"/>
          <w:tab w:val="left" w:pos="4320"/>
          <w:tab w:val="left" w:pos="5040"/>
          <w:tab w:val="left" w:pos="5760"/>
          <w:tab w:val="left" w:pos="6480"/>
          <w:tab w:val="left" w:pos="7200"/>
          <w:tab w:val="left" w:pos="7920"/>
          <w:tab w:val="left" w:pos="8640"/>
        </w:tabs>
        <w:spacing w:line="240" w:lineRule="auto"/>
        <w:jc w:val="both"/>
      </w:pPr>
      <w:r>
        <w:t>There are two portions to</w:t>
      </w:r>
      <w:r w:rsidR="00F26417" w:rsidRPr="00F26417">
        <w:t xml:space="preserve"> the </w:t>
      </w:r>
      <w:r>
        <w:t>TRM values used in the determination of ATC</w:t>
      </w:r>
      <w:r w:rsidR="001F6822">
        <w:t>:</w:t>
      </w:r>
    </w:p>
    <w:p w:rsidR="00215127" w:rsidRDefault="00215127" w:rsidP="00151474">
      <w:pPr>
        <w:tabs>
          <w:tab w:val="left" w:pos="0"/>
          <w:tab w:val="left" w:pos="2070"/>
          <w:tab w:val="left" w:pos="4140"/>
          <w:tab w:val="left" w:pos="4320"/>
          <w:tab w:val="left" w:pos="5040"/>
          <w:tab w:val="left" w:pos="5760"/>
          <w:tab w:val="left" w:pos="6480"/>
          <w:tab w:val="left" w:pos="7200"/>
          <w:tab w:val="left" w:pos="7920"/>
          <w:tab w:val="left" w:pos="8640"/>
        </w:tabs>
        <w:spacing w:line="240" w:lineRule="auto"/>
        <w:jc w:val="both"/>
      </w:pPr>
    </w:p>
    <w:p w:rsidR="00215127" w:rsidRDefault="00A5651A" w:rsidP="00C861D5">
      <w:pPr>
        <w:pStyle w:val="ListParagraph"/>
        <w:numPr>
          <w:ilvl w:val="0"/>
          <w:numId w:val="3"/>
        </w:numPr>
        <w:tabs>
          <w:tab w:val="left" w:pos="0"/>
          <w:tab w:val="left" w:pos="2070"/>
          <w:tab w:val="left" w:pos="4140"/>
          <w:tab w:val="left" w:pos="4320"/>
          <w:tab w:val="left" w:pos="5040"/>
          <w:tab w:val="left" w:pos="5760"/>
          <w:tab w:val="left" w:pos="6480"/>
          <w:tab w:val="left" w:pos="7200"/>
          <w:tab w:val="left" w:pos="7920"/>
          <w:tab w:val="left" w:pos="8640"/>
        </w:tabs>
        <w:spacing w:line="240" w:lineRule="auto"/>
        <w:jc w:val="both"/>
      </w:pPr>
      <w:r>
        <w:t xml:space="preserve">An FTCDG value that represents difference between the higher rating some entities are willing to use for Non Firm transactions, and the lower rating they use for Firm Transactions.  The second value is the </w:t>
      </w:r>
      <w:r w:rsidR="00AB54BC">
        <w:t>DEF</w:t>
      </w:r>
      <w:r>
        <w:t xml:space="preserve"> Specific TRM.  The FTCDG value is added to </w:t>
      </w:r>
      <w:r w:rsidR="00AB54BC">
        <w:t>DEF</w:t>
      </w:r>
      <w:r>
        <w:t xml:space="preserve">’s specific TRM to reach the total TRM value. The FTCDG wide TRM value can frequently be zero.  </w:t>
      </w:r>
    </w:p>
    <w:p w:rsidR="00215127" w:rsidRDefault="00A5651A" w:rsidP="00C861D5">
      <w:pPr>
        <w:tabs>
          <w:tab w:val="left" w:pos="2070"/>
          <w:tab w:val="left" w:pos="4140"/>
          <w:tab w:val="left" w:pos="4320"/>
          <w:tab w:val="left" w:pos="5040"/>
          <w:tab w:val="left" w:pos="5760"/>
          <w:tab w:val="left" w:pos="6480"/>
          <w:tab w:val="left" w:pos="7200"/>
          <w:tab w:val="left" w:pos="7920"/>
          <w:tab w:val="left" w:pos="8640"/>
        </w:tabs>
        <w:spacing w:line="240" w:lineRule="auto"/>
        <w:ind w:left="360"/>
        <w:jc w:val="both"/>
      </w:pPr>
      <w:r>
        <w:t xml:space="preserve">The TTC is based on the “non-firm” rating FCITC run, however some FTCDG members allow a higher non-firm rating on facilities then the rating they use for firm transactions.  An FCITC is </w:t>
      </w:r>
      <w:r w:rsidR="00F26417" w:rsidRPr="00F26417">
        <w:t xml:space="preserve">calculated </w:t>
      </w:r>
      <w:r>
        <w:t xml:space="preserve">using this firm rating and the difference between this firm FCITC and the non-firm FCITC is the FTCDG TRM value. </w:t>
      </w:r>
    </w:p>
    <w:p w:rsidR="000D3715" w:rsidRPr="00136BC7" w:rsidRDefault="000D3715" w:rsidP="00151474">
      <w:pPr>
        <w:tabs>
          <w:tab w:val="left" w:pos="0"/>
          <w:tab w:val="left" w:pos="1260"/>
          <w:tab w:val="left" w:pos="2070"/>
          <w:tab w:val="left" w:pos="4140"/>
          <w:tab w:val="left" w:pos="4320"/>
          <w:tab w:val="left" w:pos="5040"/>
          <w:tab w:val="left" w:pos="5760"/>
          <w:tab w:val="left" w:pos="6480"/>
          <w:tab w:val="left" w:pos="7200"/>
          <w:tab w:val="left" w:pos="7920"/>
          <w:tab w:val="left" w:pos="8640"/>
        </w:tabs>
        <w:spacing w:line="240" w:lineRule="auto"/>
        <w:jc w:val="both"/>
        <w:rPr>
          <w:rFonts w:ascii="Univers" w:hAnsi="Univers"/>
          <w:b/>
          <w:u w:val="single"/>
        </w:rPr>
      </w:pPr>
    </w:p>
    <w:p w:rsidR="000D3715" w:rsidRDefault="000D3715" w:rsidP="00151474">
      <w:pPr>
        <w:tabs>
          <w:tab w:val="left" w:pos="0"/>
        </w:tabs>
        <w:spacing w:line="240" w:lineRule="auto"/>
      </w:pPr>
    </w:p>
    <w:p w:rsidR="00D6410A" w:rsidRDefault="001F6822">
      <w:pPr>
        <w:tabs>
          <w:tab w:val="left" w:pos="0"/>
          <w:tab w:val="left" w:pos="2070"/>
          <w:tab w:val="left" w:pos="4140"/>
          <w:tab w:val="left" w:pos="4320"/>
          <w:tab w:val="left" w:pos="5040"/>
          <w:tab w:val="left" w:pos="5760"/>
          <w:tab w:val="left" w:pos="6480"/>
          <w:tab w:val="left" w:pos="7200"/>
          <w:tab w:val="left" w:pos="7920"/>
          <w:tab w:val="left" w:pos="8640"/>
        </w:tabs>
        <w:spacing w:line="240" w:lineRule="auto"/>
        <w:jc w:val="both"/>
        <w:rPr>
          <w:rFonts w:ascii="Univers" w:hAnsi="Univers"/>
        </w:rPr>
      </w:pPr>
      <w:r>
        <w:rPr>
          <w:rFonts w:ascii="Univers" w:hAnsi="Univers"/>
        </w:rPr>
        <w:t>2</w:t>
      </w:r>
      <w:r w:rsidR="00C861D5">
        <w:rPr>
          <w:rFonts w:ascii="Univers" w:hAnsi="Univers"/>
        </w:rPr>
        <w:t>.</w:t>
      </w:r>
      <w:r>
        <w:rPr>
          <w:rFonts w:ascii="Univers" w:hAnsi="Univers"/>
        </w:rPr>
        <w:t>) The</w:t>
      </w:r>
      <w:r w:rsidR="00A5651A">
        <w:rPr>
          <w:rFonts w:ascii="Univers" w:hAnsi="Univers"/>
        </w:rPr>
        <w:t xml:space="preserve"> </w:t>
      </w:r>
      <w:r w:rsidR="00AB54BC">
        <w:rPr>
          <w:rFonts w:ascii="Univers" w:hAnsi="Univers"/>
        </w:rPr>
        <w:t>DEF</w:t>
      </w:r>
      <w:r w:rsidR="000D3715">
        <w:rPr>
          <w:rFonts w:ascii="Univers" w:hAnsi="Univers"/>
        </w:rPr>
        <w:t xml:space="preserve"> </w:t>
      </w:r>
      <w:r w:rsidR="00A5651A">
        <w:rPr>
          <w:rFonts w:ascii="Univers" w:hAnsi="Univers"/>
        </w:rPr>
        <w:t xml:space="preserve">specific </w:t>
      </w:r>
      <w:r w:rsidR="000D3715">
        <w:rPr>
          <w:rFonts w:ascii="Univers" w:hAnsi="Univers"/>
        </w:rPr>
        <w:t xml:space="preserve">TRM </w:t>
      </w:r>
      <w:r w:rsidR="00A5651A">
        <w:rPr>
          <w:rFonts w:ascii="Univers" w:hAnsi="Univers"/>
        </w:rPr>
        <w:t>is posted</w:t>
      </w:r>
      <w:r w:rsidR="00652F75">
        <w:rPr>
          <w:rFonts w:ascii="Univers" w:hAnsi="Univers"/>
        </w:rPr>
        <w:t xml:space="preserve"> at the following link</w:t>
      </w:r>
      <w:r w:rsidR="000D3715">
        <w:rPr>
          <w:rFonts w:ascii="Univers" w:hAnsi="Univers"/>
        </w:rPr>
        <w:t xml:space="preserve"> </w:t>
      </w:r>
    </w:p>
    <w:p w:rsidR="00D6410A" w:rsidRDefault="00D6410A">
      <w:pPr>
        <w:tabs>
          <w:tab w:val="left" w:pos="0"/>
          <w:tab w:val="left" w:pos="2070"/>
          <w:tab w:val="left" w:pos="4140"/>
          <w:tab w:val="left" w:pos="4320"/>
          <w:tab w:val="left" w:pos="5040"/>
          <w:tab w:val="left" w:pos="5760"/>
          <w:tab w:val="left" w:pos="6480"/>
          <w:tab w:val="left" w:pos="7200"/>
          <w:tab w:val="left" w:pos="7920"/>
          <w:tab w:val="left" w:pos="8640"/>
        </w:tabs>
        <w:spacing w:line="240" w:lineRule="auto"/>
        <w:jc w:val="both"/>
        <w:rPr>
          <w:rFonts w:ascii="Univers" w:hAnsi="Univers"/>
        </w:rPr>
      </w:pPr>
    </w:p>
    <w:p w:rsidR="00E87736" w:rsidRDefault="00C37A02">
      <w:pPr>
        <w:tabs>
          <w:tab w:val="left" w:pos="0"/>
        </w:tabs>
        <w:spacing w:line="240" w:lineRule="auto"/>
        <w:rPr>
          <w:rFonts w:ascii="Arial,Bold" w:hAnsi="Arial,Bold" w:cs="Arial,Bold"/>
          <w:b/>
          <w:bCs/>
        </w:rPr>
      </w:pPr>
      <w:r w:rsidRPr="00C37A02">
        <w:t xml:space="preserve"> </w:t>
      </w:r>
      <w:r w:rsidRPr="00C37A02">
        <w:rPr>
          <w:rFonts w:ascii="Arial,Bold" w:hAnsi="Arial,Bold" w:cs="Arial,Bold"/>
          <w:b/>
          <w:bCs/>
        </w:rPr>
        <w:t>https://www.oasis.oati.com/woa/docs/FPC/FPCdocs/TRMID_4.pdf</w:t>
      </w:r>
    </w:p>
    <w:p w:rsidR="00C37A02" w:rsidRDefault="00C37A02">
      <w:pPr>
        <w:tabs>
          <w:tab w:val="left" w:pos="0"/>
        </w:tabs>
        <w:spacing w:line="240" w:lineRule="auto"/>
        <w:rPr>
          <w:rFonts w:ascii="Arial,Bold" w:hAnsi="Arial,Bold" w:cs="Arial,Bold"/>
          <w:b/>
          <w:bCs/>
        </w:rPr>
      </w:pPr>
    </w:p>
    <w:p w:rsidR="00D6410A" w:rsidRDefault="00D6410A">
      <w:pPr>
        <w:tabs>
          <w:tab w:val="left" w:pos="0"/>
          <w:tab w:val="left" w:pos="2070"/>
          <w:tab w:val="left" w:pos="4140"/>
          <w:tab w:val="left" w:pos="4320"/>
          <w:tab w:val="left" w:pos="5040"/>
          <w:tab w:val="left" w:pos="5760"/>
          <w:tab w:val="left" w:pos="6480"/>
          <w:tab w:val="left" w:pos="7200"/>
          <w:tab w:val="left" w:pos="7920"/>
          <w:tab w:val="left" w:pos="8640"/>
        </w:tabs>
        <w:spacing w:line="240" w:lineRule="auto"/>
        <w:jc w:val="both"/>
        <w:rPr>
          <w:rFonts w:ascii="Univers" w:hAnsi="Univers"/>
        </w:rPr>
      </w:pPr>
    </w:p>
    <w:p w:rsidR="00D6410A" w:rsidRDefault="00652F75">
      <w:pPr>
        <w:tabs>
          <w:tab w:val="left" w:pos="0"/>
          <w:tab w:val="left" w:pos="2070"/>
          <w:tab w:val="left" w:pos="4140"/>
          <w:tab w:val="left" w:pos="4320"/>
          <w:tab w:val="left" w:pos="5040"/>
          <w:tab w:val="left" w:pos="5760"/>
          <w:tab w:val="left" w:pos="6480"/>
          <w:tab w:val="left" w:pos="7200"/>
          <w:tab w:val="left" w:pos="7920"/>
          <w:tab w:val="left" w:pos="8640"/>
        </w:tabs>
        <w:spacing w:line="240" w:lineRule="auto"/>
        <w:jc w:val="both"/>
        <w:rPr>
          <w:rFonts w:ascii="Univers" w:hAnsi="Univers"/>
        </w:rPr>
      </w:pPr>
      <w:r>
        <w:t xml:space="preserve">Transmission Reliability Margin (TRM) Calculation Methodology </w:t>
      </w:r>
      <w:r w:rsidR="00A5651A">
        <w:t xml:space="preserve">for </w:t>
      </w:r>
      <w:r w:rsidR="00AB54BC">
        <w:t>DEF</w:t>
      </w:r>
      <w:r w:rsidR="00A5651A">
        <w:t xml:space="preserve"> specific TRM</w:t>
      </w:r>
      <w:r w:rsidR="000D3715">
        <w:t xml:space="preserve"> </w:t>
      </w:r>
      <w:r>
        <w:t xml:space="preserve">- </w:t>
      </w:r>
      <w:r w:rsidR="00AB54BC">
        <w:rPr>
          <w:rFonts w:ascii="Univers" w:hAnsi="Univers"/>
        </w:rPr>
        <w:t>DEF</w:t>
      </w:r>
      <w:r w:rsidRPr="002F45BF">
        <w:rPr>
          <w:rFonts w:ascii="Univers" w:hAnsi="Univers"/>
        </w:rPr>
        <w:t xml:space="preserve"> determines the appropriate amount of TRM at each of its interfaces </w:t>
      </w:r>
      <w:r>
        <w:rPr>
          <w:rFonts w:ascii="Univers" w:hAnsi="Univers"/>
        </w:rPr>
        <w:t xml:space="preserve">based upon the operating reserve obligations contained in the </w:t>
      </w:r>
      <w:r w:rsidRPr="002F45BF">
        <w:rPr>
          <w:rFonts w:ascii="Univers" w:hAnsi="Univers"/>
        </w:rPr>
        <w:t xml:space="preserve">FRCC Operating Reserve Policy.  </w:t>
      </w:r>
      <w:r>
        <w:rPr>
          <w:rFonts w:ascii="Univers" w:hAnsi="Univers"/>
        </w:rPr>
        <w:t xml:space="preserve"> On most paths the TRM is based upon a maximum delivered or received reserve obligation.</w:t>
      </w:r>
    </w:p>
    <w:p w:rsidR="00D6410A" w:rsidRDefault="00D6410A">
      <w:pPr>
        <w:tabs>
          <w:tab w:val="left" w:pos="0"/>
          <w:tab w:val="left" w:pos="2070"/>
          <w:tab w:val="left" w:pos="4140"/>
          <w:tab w:val="left" w:pos="4320"/>
          <w:tab w:val="left" w:pos="5040"/>
          <w:tab w:val="left" w:pos="5760"/>
          <w:tab w:val="left" w:pos="6480"/>
          <w:tab w:val="left" w:pos="7200"/>
          <w:tab w:val="left" w:pos="7920"/>
          <w:tab w:val="left" w:pos="8640"/>
        </w:tabs>
        <w:spacing w:line="240" w:lineRule="auto"/>
        <w:jc w:val="both"/>
        <w:rPr>
          <w:rFonts w:ascii="Univers" w:hAnsi="Univers"/>
        </w:rPr>
      </w:pPr>
    </w:p>
    <w:p w:rsidR="00E87736" w:rsidRDefault="00652F75">
      <w:pPr>
        <w:tabs>
          <w:tab w:val="left" w:pos="0"/>
        </w:tabs>
        <w:spacing w:line="240" w:lineRule="auto"/>
        <w:jc w:val="both"/>
      </w:pPr>
      <w:r>
        <w:t xml:space="preserve">Export Path TRM - </w:t>
      </w:r>
      <w:r w:rsidR="00AB54BC">
        <w:t>DEF</w:t>
      </w:r>
      <w:r>
        <w:t xml:space="preserve"> has an obligation to deliver up to </w:t>
      </w:r>
      <w:r w:rsidR="00322264">
        <w:t>193</w:t>
      </w:r>
      <w:r>
        <w:t xml:space="preserve"> MW for a reserve call, thus the TRM is </w:t>
      </w:r>
      <w:r w:rsidR="00322264">
        <w:t>193</w:t>
      </w:r>
      <w:r>
        <w:t xml:space="preserve"> MW on most </w:t>
      </w:r>
      <w:r w:rsidR="00AB54BC">
        <w:t>DEF</w:t>
      </w:r>
      <w:r>
        <w:t xml:space="preserve"> export paths. Due to the small size of some reserve share participants, a reserve call that would require </w:t>
      </w:r>
      <w:r w:rsidR="00AB54BC">
        <w:t>DEF</w:t>
      </w:r>
      <w:r>
        <w:t xml:space="preserve"> to deliver </w:t>
      </w:r>
      <w:r w:rsidR="00322264">
        <w:t>193</w:t>
      </w:r>
      <w:r>
        <w:t xml:space="preserve"> MW of operating reserves is not possible. For those situations, the TRM is reduced to </w:t>
      </w:r>
      <w:r w:rsidR="00AB54BC">
        <w:t>DEF</w:t>
      </w:r>
      <w:r>
        <w:t xml:space="preserve">’s share (20%) of the MW output of the reserve sharing participant’s largest generator. </w:t>
      </w:r>
      <w:r w:rsidR="00AB54BC">
        <w:t>DEF</w:t>
      </w:r>
      <w:r>
        <w:t xml:space="preserve"> has a maximum reserve obligation of 20% for each reserve call.</w:t>
      </w:r>
    </w:p>
    <w:p w:rsidR="00E87736" w:rsidRDefault="00E87736">
      <w:pPr>
        <w:tabs>
          <w:tab w:val="left" w:pos="0"/>
        </w:tabs>
        <w:spacing w:line="240" w:lineRule="auto"/>
      </w:pPr>
    </w:p>
    <w:p w:rsidR="00E87736" w:rsidRDefault="00652F75">
      <w:pPr>
        <w:tabs>
          <w:tab w:val="left" w:pos="0"/>
        </w:tabs>
        <w:spacing w:line="240" w:lineRule="auto"/>
        <w:jc w:val="both"/>
      </w:pPr>
      <w:r>
        <w:t xml:space="preserve">Import Path TRM - </w:t>
      </w:r>
      <w:r w:rsidR="00AB54BC">
        <w:t>DEF</w:t>
      </w:r>
      <w:r>
        <w:t xml:space="preserve"> must be able to receive up to the maximum amount of operating reserves allowed by the Reserve Sharing Agreement.  On import paths the TRM is set to the maximum reserve sharing obligation to be delivered from each reserve sharing participant. The TRM for import paths varies between 0 MW and </w:t>
      </w:r>
      <w:r w:rsidR="00CB6800">
        <w:t>386</w:t>
      </w:r>
      <w:r>
        <w:t xml:space="preserve"> MW depending upon the reserve obligations for the particular path.</w:t>
      </w:r>
    </w:p>
    <w:p w:rsidR="00E87736" w:rsidRDefault="00E87736">
      <w:pPr>
        <w:spacing w:line="240" w:lineRule="auto"/>
        <w:ind w:left="720"/>
        <w:jc w:val="both"/>
      </w:pPr>
    </w:p>
    <w:p w:rsidR="000A2FEC" w:rsidRDefault="000A2FEC">
      <w:pPr>
        <w:widowControl/>
        <w:autoSpaceDE/>
        <w:autoSpaceDN/>
        <w:adjustRightInd/>
        <w:spacing w:after="200" w:line="276" w:lineRule="auto"/>
      </w:pPr>
      <w:r>
        <w:br w:type="page"/>
      </w:r>
    </w:p>
    <w:p w:rsidR="000A2FEC" w:rsidRDefault="000A2FEC" w:rsidP="00151474">
      <w:pPr>
        <w:spacing w:line="240" w:lineRule="auto"/>
        <w:jc w:val="both"/>
        <w:sectPr w:rsidR="000A2FEC" w:rsidSect="002D4B8E">
          <w:headerReference w:type="default" r:id="rId22"/>
          <w:footerReference w:type="default" r:id="rId23"/>
          <w:pgSz w:w="12240" w:h="15840" w:code="1"/>
          <w:pgMar w:top="1440" w:right="1440" w:bottom="1800" w:left="1886" w:header="816" w:footer="109" w:gutter="0"/>
          <w:paperSrc w:first="262"/>
          <w:cols w:space="432"/>
          <w:noEndnote/>
          <w:docGrid w:linePitch="272"/>
        </w:sectPr>
      </w:pPr>
    </w:p>
    <w:p w:rsidR="00D6410A" w:rsidRDefault="00652F75">
      <w:pPr>
        <w:spacing w:line="240" w:lineRule="auto"/>
        <w:jc w:val="both"/>
      </w:pPr>
      <w:r>
        <w:lastRenderedPageBreak/>
        <w:t xml:space="preserve">Pass Through Path TRM - The TRM on pass through paths is the larger of the operating reserve requirement of the POD and POR for each path.  The POR operating reserve requirement for pass through paths is adjusted by a loop flow factor where appropriate. For example, the reserve requirement to deliver to </w:t>
      </w:r>
      <w:r w:rsidR="00AB54BC">
        <w:t>DEF</w:t>
      </w:r>
      <w:r>
        <w:t xml:space="preserve">  may be 100 MW for a particular POR, however a pass through path from the same POR to a POD may only be impacted by 50 MW for the 100 MW reserve obligation, thus the loop flow factor is 0.5, and the resulting TRM is 100*0.5 = 50 MW.</w:t>
      </w:r>
    </w:p>
    <w:p w:rsidR="00E87736" w:rsidRDefault="00E87736">
      <w:pPr>
        <w:spacing w:line="240" w:lineRule="auto"/>
        <w:ind w:left="720"/>
        <w:jc w:val="both"/>
      </w:pPr>
    </w:p>
    <w:p w:rsidR="00D6410A" w:rsidRDefault="00652F75">
      <w:pPr>
        <w:spacing w:line="240" w:lineRule="auto"/>
        <w:jc w:val="both"/>
      </w:pPr>
      <w:r>
        <w:t xml:space="preserve">Use of TRM – </w:t>
      </w:r>
      <w:r w:rsidR="00AB54BC">
        <w:t>DEF</w:t>
      </w:r>
      <w:r>
        <w:t xml:space="preserve"> subtracts TRM from TTC for all firm products in all of the time horizons. To the extent that system conditions allow without adversely impacting reliability, TRM will be made available for transmission service on a </w:t>
      </w:r>
      <w:proofErr w:type="spellStart"/>
      <w:r>
        <w:t>nonfirm</w:t>
      </w:r>
      <w:proofErr w:type="spellEnd"/>
      <w:r>
        <w:t xml:space="preserve"> basis.</w:t>
      </w:r>
    </w:p>
    <w:p w:rsidR="00652F75" w:rsidRDefault="00652F75" w:rsidP="00652F75">
      <w:pPr>
        <w:spacing w:line="240" w:lineRule="auto"/>
        <w:sectPr w:rsidR="00652F75" w:rsidSect="002D4B8E">
          <w:headerReference w:type="default" r:id="rId24"/>
          <w:footerReference w:type="default" r:id="rId25"/>
          <w:pgSz w:w="12240" w:h="15840" w:code="1"/>
          <w:pgMar w:top="1440" w:right="1440" w:bottom="1800" w:left="1886" w:header="816" w:footer="109" w:gutter="0"/>
          <w:paperSrc w:first="262"/>
          <w:cols w:space="432"/>
          <w:noEndnote/>
          <w:docGrid w:linePitch="272"/>
        </w:sectPr>
      </w:pPr>
    </w:p>
    <w:p w:rsidR="00652F75" w:rsidRPr="00136BC7" w:rsidRDefault="00652F75" w:rsidP="00652F75">
      <w:pPr>
        <w:tabs>
          <w:tab w:val="left" w:pos="0"/>
          <w:tab w:val="left" w:pos="1260"/>
          <w:tab w:val="left" w:pos="2070"/>
          <w:tab w:val="left" w:pos="4140"/>
          <w:tab w:val="left" w:pos="4320"/>
          <w:tab w:val="left" w:pos="5040"/>
          <w:tab w:val="left" w:pos="5760"/>
          <w:tab w:val="left" w:pos="6480"/>
          <w:tab w:val="left" w:pos="7200"/>
          <w:tab w:val="left" w:pos="7920"/>
          <w:tab w:val="left" w:pos="8640"/>
        </w:tabs>
        <w:spacing w:line="240" w:lineRule="auto"/>
        <w:jc w:val="both"/>
        <w:rPr>
          <w:rFonts w:ascii="Univers" w:hAnsi="Univers"/>
          <w:b/>
          <w:u w:val="single"/>
        </w:rPr>
      </w:pPr>
      <w:r>
        <w:rPr>
          <w:rFonts w:ascii="Univers" w:hAnsi="Univers"/>
          <w:b/>
          <w:u w:val="single"/>
        </w:rPr>
        <w:lastRenderedPageBreak/>
        <w:t>CBM</w:t>
      </w:r>
    </w:p>
    <w:p w:rsidR="00652F75" w:rsidRDefault="00652F75" w:rsidP="00652F75">
      <w:pPr>
        <w:spacing w:line="240" w:lineRule="auto"/>
        <w:jc w:val="both"/>
        <w:rPr>
          <w:rFonts w:ascii="Univers" w:hAnsi="Univers"/>
        </w:rPr>
      </w:pPr>
      <w:r w:rsidRPr="00B66947">
        <w:rPr>
          <w:rFonts w:ascii="Univers" w:hAnsi="Univers"/>
        </w:rPr>
        <w:t>Capacity Benefit Margin (CBM) - The amount of firm transmission transfer capability preserved by the transmission provider for Load-Serving Entities (LSEs), whose loads are located on that Transmission Service Provider’s system, to enable access by the LSEs to generation from interconnected systems to meet generation reliability requirements. Preservation of CBM for an LSE allows that entity to reduce its installed generating capacity below that which may otherwise have been necessary without interconnections to meet its generation reliability requirements. The transmission transfer capability preserved as CBM is intended to be used by the LSE only in times of emergency generation deficiencies.</w:t>
      </w:r>
    </w:p>
    <w:p w:rsidR="00652F75" w:rsidRDefault="00652F75" w:rsidP="00652F75">
      <w:pPr>
        <w:spacing w:line="240" w:lineRule="auto"/>
        <w:jc w:val="both"/>
        <w:rPr>
          <w:rFonts w:ascii="Univers" w:hAnsi="Univers"/>
        </w:rPr>
      </w:pPr>
    </w:p>
    <w:p w:rsidR="00652F75" w:rsidRDefault="00AB54BC" w:rsidP="00652F75">
      <w:pPr>
        <w:spacing w:line="240" w:lineRule="auto"/>
        <w:jc w:val="both"/>
        <w:rPr>
          <w:rFonts w:ascii="Univers" w:hAnsi="Univers"/>
        </w:rPr>
      </w:pPr>
      <w:r>
        <w:rPr>
          <w:rFonts w:ascii="Univers" w:hAnsi="Univers"/>
        </w:rPr>
        <w:t>DEF</w:t>
      </w:r>
      <w:r w:rsidR="00652F75">
        <w:rPr>
          <w:rFonts w:ascii="Univers" w:hAnsi="Univers"/>
        </w:rPr>
        <w:t>’s Resource Planning group performs its resource adequacy analysis and</w:t>
      </w:r>
      <w:r w:rsidR="00652F75" w:rsidRPr="008A4AFA">
        <w:rPr>
          <w:rFonts w:ascii="Univers" w:hAnsi="Univers"/>
        </w:rPr>
        <w:t xml:space="preserve"> incorporates both deterministic and probabilistic methods in its assessment of generation reliability. </w:t>
      </w:r>
      <w:r w:rsidR="00652F75">
        <w:rPr>
          <w:rFonts w:ascii="Univers" w:hAnsi="Univers"/>
        </w:rPr>
        <w:t xml:space="preserve">  </w:t>
      </w:r>
      <w:r w:rsidR="00652F75" w:rsidRPr="00774E63">
        <w:rPr>
          <w:rFonts w:ascii="Univers" w:hAnsi="Univers"/>
        </w:rPr>
        <w:t xml:space="preserve">This </w:t>
      </w:r>
      <w:r w:rsidR="00652F75">
        <w:rPr>
          <w:rFonts w:ascii="Univers" w:hAnsi="Univers"/>
        </w:rPr>
        <w:t>assessment</w:t>
      </w:r>
      <w:r w:rsidR="00652F75" w:rsidRPr="00774E63">
        <w:rPr>
          <w:rFonts w:ascii="Univers" w:hAnsi="Univers"/>
        </w:rPr>
        <w:t xml:space="preserve"> is accomplished by system reliability analyses which are</w:t>
      </w:r>
      <w:r w:rsidR="00652F75">
        <w:rPr>
          <w:rFonts w:ascii="Univers" w:hAnsi="Univers"/>
        </w:rPr>
        <w:t xml:space="preserve"> </w:t>
      </w:r>
      <w:r w:rsidR="00652F75" w:rsidRPr="00774E63">
        <w:rPr>
          <w:rFonts w:ascii="Univers" w:hAnsi="Univers"/>
        </w:rPr>
        <w:t>typically based on a dual planning criteria of a minimum peak period reserve margin of</w:t>
      </w:r>
      <w:r w:rsidR="00652F75">
        <w:rPr>
          <w:rFonts w:ascii="Univers" w:hAnsi="Univers"/>
        </w:rPr>
        <w:t xml:space="preserve"> </w:t>
      </w:r>
      <w:r w:rsidR="00652F75" w:rsidRPr="00774E63">
        <w:rPr>
          <w:rFonts w:ascii="Univers" w:hAnsi="Univers"/>
        </w:rPr>
        <w:t>20% (</w:t>
      </w:r>
      <w:r>
        <w:rPr>
          <w:rFonts w:ascii="Univers" w:hAnsi="Univers"/>
        </w:rPr>
        <w:t>DEF</w:t>
      </w:r>
      <w:r w:rsidR="00652F75" w:rsidRPr="00774E63">
        <w:rPr>
          <w:rFonts w:ascii="Univers" w:hAnsi="Univers"/>
        </w:rPr>
        <w:t xml:space="preserve"> applies this to both </w:t>
      </w:r>
      <w:r w:rsidR="005730ED" w:rsidRPr="00774E63">
        <w:rPr>
          <w:rFonts w:ascii="Univers" w:hAnsi="Univers"/>
        </w:rPr>
        <w:t>summer</w:t>
      </w:r>
      <w:r w:rsidR="00652F75" w:rsidRPr="00774E63">
        <w:rPr>
          <w:rFonts w:ascii="Univers" w:hAnsi="Univers"/>
        </w:rPr>
        <w:t xml:space="preserve"> and </w:t>
      </w:r>
      <w:r w:rsidR="005730ED" w:rsidRPr="00774E63">
        <w:rPr>
          <w:rFonts w:ascii="Univers" w:hAnsi="Univers"/>
        </w:rPr>
        <w:t>winter</w:t>
      </w:r>
      <w:r w:rsidR="00652F75" w:rsidRPr="00774E63">
        <w:rPr>
          <w:rFonts w:ascii="Univers" w:hAnsi="Univers"/>
        </w:rPr>
        <w:t xml:space="preserve"> peaks) and a maximum loss-of-load</w:t>
      </w:r>
      <w:r w:rsidR="00652F75">
        <w:rPr>
          <w:rFonts w:ascii="Univers" w:hAnsi="Univers"/>
        </w:rPr>
        <w:t xml:space="preserve"> </w:t>
      </w:r>
      <w:r w:rsidR="00652F75" w:rsidRPr="00774E63">
        <w:rPr>
          <w:rFonts w:ascii="Univers" w:hAnsi="Univers"/>
        </w:rPr>
        <w:t>probability (LOLP) of 0.1 day per year. Both of these criteria are commonly used</w:t>
      </w:r>
      <w:r w:rsidR="00652F75">
        <w:rPr>
          <w:rFonts w:ascii="Univers" w:hAnsi="Univers"/>
        </w:rPr>
        <w:t xml:space="preserve"> </w:t>
      </w:r>
      <w:r w:rsidR="00652F75" w:rsidRPr="00774E63">
        <w:rPr>
          <w:rFonts w:ascii="Univers" w:hAnsi="Univers"/>
        </w:rPr>
        <w:t>throughout the utility industry.</w:t>
      </w:r>
      <w:r w:rsidR="00652F75">
        <w:rPr>
          <w:rFonts w:ascii="Univers" w:hAnsi="Univers"/>
        </w:rPr>
        <w:t xml:space="preserve"> </w:t>
      </w:r>
      <w:r w:rsidR="00652F75" w:rsidRPr="00774E63">
        <w:rPr>
          <w:rFonts w:ascii="Univers" w:hAnsi="Univers"/>
        </w:rPr>
        <w:t>Historically, two types of methodologies, deterministic and probabilistic, have been</w:t>
      </w:r>
      <w:r w:rsidR="00652F75">
        <w:rPr>
          <w:rFonts w:ascii="Univers" w:hAnsi="Univers"/>
        </w:rPr>
        <w:t xml:space="preserve"> </w:t>
      </w:r>
      <w:r w:rsidR="00652F75" w:rsidRPr="00774E63">
        <w:rPr>
          <w:rFonts w:ascii="Univers" w:hAnsi="Univers"/>
        </w:rPr>
        <w:t>employed in system reliability analysis. The calculation of excess firm capacity at the</w:t>
      </w:r>
      <w:r w:rsidR="00652F75">
        <w:rPr>
          <w:rFonts w:ascii="Univers" w:hAnsi="Univers"/>
        </w:rPr>
        <w:t xml:space="preserve"> </w:t>
      </w:r>
      <w:r w:rsidR="00652F75" w:rsidRPr="00774E63">
        <w:rPr>
          <w:rFonts w:ascii="Univers" w:hAnsi="Univers"/>
        </w:rPr>
        <w:t>annual system peaks (reserve margin) is the most common method, and this relatively</w:t>
      </w:r>
      <w:r w:rsidR="00652F75">
        <w:rPr>
          <w:rFonts w:ascii="Univers" w:hAnsi="Univers"/>
        </w:rPr>
        <w:t xml:space="preserve"> </w:t>
      </w:r>
      <w:r w:rsidR="00652F75" w:rsidRPr="00774E63">
        <w:rPr>
          <w:rFonts w:ascii="Univers" w:hAnsi="Univers"/>
        </w:rPr>
        <w:t>simple deterministic calculation can be performed on a spreadsheet. It provides an</w:t>
      </w:r>
      <w:r w:rsidR="00652F75">
        <w:rPr>
          <w:rFonts w:ascii="Univers" w:hAnsi="Univers"/>
        </w:rPr>
        <w:t xml:space="preserve"> </w:t>
      </w:r>
      <w:r w:rsidR="00652F75" w:rsidRPr="00774E63">
        <w:rPr>
          <w:rFonts w:ascii="Univers" w:hAnsi="Univers"/>
        </w:rPr>
        <w:t>indication of the adequacy of a generating system’s capacity resources compared to its</w:t>
      </w:r>
      <w:r w:rsidR="00652F75">
        <w:rPr>
          <w:rFonts w:ascii="Univers" w:hAnsi="Univers"/>
        </w:rPr>
        <w:t xml:space="preserve"> </w:t>
      </w:r>
      <w:r w:rsidR="00652F75" w:rsidRPr="00774E63">
        <w:rPr>
          <w:rFonts w:ascii="Univers" w:hAnsi="Univers"/>
        </w:rPr>
        <w:t>native load during peak periods. However, deterministic methods do not take into account</w:t>
      </w:r>
      <w:r w:rsidR="00652F75">
        <w:rPr>
          <w:rFonts w:ascii="Univers" w:hAnsi="Univers"/>
        </w:rPr>
        <w:t xml:space="preserve"> </w:t>
      </w:r>
      <w:r w:rsidR="00652F75" w:rsidRPr="00774E63">
        <w:rPr>
          <w:rFonts w:ascii="Univers" w:hAnsi="Univers"/>
        </w:rPr>
        <w:t>probabilistic-related elements such as the impact of individual unit failures. For example:</w:t>
      </w:r>
      <w:r w:rsidR="00652F75">
        <w:rPr>
          <w:rFonts w:ascii="Univers" w:hAnsi="Univers"/>
        </w:rPr>
        <w:t xml:space="preserve"> </w:t>
      </w:r>
      <w:r w:rsidR="00652F75" w:rsidRPr="00774E63">
        <w:rPr>
          <w:rFonts w:ascii="Univers" w:hAnsi="Univers"/>
        </w:rPr>
        <w:t>two 50 MW units which can be counted on to run 90% of the time are more valuable in</w:t>
      </w:r>
      <w:r w:rsidR="00652F75">
        <w:rPr>
          <w:rFonts w:ascii="Univers" w:hAnsi="Univers"/>
        </w:rPr>
        <w:t xml:space="preserve"> </w:t>
      </w:r>
      <w:r w:rsidR="00652F75" w:rsidRPr="00774E63">
        <w:rPr>
          <w:rFonts w:ascii="Univers" w:hAnsi="Univers"/>
        </w:rPr>
        <w:t>regard to utility system reliability than is one 100 MW unit which can also be counted on to</w:t>
      </w:r>
      <w:r w:rsidR="00652F75">
        <w:rPr>
          <w:rFonts w:ascii="Univers" w:hAnsi="Univers"/>
        </w:rPr>
        <w:t xml:space="preserve"> </w:t>
      </w:r>
      <w:r w:rsidR="00652F75" w:rsidRPr="00774E63">
        <w:rPr>
          <w:rFonts w:ascii="Univers" w:hAnsi="Univers"/>
        </w:rPr>
        <w:t>run 90% of the time. Probabilistic methods also recognize the value of being part of an</w:t>
      </w:r>
      <w:r w:rsidR="00652F75">
        <w:rPr>
          <w:rFonts w:ascii="Univers" w:hAnsi="Univers"/>
        </w:rPr>
        <w:t xml:space="preserve"> </w:t>
      </w:r>
      <w:r w:rsidR="00652F75" w:rsidRPr="00774E63">
        <w:rPr>
          <w:rFonts w:ascii="Univers" w:hAnsi="Univers"/>
        </w:rPr>
        <w:t>interconnected system with access to multiple capacity sources.</w:t>
      </w:r>
      <w:r w:rsidR="00652F75">
        <w:rPr>
          <w:rFonts w:ascii="Univers" w:hAnsi="Univers"/>
        </w:rPr>
        <w:t xml:space="preserve">  </w:t>
      </w:r>
      <w:r w:rsidR="00652F75" w:rsidRPr="00774E63">
        <w:rPr>
          <w:rFonts w:ascii="Univers" w:hAnsi="Univers"/>
        </w:rPr>
        <w:t>For this reason, probabilistic methodologies have been used to provide an additional</w:t>
      </w:r>
      <w:r w:rsidR="00652F75">
        <w:rPr>
          <w:rFonts w:ascii="Univers" w:hAnsi="Univers"/>
        </w:rPr>
        <w:t xml:space="preserve"> </w:t>
      </w:r>
      <w:r w:rsidR="00652F75" w:rsidRPr="00774E63">
        <w:rPr>
          <w:rFonts w:ascii="Univers" w:hAnsi="Univers"/>
        </w:rPr>
        <w:t>perspective on the generation resource adequacy of a generating system. There are a</w:t>
      </w:r>
      <w:r w:rsidR="00652F75">
        <w:rPr>
          <w:rFonts w:ascii="Univers" w:hAnsi="Univers"/>
        </w:rPr>
        <w:t xml:space="preserve"> </w:t>
      </w:r>
      <w:r w:rsidR="00652F75" w:rsidRPr="00774E63">
        <w:rPr>
          <w:rFonts w:ascii="Univers" w:hAnsi="Univers"/>
        </w:rPr>
        <w:t>number of probabilistic methods that are being used to perform system reliability analyses.</w:t>
      </w:r>
      <w:r w:rsidR="00652F75">
        <w:rPr>
          <w:rFonts w:ascii="Univers" w:hAnsi="Univers"/>
        </w:rPr>
        <w:t xml:space="preserve">  </w:t>
      </w:r>
      <w:r w:rsidR="00652F75" w:rsidRPr="00774E63">
        <w:rPr>
          <w:rFonts w:ascii="Univers" w:hAnsi="Univers"/>
        </w:rPr>
        <w:t>Of these, the most widely used is loss–of-load probability or LOLP. Simply stated, LOLP</w:t>
      </w:r>
      <w:r w:rsidR="00652F75">
        <w:rPr>
          <w:rFonts w:ascii="Univers" w:hAnsi="Univers"/>
        </w:rPr>
        <w:t xml:space="preserve"> </w:t>
      </w:r>
      <w:r w:rsidR="00652F75" w:rsidRPr="00774E63">
        <w:rPr>
          <w:rFonts w:ascii="Univers" w:hAnsi="Univers"/>
        </w:rPr>
        <w:t>is an index of how well a generating system may be able to meet its demand (i.e., a</w:t>
      </w:r>
      <w:r w:rsidR="00652F75">
        <w:rPr>
          <w:rFonts w:ascii="Univers" w:hAnsi="Univers"/>
        </w:rPr>
        <w:t xml:space="preserve"> </w:t>
      </w:r>
      <w:r w:rsidR="00652F75" w:rsidRPr="00774E63">
        <w:rPr>
          <w:rFonts w:ascii="Univers" w:hAnsi="Univers"/>
        </w:rPr>
        <w:t>measure of how often load may exceed available resources). In contrast to reserve</w:t>
      </w:r>
      <w:r w:rsidR="00652F75">
        <w:rPr>
          <w:rFonts w:ascii="Univers" w:hAnsi="Univers"/>
        </w:rPr>
        <w:t xml:space="preserve"> </w:t>
      </w:r>
      <w:r w:rsidR="00652F75" w:rsidRPr="00774E63">
        <w:rPr>
          <w:rFonts w:ascii="Univers" w:hAnsi="Univers"/>
        </w:rPr>
        <w:t>margin, the calculation of LOLP looks at the daily peak demands for each year, while</w:t>
      </w:r>
      <w:r w:rsidR="00652F75">
        <w:rPr>
          <w:rFonts w:ascii="Univers" w:hAnsi="Univers"/>
        </w:rPr>
        <w:t xml:space="preserve"> </w:t>
      </w:r>
      <w:r w:rsidR="00652F75" w:rsidRPr="00774E63">
        <w:rPr>
          <w:rFonts w:ascii="Univers" w:hAnsi="Univers"/>
        </w:rPr>
        <w:t>taking into consideration such probabilistic events as the unavailability of individual</w:t>
      </w:r>
      <w:r w:rsidR="00652F75">
        <w:rPr>
          <w:rFonts w:ascii="Univers" w:hAnsi="Univers"/>
        </w:rPr>
        <w:t xml:space="preserve"> </w:t>
      </w:r>
      <w:r w:rsidR="00652F75" w:rsidRPr="00774E63">
        <w:rPr>
          <w:rFonts w:ascii="Univers" w:hAnsi="Univers"/>
        </w:rPr>
        <w:t>generators due to scheduled maintenance or forced outages.</w:t>
      </w:r>
      <w:r w:rsidR="00652F75">
        <w:rPr>
          <w:rFonts w:ascii="Univers" w:hAnsi="Univers"/>
        </w:rPr>
        <w:t xml:space="preserve">  </w:t>
      </w:r>
      <w:r w:rsidR="00652F75" w:rsidRPr="00774E63">
        <w:rPr>
          <w:rFonts w:ascii="Univers" w:hAnsi="Univers"/>
        </w:rPr>
        <w:t>LOLP is expressed in units of the “number of times per year” that the system demand</w:t>
      </w:r>
      <w:r w:rsidR="00652F75">
        <w:rPr>
          <w:rFonts w:ascii="Univers" w:hAnsi="Univers"/>
        </w:rPr>
        <w:t xml:space="preserve"> </w:t>
      </w:r>
      <w:r w:rsidR="00652F75" w:rsidRPr="00774E63">
        <w:rPr>
          <w:rFonts w:ascii="Univers" w:hAnsi="Univers"/>
        </w:rPr>
        <w:t>could not be served. The standard for LOLP accepted throughout the industry is a</w:t>
      </w:r>
      <w:r w:rsidR="00652F75">
        <w:rPr>
          <w:rFonts w:ascii="Univers" w:hAnsi="Univers"/>
        </w:rPr>
        <w:t xml:space="preserve"> </w:t>
      </w:r>
      <w:r w:rsidR="00652F75" w:rsidRPr="00774E63">
        <w:rPr>
          <w:rFonts w:ascii="Univers" w:hAnsi="Univers"/>
        </w:rPr>
        <w:t>maximum of 0.1 day per year. This analysis requires a more complicated calculation</w:t>
      </w:r>
      <w:r w:rsidR="00652F75">
        <w:rPr>
          <w:rFonts w:ascii="Univers" w:hAnsi="Univers"/>
        </w:rPr>
        <w:t xml:space="preserve"> </w:t>
      </w:r>
      <w:r w:rsidR="00652F75" w:rsidRPr="00774E63">
        <w:rPr>
          <w:rFonts w:ascii="Univers" w:hAnsi="Univers"/>
        </w:rPr>
        <w:t>methodology than does the reserve margin analysis. LOLP analyses are typically carried</w:t>
      </w:r>
      <w:r w:rsidR="00652F75">
        <w:rPr>
          <w:rFonts w:ascii="Univers" w:hAnsi="Univers"/>
        </w:rPr>
        <w:t xml:space="preserve"> </w:t>
      </w:r>
      <w:r w:rsidR="00652F75" w:rsidRPr="00774E63">
        <w:rPr>
          <w:rFonts w:ascii="Univers" w:hAnsi="Univers"/>
        </w:rPr>
        <w:t>out using computer software models such as the Tie Line Assistance and Generation</w:t>
      </w:r>
      <w:r w:rsidR="00652F75">
        <w:rPr>
          <w:rFonts w:ascii="Univers" w:hAnsi="Univers"/>
        </w:rPr>
        <w:t xml:space="preserve"> </w:t>
      </w:r>
      <w:r w:rsidR="00652F75" w:rsidRPr="00774E63">
        <w:rPr>
          <w:rFonts w:ascii="Univers" w:hAnsi="Univers"/>
        </w:rPr>
        <w:t xml:space="preserve">Reliability (TIGER) program used by </w:t>
      </w:r>
      <w:r>
        <w:rPr>
          <w:rFonts w:ascii="Univers" w:hAnsi="Univers"/>
        </w:rPr>
        <w:t>DEF</w:t>
      </w:r>
      <w:r w:rsidR="00652F75" w:rsidRPr="00774E63">
        <w:rPr>
          <w:rFonts w:ascii="Univers" w:hAnsi="Univers"/>
        </w:rPr>
        <w:t>.</w:t>
      </w:r>
    </w:p>
    <w:p w:rsidR="00652F75" w:rsidRDefault="00652F75" w:rsidP="00652F75">
      <w:pPr>
        <w:spacing w:line="240" w:lineRule="auto"/>
        <w:jc w:val="both"/>
        <w:rPr>
          <w:rFonts w:ascii="Univers" w:hAnsi="Univers"/>
        </w:rPr>
      </w:pPr>
    </w:p>
    <w:p w:rsidR="00652F75" w:rsidRDefault="00652F75" w:rsidP="00652F75">
      <w:pPr>
        <w:spacing w:line="240" w:lineRule="auto"/>
        <w:jc w:val="both"/>
        <w:rPr>
          <w:rFonts w:ascii="Univers" w:hAnsi="Univers"/>
        </w:rPr>
      </w:pPr>
      <w:r w:rsidRPr="00774E63">
        <w:rPr>
          <w:rFonts w:ascii="Univers" w:hAnsi="Univers"/>
        </w:rPr>
        <w:t xml:space="preserve">The result of </w:t>
      </w:r>
      <w:r>
        <w:rPr>
          <w:rFonts w:ascii="Univers" w:hAnsi="Univers"/>
        </w:rPr>
        <w:t>this</w:t>
      </w:r>
      <w:r w:rsidRPr="00774E63">
        <w:rPr>
          <w:rFonts w:ascii="Univers" w:hAnsi="Univers"/>
        </w:rPr>
        <w:t xml:space="preserve"> step of resource planning is a projection of how many</w:t>
      </w:r>
      <w:r>
        <w:rPr>
          <w:rFonts w:ascii="Univers" w:hAnsi="Univers"/>
        </w:rPr>
        <w:t xml:space="preserve"> </w:t>
      </w:r>
      <w:r w:rsidRPr="00774E63">
        <w:rPr>
          <w:rFonts w:ascii="Univers" w:hAnsi="Univers"/>
        </w:rPr>
        <w:t>MW of resources are needed to meet both reserve margin and LOLP criteria, and</w:t>
      </w:r>
      <w:r>
        <w:rPr>
          <w:rFonts w:ascii="Univers" w:hAnsi="Univers"/>
        </w:rPr>
        <w:t xml:space="preserve"> </w:t>
      </w:r>
      <w:r w:rsidRPr="00774E63">
        <w:rPr>
          <w:rFonts w:ascii="Univers" w:hAnsi="Univers"/>
        </w:rPr>
        <w:t>thus maintain system reliability.</w:t>
      </w:r>
      <w:r>
        <w:rPr>
          <w:rFonts w:ascii="Univers" w:hAnsi="Univers"/>
        </w:rPr>
        <w:t xml:space="preserve"> </w:t>
      </w:r>
      <w:r w:rsidRPr="00774E63">
        <w:rPr>
          <w:rFonts w:ascii="Univers" w:hAnsi="Univers"/>
        </w:rPr>
        <w:t xml:space="preserve"> </w:t>
      </w:r>
    </w:p>
    <w:p w:rsidR="00652F75" w:rsidRDefault="00652F75" w:rsidP="00CB0834">
      <w:pPr>
        <w:spacing w:line="240" w:lineRule="auto"/>
        <w:ind w:left="720"/>
        <w:jc w:val="both"/>
        <w:rPr>
          <w:rFonts w:ascii="Univers" w:hAnsi="Univers"/>
        </w:rPr>
        <w:sectPr w:rsidR="00652F75" w:rsidSect="002D4B8E">
          <w:headerReference w:type="default" r:id="rId26"/>
          <w:footerReference w:type="default" r:id="rId27"/>
          <w:pgSz w:w="12240" w:h="15840" w:code="1"/>
          <w:pgMar w:top="1440" w:right="1440" w:bottom="1800" w:left="1886" w:header="816" w:footer="109" w:gutter="0"/>
          <w:paperSrc w:first="262"/>
          <w:cols w:space="432"/>
          <w:noEndnote/>
          <w:docGrid w:linePitch="272"/>
        </w:sectPr>
      </w:pPr>
    </w:p>
    <w:p w:rsidR="00D6410A" w:rsidRPr="00D6410A" w:rsidRDefault="00F26417">
      <w:pPr>
        <w:tabs>
          <w:tab w:val="left" w:pos="0"/>
          <w:tab w:val="left" w:pos="1260"/>
          <w:tab w:val="left" w:pos="2070"/>
          <w:tab w:val="left" w:pos="4140"/>
          <w:tab w:val="left" w:pos="4320"/>
          <w:tab w:val="left" w:pos="5040"/>
          <w:tab w:val="left" w:pos="5760"/>
          <w:tab w:val="left" w:pos="6480"/>
          <w:tab w:val="left" w:pos="7200"/>
          <w:tab w:val="left" w:pos="7920"/>
          <w:tab w:val="left" w:pos="8640"/>
        </w:tabs>
        <w:spacing w:line="240" w:lineRule="auto"/>
        <w:jc w:val="both"/>
        <w:rPr>
          <w:rFonts w:ascii="Univers" w:hAnsi="Univers"/>
          <w:b/>
          <w:u w:val="single"/>
        </w:rPr>
      </w:pPr>
      <w:r w:rsidRPr="00F26417">
        <w:rPr>
          <w:rFonts w:ascii="Univers" w:hAnsi="Univers"/>
          <w:b/>
          <w:u w:val="single"/>
        </w:rPr>
        <w:lastRenderedPageBreak/>
        <w:t xml:space="preserve">Determination of CBM  </w:t>
      </w:r>
    </w:p>
    <w:p w:rsidR="00AE3C4E" w:rsidRPr="00AE3C4E" w:rsidRDefault="00AE3C4E" w:rsidP="00340D30">
      <w:pPr>
        <w:tabs>
          <w:tab w:val="left" w:pos="0"/>
          <w:tab w:val="left" w:pos="1260"/>
          <w:tab w:val="left" w:pos="2070"/>
          <w:tab w:val="left" w:pos="4140"/>
          <w:tab w:val="left" w:pos="4320"/>
          <w:tab w:val="left" w:pos="5040"/>
          <w:tab w:val="left" w:pos="5760"/>
          <w:tab w:val="left" w:pos="6480"/>
          <w:tab w:val="left" w:pos="7200"/>
          <w:tab w:val="left" w:pos="7920"/>
          <w:tab w:val="left" w:pos="8640"/>
        </w:tabs>
        <w:spacing w:line="240" w:lineRule="auto"/>
        <w:jc w:val="both"/>
        <w:rPr>
          <w:rFonts w:ascii="Univers" w:hAnsi="Univers"/>
          <w:b/>
          <w:u w:val="single"/>
        </w:rPr>
      </w:pPr>
    </w:p>
    <w:p w:rsidR="00D6410A" w:rsidRDefault="00AB54BC">
      <w:pPr>
        <w:tabs>
          <w:tab w:val="left" w:pos="0"/>
          <w:tab w:val="left" w:pos="1260"/>
          <w:tab w:val="left" w:pos="2070"/>
          <w:tab w:val="left" w:pos="4140"/>
          <w:tab w:val="left" w:pos="4320"/>
          <w:tab w:val="left" w:pos="5040"/>
          <w:tab w:val="left" w:pos="5760"/>
          <w:tab w:val="left" w:pos="6480"/>
          <w:tab w:val="left" w:pos="7200"/>
          <w:tab w:val="left" w:pos="7920"/>
          <w:tab w:val="left" w:pos="8640"/>
        </w:tabs>
        <w:spacing w:line="240" w:lineRule="auto"/>
        <w:jc w:val="both"/>
        <w:rPr>
          <w:rFonts w:ascii="Univers" w:hAnsi="Univers"/>
        </w:rPr>
      </w:pPr>
      <w:r>
        <w:rPr>
          <w:rFonts w:ascii="Univers" w:hAnsi="Univers"/>
        </w:rPr>
        <w:t>DEF</w:t>
      </w:r>
      <w:r w:rsidR="00652F75" w:rsidRPr="008A4AFA">
        <w:rPr>
          <w:rFonts w:ascii="Univers" w:hAnsi="Univers"/>
        </w:rPr>
        <w:t xml:space="preserve"> has adopted the following CBM Methodology:</w:t>
      </w:r>
    </w:p>
    <w:p w:rsidR="00D6410A" w:rsidRDefault="00D6410A">
      <w:pPr>
        <w:tabs>
          <w:tab w:val="left" w:pos="0"/>
          <w:tab w:val="left" w:pos="1260"/>
          <w:tab w:val="left" w:pos="2070"/>
          <w:tab w:val="left" w:pos="4140"/>
          <w:tab w:val="left" w:pos="4320"/>
          <w:tab w:val="left" w:pos="5040"/>
          <w:tab w:val="left" w:pos="5760"/>
          <w:tab w:val="left" w:pos="6480"/>
          <w:tab w:val="left" w:pos="7200"/>
          <w:tab w:val="left" w:pos="7920"/>
          <w:tab w:val="left" w:pos="8640"/>
        </w:tabs>
        <w:spacing w:line="240" w:lineRule="auto"/>
        <w:jc w:val="both"/>
        <w:rPr>
          <w:rFonts w:ascii="Univers" w:hAnsi="Univers"/>
        </w:rPr>
      </w:pPr>
    </w:p>
    <w:p w:rsidR="00D6410A" w:rsidRDefault="00AB54BC">
      <w:pPr>
        <w:spacing w:line="240" w:lineRule="auto"/>
        <w:ind w:right="270"/>
        <w:jc w:val="both"/>
        <w:rPr>
          <w:rFonts w:ascii="Univers" w:hAnsi="Univers"/>
        </w:rPr>
      </w:pPr>
      <w:r>
        <w:rPr>
          <w:rFonts w:ascii="Univers" w:hAnsi="Univers"/>
        </w:rPr>
        <w:t>DEF</w:t>
      </w:r>
      <w:r w:rsidR="00652F75" w:rsidRPr="008A4AFA">
        <w:rPr>
          <w:rFonts w:ascii="Univers" w:hAnsi="Univers"/>
        </w:rPr>
        <w:t xml:space="preserve"> currently has zero CBM reserved on each of its interfaces (posted paths). </w:t>
      </w:r>
      <w:r>
        <w:rPr>
          <w:rFonts w:ascii="Univers" w:hAnsi="Univers"/>
        </w:rPr>
        <w:t>DEF</w:t>
      </w:r>
      <w:r w:rsidR="00652F75" w:rsidRPr="008A4AFA">
        <w:rPr>
          <w:rFonts w:ascii="Univers" w:hAnsi="Univers"/>
        </w:rPr>
        <w:t xml:space="preserve">'s CBM </w:t>
      </w:r>
      <w:r w:rsidR="00652F75">
        <w:rPr>
          <w:rFonts w:ascii="Univers" w:hAnsi="Univers"/>
        </w:rPr>
        <w:t>o</w:t>
      </w:r>
      <w:r w:rsidR="00652F75" w:rsidRPr="008A4AFA">
        <w:rPr>
          <w:rFonts w:ascii="Univers" w:hAnsi="Univers"/>
        </w:rPr>
        <w:t xml:space="preserve">n each interface is currently established through the transmission provider functions within </w:t>
      </w:r>
      <w:r>
        <w:rPr>
          <w:rFonts w:ascii="Univers" w:hAnsi="Univers"/>
        </w:rPr>
        <w:t>DEF</w:t>
      </w:r>
      <w:r w:rsidR="00652F75" w:rsidRPr="008A4AFA">
        <w:rPr>
          <w:rFonts w:ascii="Univers" w:hAnsi="Univers"/>
        </w:rPr>
        <w:t>.</w:t>
      </w:r>
    </w:p>
    <w:p w:rsidR="00D6410A" w:rsidRDefault="00D6410A">
      <w:pPr>
        <w:spacing w:line="240" w:lineRule="auto"/>
        <w:rPr>
          <w:rFonts w:ascii="Univers" w:hAnsi="Univers"/>
        </w:rPr>
      </w:pPr>
    </w:p>
    <w:p w:rsidR="00D6410A" w:rsidRDefault="00652F75">
      <w:pPr>
        <w:tabs>
          <w:tab w:val="left" w:pos="0"/>
          <w:tab w:val="left" w:pos="1260"/>
          <w:tab w:val="left" w:pos="2070"/>
          <w:tab w:val="left" w:pos="4140"/>
          <w:tab w:val="left" w:pos="4320"/>
          <w:tab w:val="left" w:pos="5040"/>
          <w:tab w:val="left" w:pos="5760"/>
          <w:tab w:val="left" w:pos="6480"/>
          <w:tab w:val="left" w:pos="7200"/>
          <w:tab w:val="left" w:pos="7920"/>
          <w:tab w:val="left" w:pos="8640"/>
        </w:tabs>
        <w:spacing w:line="240" w:lineRule="auto"/>
        <w:jc w:val="both"/>
        <w:rPr>
          <w:rFonts w:ascii="Univers" w:hAnsi="Univers"/>
        </w:rPr>
      </w:pPr>
      <w:r>
        <w:rPr>
          <w:rFonts w:ascii="Univers" w:hAnsi="Univers"/>
        </w:rPr>
        <w:t xml:space="preserve">Since </w:t>
      </w:r>
      <w:r w:rsidR="00AB54BC">
        <w:rPr>
          <w:rFonts w:ascii="Univers" w:hAnsi="Univers"/>
        </w:rPr>
        <w:t>DEF</w:t>
      </w:r>
      <w:r w:rsidRPr="009E62F2">
        <w:rPr>
          <w:rFonts w:ascii="Univers" w:hAnsi="Univers"/>
        </w:rPr>
        <w:t xml:space="preserve"> does not calculate a CBM component to meet any resource adequacy reliability requirement; CBM on each of </w:t>
      </w:r>
      <w:r w:rsidR="00AB54BC">
        <w:rPr>
          <w:rFonts w:ascii="Univers" w:hAnsi="Univers"/>
        </w:rPr>
        <w:t>DEF</w:t>
      </w:r>
      <w:r w:rsidRPr="009E62F2">
        <w:rPr>
          <w:rFonts w:ascii="Univers" w:hAnsi="Univers"/>
        </w:rPr>
        <w:t xml:space="preserve">’s path’s where </w:t>
      </w:r>
      <w:r w:rsidR="00AB54BC">
        <w:rPr>
          <w:rFonts w:ascii="Univers" w:hAnsi="Univers"/>
        </w:rPr>
        <w:t>DEF</w:t>
      </w:r>
      <w:r w:rsidRPr="009E62F2">
        <w:rPr>
          <w:rFonts w:ascii="Univers" w:hAnsi="Univers"/>
        </w:rPr>
        <w:t xml:space="preserve"> is the POD will be 0 and will not be included in the calculations.  </w:t>
      </w:r>
    </w:p>
    <w:p w:rsidR="00652F75" w:rsidRDefault="00652F75" w:rsidP="00652F75">
      <w:pPr>
        <w:spacing w:line="240" w:lineRule="auto"/>
      </w:pPr>
    </w:p>
    <w:p w:rsidR="00652F75" w:rsidRDefault="00652F75" w:rsidP="00652F75"/>
    <w:p w:rsidR="00420775" w:rsidRDefault="00943C9A" w:rsidP="00943C9A">
      <w:pPr>
        <w:tabs>
          <w:tab w:val="left" w:pos="4365"/>
        </w:tabs>
      </w:pPr>
      <w:r>
        <w:tab/>
      </w:r>
    </w:p>
    <w:sectPr w:rsidR="00420775" w:rsidSect="00340D30">
      <w:headerReference w:type="default" r:id="rId28"/>
      <w:pgSz w:w="12240" w:h="15840"/>
      <w:pgMar w:top="1440" w:right="117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264" w:rsidRDefault="00322264" w:rsidP="00925601">
      <w:pPr>
        <w:spacing w:line="240" w:lineRule="auto"/>
      </w:pPr>
      <w:r>
        <w:separator/>
      </w:r>
    </w:p>
  </w:endnote>
  <w:endnote w:type="continuationSeparator" w:id="0">
    <w:p w:rsidR="00322264" w:rsidRDefault="00322264" w:rsidP="009256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 w:name="Gautami">
    <w:panose1 w:val="020B0502040204020203"/>
    <w:charset w:val="00"/>
    <w:family w:val="swiss"/>
    <w:pitch w:val="variable"/>
    <w:sig w:usb0="00200003" w:usb1="00000000" w:usb2="00000000" w:usb3="00000000" w:csb0="00000001" w:csb1="00000000"/>
  </w:font>
  <w:font w:name="Univers">
    <w:altName w:val="Arial"/>
    <w:charset w:val="00"/>
    <w:family w:val="swiss"/>
    <w:pitch w:val="variable"/>
    <w:sig w:usb0="00000207" w:usb1="00000000" w:usb2="00000000" w:usb3="00000000" w:csb0="00000097"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264" w:rsidRDefault="00322264" w:rsidP="002D4B8E">
    <w:pPr>
      <w:pStyle w:val="Footer"/>
      <w:tabs>
        <w:tab w:val="clear" w:pos="8640"/>
        <w:tab w:val="left" w:pos="1100"/>
        <w:tab w:val="left" w:pos="5900"/>
        <w:tab w:val="right" w:pos="9360"/>
      </w:tabs>
      <w:spacing w:line="240" w:lineRule="exact"/>
      <w:ind w:right="-6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264" w:rsidRDefault="00322264" w:rsidP="0036118C">
    <w:pPr>
      <w:widowControl/>
      <w:spacing w:line="240" w:lineRule="auto"/>
      <w:ind w:right="-176"/>
    </w:pPr>
  </w:p>
  <w:p w:rsidR="00322264" w:rsidRDefault="00322264" w:rsidP="002D4B8E">
    <w:pPr>
      <w:pStyle w:val="Footer"/>
      <w:tabs>
        <w:tab w:val="clear" w:pos="8640"/>
        <w:tab w:val="left" w:pos="1100"/>
        <w:tab w:val="left" w:pos="5900"/>
        <w:tab w:val="right" w:pos="9360"/>
      </w:tabs>
      <w:spacing w:line="240" w:lineRule="exact"/>
      <w:ind w:right="-6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264" w:rsidRDefault="0032226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264" w:rsidRDefault="00322264" w:rsidP="00DF5CA2">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264" w:rsidRPr="0033351B" w:rsidRDefault="00322264" w:rsidP="002D4B8E">
    <w:pPr>
      <w:widowControl/>
      <w:spacing w:line="240" w:lineRule="auto"/>
      <w:ind w:right="-176"/>
      <w:rPr>
        <w:sz w:val="20"/>
        <w:szCs w:val="20"/>
      </w:rPr>
    </w:pPr>
  </w:p>
  <w:p w:rsidR="00322264" w:rsidRDefault="00322264">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E8A" w:rsidRDefault="00AB54BC" w:rsidP="00DF5CA2">
    <w:pPr>
      <w:pStyle w:val="Footer"/>
      <w:tabs>
        <w:tab w:val="clear" w:pos="8640"/>
        <w:tab w:val="left" w:pos="1260"/>
        <w:tab w:val="right" w:pos="9360"/>
      </w:tabs>
      <w:spacing w:line="240" w:lineRule="auto"/>
      <w:ind w:left="90" w:right="-180"/>
    </w:pPr>
    <w:r>
      <w:rPr>
        <w:noProof/>
        <w:sz w:val="20"/>
      </w:rPr>
      <mc:AlternateContent>
        <mc:Choice Requires="wps">
          <w:drawing>
            <wp:anchor distT="0" distB="0" distL="114300" distR="114300" simplePos="0" relativeHeight="251693056" behindDoc="0" locked="0" layoutInCell="1" allowOverlap="1" wp14:anchorId="4079A066" wp14:editId="150B2FDD">
              <wp:simplePos x="0" y="0"/>
              <wp:positionH relativeFrom="column">
                <wp:posOffset>51435</wp:posOffset>
              </wp:positionH>
              <wp:positionV relativeFrom="paragraph">
                <wp:posOffset>120015</wp:posOffset>
              </wp:positionV>
              <wp:extent cx="5943600" cy="0"/>
              <wp:effectExtent l="22860" t="24765" r="24765" b="22860"/>
              <wp:wrapNone/>
              <wp:docPr id="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9.45pt" to="472.0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T9qEQIAACoEAAAOAAAAZHJzL2Uyb0RvYy54bWysU8GO2jAQvVfqP1i+QxLIUo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" strokeweight="3pt"/>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264" w:rsidRDefault="003222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264" w:rsidRDefault="00322264" w:rsidP="00925601">
      <w:pPr>
        <w:spacing w:line="240" w:lineRule="auto"/>
      </w:pPr>
      <w:r>
        <w:separator/>
      </w:r>
    </w:p>
  </w:footnote>
  <w:footnote w:type="continuationSeparator" w:id="0">
    <w:p w:rsidR="00322264" w:rsidRDefault="00322264" w:rsidP="0092560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264" w:rsidRDefault="00322264" w:rsidP="002D4B8E">
    <w:pPr>
      <w:pStyle w:val="Header"/>
      <w:spacing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264" w:rsidRDefault="00322264" w:rsidP="002D4B8E">
    <w:pPr>
      <w:pStyle w:val="Header"/>
      <w:spacing w:line="240"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264" w:rsidRDefault="00322264" w:rsidP="00DF5CA2">
    <w:pPr>
      <w:pStyle w:val="Header"/>
      <w:spacing w:line="240" w:lineRule="aut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264" w:rsidRDefault="00322264" w:rsidP="00DF5CA2">
    <w:pPr>
      <w:pStyle w:val="Header"/>
      <w:spacing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264" w:rsidRDefault="00322264" w:rsidP="002D4B8E">
    <w:pPr>
      <w:pStyle w:val="Header"/>
      <w:spacing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264" w:rsidRDefault="00322264" w:rsidP="002D4B8E">
    <w:pPr>
      <w:pStyle w:val="Header"/>
      <w:spacing w:line="240" w:lineRule="auto"/>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264" w:rsidRDefault="00322264" w:rsidP="002D4B8E">
    <w:pPr>
      <w:pStyle w:val="Header"/>
      <w:spacing w:line="240" w:lineRule="auto"/>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264" w:rsidRDefault="00322264" w:rsidP="002D4B8E">
    <w:pPr>
      <w:pStyle w:val="Header"/>
      <w:spacing w:line="240" w:lineRule="auto"/>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264" w:rsidRDefault="00322264" w:rsidP="002D4B8E">
    <w:pPr>
      <w:pStyle w:val="Header"/>
      <w:spacing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0B5397"/>
    <w:multiLevelType w:val="hybridMultilevel"/>
    <w:tmpl w:val="1930BA22"/>
    <w:lvl w:ilvl="0" w:tplc="A156F47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C467692"/>
    <w:multiLevelType w:val="hybridMultilevel"/>
    <w:tmpl w:val="4AB4333C"/>
    <w:lvl w:ilvl="0" w:tplc="01A21094">
      <w:start w:val="1"/>
      <w:numFmt w:val="decimal"/>
      <w:lvlText w:val="%1)"/>
      <w:lvlJc w:val="left"/>
      <w:pPr>
        <w:ind w:left="720" w:hanging="360"/>
      </w:pPr>
      <w:rPr>
        <w:rFonts w:ascii="Trebuchet MS" w:eastAsiaTheme="minorEastAsia" w:hAnsi="Trebuchet MS" w:cs="Trebuchet M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BD5CEA"/>
    <w:multiLevelType w:val="hybridMultilevel"/>
    <w:tmpl w:val="63867326"/>
    <w:lvl w:ilvl="0" w:tplc="8DA8ECF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trackRevisions/>
  <w:defaultTabStop w:val="720"/>
  <w:characterSpacingControl w:val="doNotCompress"/>
  <w:hdrShapeDefaults>
    <o:shapedefaults v:ext="edit" spidmax="4097"/>
  </w:hdrShapeDefault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F75"/>
    <w:rsid w:val="00053629"/>
    <w:rsid w:val="000903A6"/>
    <w:rsid w:val="00090A08"/>
    <w:rsid w:val="00092632"/>
    <w:rsid w:val="00092690"/>
    <w:rsid w:val="000A2FEC"/>
    <w:rsid w:val="000A6DC8"/>
    <w:rsid w:val="000A6EDB"/>
    <w:rsid w:val="000B592A"/>
    <w:rsid w:val="000D2E1D"/>
    <w:rsid w:val="000D3715"/>
    <w:rsid w:val="000D736D"/>
    <w:rsid w:val="00102A21"/>
    <w:rsid w:val="001055CA"/>
    <w:rsid w:val="0011102E"/>
    <w:rsid w:val="00151474"/>
    <w:rsid w:val="001D642A"/>
    <w:rsid w:val="001E7A1D"/>
    <w:rsid w:val="001F0A7D"/>
    <w:rsid w:val="001F6822"/>
    <w:rsid w:val="001F6D16"/>
    <w:rsid w:val="00215127"/>
    <w:rsid w:val="00215FAF"/>
    <w:rsid w:val="00216DE3"/>
    <w:rsid w:val="00225439"/>
    <w:rsid w:val="00227062"/>
    <w:rsid w:val="00242E8A"/>
    <w:rsid w:val="002A28EA"/>
    <w:rsid w:val="002B3E15"/>
    <w:rsid w:val="002C6D0D"/>
    <w:rsid w:val="002D4B8E"/>
    <w:rsid w:val="00301269"/>
    <w:rsid w:val="00303DB2"/>
    <w:rsid w:val="003117B0"/>
    <w:rsid w:val="00320CAB"/>
    <w:rsid w:val="00322264"/>
    <w:rsid w:val="00340D30"/>
    <w:rsid w:val="00350C03"/>
    <w:rsid w:val="00354908"/>
    <w:rsid w:val="0036118C"/>
    <w:rsid w:val="00362A96"/>
    <w:rsid w:val="00372D4A"/>
    <w:rsid w:val="003769D6"/>
    <w:rsid w:val="00390616"/>
    <w:rsid w:val="00396ECD"/>
    <w:rsid w:val="003A36DE"/>
    <w:rsid w:val="003B4F30"/>
    <w:rsid w:val="003B71F9"/>
    <w:rsid w:val="003D2865"/>
    <w:rsid w:val="003E1374"/>
    <w:rsid w:val="003E374F"/>
    <w:rsid w:val="003E7D68"/>
    <w:rsid w:val="003F10A8"/>
    <w:rsid w:val="00416EBD"/>
    <w:rsid w:val="00420775"/>
    <w:rsid w:val="00435A3E"/>
    <w:rsid w:val="00467AB0"/>
    <w:rsid w:val="00476259"/>
    <w:rsid w:val="00486198"/>
    <w:rsid w:val="004946BE"/>
    <w:rsid w:val="004A39AC"/>
    <w:rsid w:val="004A4A51"/>
    <w:rsid w:val="004A66CD"/>
    <w:rsid w:val="004C1CF4"/>
    <w:rsid w:val="004C4CE9"/>
    <w:rsid w:val="004F19C3"/>
    <w:rsid w:val="00520ED0"/>
    <w:rsid w:val="00526C96"/>
    <w:rsid w:val="005446DB"/>
    <w:rsid w:val="00567952"/>
    <w:rsid w:val="005730ED"/>
    <w:rsid w:val="00583F63"/>
    <w:rsid w:val="005A2A53"/>
    <w:rsid w:val="005B0FC1"/>
    <w:rsid w:val="005E6954"/>
    <w:rsid w:val="005F65F0"/>
    <w:rsid w:val="00606FC5"/>
    <w:rsid w:val="00610705"/>
    <w:rsid w:val="00617992"/>
    <w:rsid w:val="006365E1"/>
    <w:rsid w:val="006471ED"/>
    <w:rsid w:val="00652F75"/>
    <w:rsid w:val="00657475"/>
    <w:rsid w:val="006738A5"/>
    <w:rsid w:val="00677BC2"/>
    <w:rsid w:val="006D76E3"/>
    <w:rsid w:val="00700E16"/>
    <w:rsid w:val="00765E65"/>
    <w:rsid w:val="00771220"/>
    <w:rsid w:val="007A1F46"/>
    <w:rsid w:val="007B0C58"/>
    <w:rsid w:val="007B230F"/>
    <w:rsid w:val="007C3DC1"/>
    <w:rsid w:val="007D15E0"/>
    <w:rsid w:val="007D2811"/>
    <w:rsid w:val="007F67E1"/>
    <w:rsid w:val="008226DB"/>
    <w:rsid w:val="0082314C"/>
    <w:rsid w:val="00823491"/>
    <w:rsid w:val="008349A6"/>
    <w:rsid w:val="00835376"/>
    <w:rsid w:val="00865049"/>
    <w:rsid w:val="00883417"/>
    <w:rsid w:val="00894B6A"/>
    <w:rsid w:val="008C4F79"/>
    <w:rsid w:val="008C5CC3"/>
    <w:rsid w:val="008E4CDF"/>
    <w:rsid w:val="00921016"/>
    <w:rsid w:val="00925601"/>
    <w:rsid w:val="00936CE6"/>
    <w:rsid w:val="00943C9A"/>
    <w:rsid w:val="00951505"/>
    <w:rsid w:val="0097053E"/>
    <w:rsid w:val="009709BC"/>
    <w:rsid w:val="009842DF"/>
    <w:rsid w:val="00993338"/>
    <w:rsid w:val="009E3AFC"/>
    <w:rsid w:val="009F77AD"/>
    <w:rsid w:val="00A01D66"/>
    <w:rsid w:val="00A228A0"/>
    <w:rsid w:val="00A33132"/>
    <w:rsid w:val="00A3796B"/>
    <w:rsid w:val="00A465D4"/>
    <w:rsid w:val="00A54186"/>
    <w:rsid w:val="00A559F5"/>
    <w:rsid w:val="00A5651A"/>
    <w:rsid w:val="00A63525"/>
    <w:rsid w:val="00A74BD2"/>
    <w:rsid w:val="00AB0F12"/>
    <w:rsid w:val="00AB54BC"/>
    <w:rsid w:val="00AB6F36"/>
    <w:rsid w:val="00AE3C4E"/>
    <w:rsid w:val="00B1429D"/>
    <w:rsid w:val="00B31C5F"/>
    <w:rsid w:val="00B3223E"/>
    <w:rsid w:val="00B35EB9"/>
    <w:rsid w:val="00B44B40"/>
    <w:rsid w:val="00B46581"/>
    <w:rsid w:val="00B770F9"/>
    <w:rsid w:val="00BA14B5"/>
    <w:rsid w:val="00BA5D2F"/>
    <w:rsid w:val="00BB5137"/>
    <w:rsid w:val="00BD116E"/>
    <w:rsid w:val="00BE64A2"/>
    <w:rsid w:val="00BE792F"/>
    <w:rsid w:val="00BF4CAD"/>
    <w:rsid w:val="00C03D20"/>
    <w:rsid w:val="00C22CF2"/>
    <w:rsid w:val="00C37A02"/>
    <w:rsid w:val="00C851C9"/>
    <w:rsid w:val="00C861D5"/>
    <w:rsid w:val="00C8747B"/>
    <w:rsid w:val="00CA48C8"/>
    <w:rsid w:val="00CB0834"/>
    <w:rsid w:val="00CB6800"/>
    <w:rsid w:val="00CD2B9F"/>
    <w:rsid w:val="00CF1AC1"/>
    <w:rsid w:val="00CF2F4B"/>
    <w:rsid w:val="00D113E9"/>
    <w:rsid w:val="00D12714"/>
    <w:rsid w:val="00D30EE8"/>
    <w:rsid w:val="00D43D67"/>
    <w:rsid w:val="00D572B9"/>
    <w:rsid w:val="00D62FEF"/>
    <w:rsid w:val="00D6410A"/>
    <w:rsid w:val="00D722C9"/>
    <w:rsid w:val="00D87ECA"/>
    <w:rsid w:val="00DF25D4"/>
    <w:rsid w:val="00DF5CA2"/>
    <w:rsid w:val="00E04AE1"/>
    <w:rsid w:val="00E12EED"/>
    <w:rsid w:val="00E21817"/>
    <w:rsid w:val="00E60BF8"/>
    <w:rsid w:val="00E721A9"/>
    <w:rsid w:val="00E7705D"/>
    <w:rsid w:val="00E87736"/>
    <w:rsid w:val="00E96B5A"/>
    <w:rsid w:val="00E97FFE"/>
    <w:rsid w:val="00EA53C2"/>
    <w:rsid w:val="00EB451D"/>
    <w:rsid w:val="00EF03DA"/>
    <w:rsid w:val="00EF39D5"/>
    <w:rsid w:val="00F030D0"/>
    <w:rsid w:val="00F23D83"/>
    <w:rsid w:val="00F26417"/>
    <w:rsid w:val="00F31B93"/>
    <w:rsid w:val="00F45A24"/>
    <w:rsid w:val="00F7249C"/>
    <w:rsid w:val="00F77778"/>
    <w:rsid w:val="00F906A8"/>
    <w:rsid w:val="00F96F9C"/>
    <w:rsid w:val="00FB3265"/>
    <w:rsid w:val="00FC2867"/>
    <w:rsid w:val="00FD2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3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F75"/>
    <w:pPr>
      <w:widowControl w:val="0"/>
      <w:autoSpaceDE w:val="0"/>
      <w:autoSpaceDN w:val="0"/>
      <w:adjustRightInd w:val="0"/>
      <w:spacing w:after="0" w:line="480" w:lineRule="auto"/>
    </w:pPr>
    <w:rPr>
      <w:rFonts w:ascii="Arial" w:eastAsia="Times New Roman"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52F75"/>
    <w:pPr>
      <w:tabs>
        <w:tab w:val="center" w:pos="4320"/>
        <w:tab w:val="right" w:pos="8640"/>
      </w:tabs>
    </w:pPr>
  </w:style>
  <w:style w:type="character" w:customStyle="1" w:styleId="HeaderChar">
    <w:name w:val="Header Char"/>
    <w:basedOn w:val="DefaultParagraphFont"/>
    <w:link w:val="Header"/>
    <w:rsid w:val="00652F75"/>
    <w:rPr>
      <w:rFonts w:ascii="Arial" w:eastAsia="Times New Roman" w:hAnsi="Arial" w:cs="Arial"/>
      <w:sz w:val="22"/>
    </w:rPr>
  </w:style>
  <w:style w:type="paragraph" w:styleId="Footer">
    <w:name w:val="footer"/>
    <w:basedOn w:val="Normal"/>
    <w:link w:val="FooterChar"/>
    <w:uiPriority w:val="99"/>
    <w:rsid w:val="00652F75"/>
    <w:pPr>
      <w:tabs>
        <w:tab w:val="center" w:pos="4320"/>
        <w:tab w:val="right" w:pos="8640"/>
      </w:tabs>
    </w:pPr>
  </w:style>
  <w:style w:type="character" w:customStyle="1" w:styleId="FooterChar">
    <w:name w:val="Footer Char"/>
    <w:basedOn w:val="DefaultParagraphFont"/>
    <w:link w:val="Footer"/>
    <w:uiPriority w:val="99"/>
    <w:rsid w:val="00652F75"/>
    <w:rPr>
      <w:rFonts w:ascii="Arial" w:eastAsia="Times New Roman" w:hAnsi="Arial" w:cs="Arial"/>
      <w:sz w:val="22"/>
    </w:rPr>
  </w:style>
  <w:style w:type="paragraph" w:styleId="BodyText">
    <w:name w:val="Body Text"/>
    <w:basedOn w:val="Normal"/>
    <w:link w:val="BodyTextChar"/>
    <w:rsid w:val="00652F75"/>
    <w:pPr>
      <w:tabs>
        <w:tab w:val="left" w:pos="1440"/>
      </w:tabs>
      <w:autoSpaceDE/>
      <w:autoSpaceDN/>
      <w:adjustRightInd/>
      <w:spacing w:after="240" w:line="240" w:lineRule="auto"/>
      <w:ind w:firstLine="1440"/>
    </w:pPr>
    <w:rPr>
      <w:rFonts w:ascii="Century Schoolbook" w:hAnsi="Century Schoolbook" w:cs="Times New Roman"/>
      <w:sz w:val="24"/>
      <w:szCs w:val="24"/>
    </w:rPr>
  </w:style>
  <w:style w:type="character" w:customStyle="1" w:styleId="BodyTextChar">
    <w:name w:val="Body Text Char"/>
    <w:basedOn w:val="DefaultParagraphFont"/>
    <w:link w:val="BodyText"/>
    <w:rsid w:val="00652F75"/>
    <w:rPr>
      <w:rFonts w:ascii="Century Schoolbook" w:eastAsia="Times New Roman" w:hAnsi="Century Schoolbook" w:cs="Times New Roman"/>
      <w:sz w:val="24"/>
      <w:szCs w:val="24"/>
    </w:rPr>
  </w:style>
  <w:style w:type="character" w:styleId="Hyperlink">
    <w:name w:val="Hyperlink"/>
    <w:basedOn w:val="DefaultParagraphFont"/>
    <w:rsid w:val="00652F75"/>
    <w:rPr>
      <w:color w:val="0000FF"/>
      <w:u w:val="single"/>
    </w:rPr>
  </w:style>
  <w:style w:type="character" w:styleId="PageNumber">
    <w:name w:val="page number"/>
    <w:basedOn w:val="DefaultParagraphFont"/>
    <w:rsid w:val="00652F75"/>
  </w:style>
  <w:style w:type="paragraph" w:customStyle="1" w:styleId="Table">
    <w:name w:val="Table"/>
    <w:basedOn w:val="Normal"/>
    <w:rsid w:val="00652F75"/>
    <w:pPr>
      <w:widowControl/>
      <w:autoSpaceDE/>
      <w:autoSpaceDN/>
      <w:adjustRightInd/>
      <w:spacing w:before="120" w:after="120" w:line="240" w:lineRule="auto"/>
    </w:pPr>
    <w:rPr>
      <w:rFonts w:cs="Times New Roman"/>
      <w:sz w:val="20"/>
      <w:szCs w:val="20"/>
    </w:rPr>
  </w:style>
  <w:style w:type="paragraph" w:styleId="BalloonText">
    <w:name w:val="Balloon Text"/>
    <w:basedOn w:val="Normal"/>
    <w:link w:val="BalloonTextChar"/>
    <w:uiPriority w:val="99"/>
    <w:semiHidden/>
    <w:unhideWhenUsed/>
    <w:rsid w:val="00DF25D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5D4"/>
    <w:rPr>
      <w:rFonts w:ascii="Tahoma" w:eastAsia="Times New Roman" w:hAnsi="Tahoma" w:cs="Tahoma"/>
      <w:sz w:val="16"/>
      <w:szCs w:val="16"/>
    </w:rPr>
  </w:style>
  <w:style w:type="paragraph" w:customStyle="1" w:styleId="CM10">
    <w:name w:val="CM10"/>
    <w:basedOn w:val="Normal"/>
    <w:next w:val="Normal"/>
    <w:uiPriority w:val="99"/>
    <w:rsid w:val="00DF25D4"/>
    <w:pPr>
      <w:spacing w:line="383" w:lineRule="atLeast"/>
    </w:pPr>
    <w:rPr>
      <w:rFonts w:ascii="Trebuchet MS" w:eastAsiaTheme="minorEastAsia" w:hAnsi="Trebuchet MS" w:cstheme="minorBidi"/>
      <w:sz w:val="24"/>
      <w:szCs w:val="24"/>
    </w:rPr>
  </w:style>
  <w:style w:type="paragraph" w:customStyle="1" w:styleId="CM56">
    <w:name w:val="CM56"/>
    <w:basedOn w:val="Normal"/>
    <w:next w:val="Normal"/>
    <w:uiPriority w:val="99"/>
    <w:rsid w:val="00DF25D4"/>
    <w:pPr>
      <w:spacing w:line="240" w:lineRule="auto"/>
    </w:pPr>
    <w:rPr>
      <w:rFonts w:ascii="Trebuchet MS" w:eastAsiaTheme="minorEastAsia" w:hAnsi="Trebuchet MS" w:cstheme="minorBidi"/>
      <w:sz w:val="24"/>
      <w:szCs w:val="24"/>
    </w:rPr>
  </w:style>
  <w:style w:type="character" w:styleId="FollowedHyperlink">
    <w:name w:val="FollowedHyperlink"/>
    <w:basedOn w:val="DefaultParagraphFont"/>
    <w:uiPriority w:val="99"/>
    <w:semiHidden/>
    <w:unhideWhenUsed/>
    <w:rsid w:val="00DF25D4"/>
    <w:rPr>
      <w:color w:val="800080" w:themeColor="followedHyperlink"/>
      <w:u w:val="single"/>
    </w:rPr>
  </w:style>
  <w:style w:type="character" w:styleId="CommentReference">
    <w:name w:val="annotation reference"/>
    <w:basedOn w:val="DefaultParagraphFont"/>
    <w:uiPriority w:val="99"/>
    <w:semiHidden/>
    <w:unhideWhenUsed/>
    <w:rsid w:val="00DF25D4"/>
    <w:rPr>
      <w:sz w:val="16"/>
      <w:szCs w:val="16"/>
    </w:rPr>
  </w:style>
  <w:style w:type="paragraph" w:styleId="CommentText">
    <w:name w:val="annotation text"/>
    <w:basedOn w:val="Normal"/>
    <w:link w:val="CommentTextChar"/>
    <w:uiPriority w:val="99"/>
    <w:semiHidden/>
    <w:unhideWhenUsed/>
    <w:rsid w:val="00DF25D4"/>
    <w:pPr>
      <w:spacing w:line="240" w:lineRule="auto"/>
    </w:pPr>
    <w:rPr>
      <w:sz w:val="20"/>
      <w:szCs w:val="20"/>
    </w:rPr>
  </w:style>
  <w:style w:type="character" w:customStyle="1" w:styleId="CommentTextChar">
    <w:name w:val="Comment Text Char"/>
    <w:basedOn w:val="DefaultParagraphFont"/>
    <w:link w:val="CommentText"/>
    <w:uiPriority w:val="99"/>
    <w:semiHidden/>
    <w:rsid w:val="00DF25D4"/>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DF25D4"/>
    <w:rPr>
      <w:b/>
      <w:bCs/>
    </w:rPr>
  </w:style>
  <w:style w:type="character" w:customStyle="1" w:styleId="CommentSubjectChar">
    <w:name w:val="Comment Subject Char"/>
    <w:basedOn w:val="CommentTextChar"/>
    <w:link w:val="CommentSubject"/>
    <w:uiPriority w:val="99"/>
    <w:semiHidden/>
    <w:rsid w:val="00DF25D4"/>
    <w:rPr>
      <w:rFonts w:ascii="Arial" w:eastAsia="Times New Roman" w:hAnsi="Arial" w:cs="Arial"/>
      <w:b/>
      <w:bCs/>
      <w:sz w:val="20"/>
      <w:szCs w:val="20"/>
    </w:rPr>
  </w:style>
  <w:style w:type="paragraph" w:styleId="ListParagraph">
    <w:name w:val="List Paragraph"/>
    <w:basedOn w:val="Normal"/>
    <w:uiPriority w:val="34"/>
    <w:qFormat/>
    <w:rsid w:val="00DF25D4"/>
    <w:pPr>
      <w:ind w:left="720"/>
      <w:contextualSpacing/>
    </w:pPr>
  </w:style>
  <w:style w:type="paragraph" w:styleId="Revision">
    <w:name w:val="Revision"/>
    <w:hidden/>
    <w:uiPriority w:val="99"/>
    <w:semiHidden/>
    <w:rsid w:val="00DF25D4"/>
    <w:pPr>
      <w:spacing w:after="0" w:line="240" w:lineRule="auto"/>
    </w:pPr>
    <w:rPr>
      <w:rFonts w:ascii="Arial" w:eastAsia="Times New Roman"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3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F75"/>
    <w:pPr>
      <w:widowControl w:val="0"/>
      <w:autoSpaceDE w:val="0"/>
      <w:autoSpaceDN w:val="0"/>
      <w:adjustRightInd w:val="0"/>
      <w:spacing w:after="0" w:line="480" w:lineRule="auto"/>
    </w:pPr>
    <w:rPr>
      <w:rFonts w:ascii="Arial" w:eastAsia="Times New Roman"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52F75"/>
    <w:pPr>
      <w:tabs>
        <w:tab w:val="center" w:pos="4320"/>
        <w:tab w:val="right" w:pos="8640"/>
      </w:tabs>
    </w:pPr>
  </w:style>
  <w:style w:type="character" w:customStyle="1" w:styleId="HeaderChar">
    <w:name w:val="Header Char"/>
    <w:basedOn w:val="DefaultParagraphFont"/>
    <w:link w:val="Header"/>
    <w:rsid w:val="00652F75"/>
    <w:rPr>
      <w:rFonts w:ascii="Arial" w:eastAsia="Times New Roman" w:hAnsi="Arial" w:cs="Arial"/>
      <w:sz w:val="22"/>
    </w:rPr>
  </w:style>
  <w:style w:type="paragraph" w:styleId="Footer">
    <w:name w:val="footer"/>
    <w:basedOn w:val="Normal"/>
    <w:link w:val="FooterChar"/>
    <w:uiPriority w:val="99"/>
    <w:rsid w:val="00652F75"/>
    <w:pPr>
      <w:tabs>
        <w:tab w:val="center" w:pos="4320"/>
        <w:tab w:val="right" w:pos="8640"/>
      </w:tabs>
    </w:pPr>
  </w:style>
  <w:style w:type="character" w:customStyle="1" w:styleId="FooterChar">
    <w:name w:val="Footer Char"/>
    <w:basedOn w:val="DefaultParagraphFont"/>
    <w:link w:val="Footer"/>
    <w:uiPriority w:val="99"/>
    <w:rsid w:val="00652F75"/>
    <w:rPr>
      <w:rFonts w:ascii="Arial" w:eastAsia="Times New Roman" w:hAnsi="Arial" w:cs="Arial"/>
      <w:sz w:val="22"/>
    </w:rPr>
  </w:style>
  <w:style w:type="paragraph" w:styleId="BodyText">
    <w:name w:val="Body Text"/>
    <w:basedOn w:val="Normal"/>
    <w:link w:val="BodyTextChar"/>
    <w:rsid w:val="00652F75"/>
    <w:pPr>
      <w:tabs>
        <w:tab w:val="left" w:pos="1440"/>
      </w:tabs>
      <w:autoSpaceDE/>
      <w:autoSpaceDN/>
      <w:adjustRightInd/>
      <w:spacing w:after="240" w:line="240" w:lineRule="auto"/>
      <w:ind w:firstLine="1440"/>
    </w:pPr>
    <w:rPr>
      <w:rFonts w:ascii="Century Schoolbook" w:hAnsi="Century Schoolbook" w:cs="Times New Roman"/>
      <w:sz w:val="24"/>
      <w:szCs w:val="24"/>
    </w:rPr>
  </w:style>
  <w:style w:type="character" w:customStyle="1" w:styleId="BodyTextChar">
    <w:name w:val="Body Text Char"/>
    <w:basedOn w:val="DefaultParagraphFont"/>
    <w:link w:val="BodyText"/>
    <w:rsid w:val="00652F75"/>
    <w:rPr>
      <w:rFonts w:ascii="Century Schoolbook" w:eastAsia="Times New Roman" w:hAnsi="Century Schoolbook" w:cs="Times New Roman"/>
      <w:sz w:val="24"/>
      <w:szCs w:val="24"/>
    </w:rPr>
  </w:style>
  <w:style w:type="character" w:styleId="Hyperlink">
    <w:name w:val="Hyperlink"/>
    <w:basedOn w:val="DefaultParagraphFont"/>
    <w:rsid w:val="00652F75"/>
    <w:rPr>
      <w:color w:val="0000FF"/>
      <w:u w:val="single"/>
    </w:rPr>
  </w:style>
  <w:style w:type="character" w:styleId="PageNumber">
    <w:name w:val="page number"/>
    <w:basedOn w:val="DefaultParagraphFont"/>
    <w:rsid w:val="00652F75"/>
  </w:style>
  <w:style w:type="paragraph" w:customStyle="1" w:styleId="Table">
    <w:name w:val="Table"/>
    <w:basedOn w:val="Normal"/>
    <w:rsid w:val="00652F75"/>
    <w:pPr>
      <w:widowControl/>
      <w:autoSpaceDE/>
      <w:autoSpaceDN/>
      <w:adjustRightInd/>
      <w:spacing w:before="120" w:after="120" w:line="240" w:lineRule="auto"/>
    </w:pPr>
    <w:rPr>
      <w:rFonts w:cs="Times New Roman"/>
      <w:sz w:val="20"/>
      <w:szCs w:val="20"/>
    </w:rPr>
  </w:style>
  <w:style w:type="paragraph" w:styleId="BalloonText">
    <w:name w:val="Balloon Text"/>
    <w:basedOn w:val="Normal"/>
    <w:link w:val="BalloonTextChar"/>
    <w:uiPriority w:val="99"/>
    <w:semiHidden/>
    <w:unhideWhenUsed/>
    <w:rsid w:val="00DF25D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5D4"/>
    <w:rPr>
      <w:rFonts w:ascii="Tahoma" w:eastAsia="Times New Roman" w:hAnsi="Tahoma" w:cs="Tahoma"/>
      <w:sz w:val="16"/>
      <w:szCs w:val="16"/>
    </w:rPr>
  </w:style>
  <w:style w:type="paragraph" w:customStyle="1" w:styleId="CM10">
    <w:name w:val="CM10"/>
    <w:basedOn w:val="Normal"/>
    <w:next w:val="Normal"/>
    <w:uiPriority w:val="99"/>
    <w:rsid w:val="00DF25D4"/>
    <w:pPr>
      <w:spacing w:line="383" w:lineRule="atLeast"/>
    </w:pPr>
    <w:rPr>
      <w:rFonts w:ascii="Trebuchet MS" w:eastAsiaTheme="minorEastAsia" w:hAnsi="Trebuchet MS" w:cstheme="minorBidi"/>
      <w:sz w:val="24"/>
      <w:szCs w:val="24"/>
    </w:rPr>
  </w:style>
  <w:style w:type="paragraph" w:customStyle="1" w:styleId="CM56">
    <w:name w:val="CM56"/>
    <w:basedOn w:val="Normal"/>
    <w:next w:val="Normal"/>
    <w:uiPriority w:val="99"/>
    <w:rsid w:val="00DF25D4"/>
    <w:pPr>
      <w:spacing w:line="240" w:lineRule="auto"/>
    </w:pPr>
    <w:rPr>
      <w:rFonts w:ascii="Trebuchet MS" w:eastAsiaTheme="minorEastAsia" w:hAnsi="Trebuchet MS" w:cstheme="minorBidi"/>
      <w:sz w:val="24"/>
      <w:szCs w:val="24"/>
    </w:rPr>
  </w:style>
  <w:style w:type="character" w:styleId="FollowedHyperlink">
    <w:name w:val="FollowedHyperlink"/>
    <w:basedOn w:val="DefaultParagraphFont"/>
    <w:uiPriority w:val="99"/>
    <w:semiHidden/>
    <w:unhideWhenUsed/>
    <w:rsid w:val="00DF25D4"/>
    <w:rPr>
      <w:color w:val="800080" w:themeColor="followedHyperlink"/>
      <w:u w:val="single"/>
    </w:rPr>
  </w:style>
  <w:style w:type="character" w:styleId="CommentReference">
    <w:name w:val="annotation reference"/>
    <w:basedOn w:val="DefaultParagraphFont"/>
    <w:uiPriority w:val="99"/>
    <w:semiHidden/>
    <w:unhideWhenUsed/>
    <w:rsid w:val="00DF25D4"/>
    <w:rPr>
      <w:sz w:val="16"/>
      <w:szCs w:val="16"/>
    </w:rPr>
  </w:style>
  <w:style w:type="paragraph" w:styleId="CommentText">
    <w:name w:val="annotation text"/>
    <w:basedOn w:val="Normal"/>
    <w:link w:val="CommentTextChar"/>
    <w:uiPriority w:val="99"/>
    <w:semiHidden/>
    <w:unhideWhenUsed/>
    <w:rsid w:val="00DF25D4"/>
    <w:pPr>
      <w:spacing w:line="240" w:lineRule="auto"/>
    </w:pPr>
    <w:rPr>
      <w:sz w:val="20"/>
      <w:szCs w:val="20"/>
    </w:rPr>
  </w:style>
  <w:style w:type="character" w:customStyle="1" w:styleId="CommentTextChar">
    <w:name w:val="Comment Text Char"/>
    <w:basedOn w:val="DefaultParagraphFont"/>
    <w:link w:val="CommentText"/>
    <w:uiPriority w:val="99"/>
    <w:semiHidden/>
    <w:rsid w:val="00DF25D4"/>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DF25D4"/>
    <w:rPr>
      <w:b/>
      <w:bCs/>
    </w:rPr>
  </w:style>
  <w:style w:type="character" w:customStyle="1" w:styleId="CommentSubjectChar">
    <w:name w:val="Comment Subject Char"/>
    <w:basedOn w:val="CommentTextChar"/>
    <w:link w:val="CommentSubject"/>
    <w:uiPriority w:val="99"/>
    <w:semiHidden/>
    <w:rsid w:val="00DF25D4"/>
    <w:rPr>
      <w:rFonts w:ascii="Arial" w:eastAsia="Times New Roman" w:hAnsi="Arial" w:cs="Arial"/>
      <w:b/>
      <w:bCs/>
      <w:sz w:val="20"/>
      <w:szCs w:val="20"/>
    </w:rPr>
  </w:style>
  <w:style w:type="paragraph" w:styleId="ListParagraph">
    <w:name w:val="List Paragraph"/>
    <w:basedOn w:val="Normal"/>
    <w:uiPriority w:val="34"/>
    <w:qFormat/>
    <w:rsid w:val="00DF25D4"/>
    <w:pPr>
      <w:ind w:left="720"/>
      <w:contextualSpacing/>
    </w:pPr>
  </w:style>
  <w:style w:type="paragraph" w:styleId="Revision">
    <w:name w:val="Revision"/>
    <w:hidden/>
    <w:uiPriority w:val="99"/>
    <w:semiHidden/>
    <w:rsid w:val="00DF25D4"/>
    <w:pPr>
      <w:spacing w:after="0" w:line="240" w:lineRule="auto"/>
    </w:pPr>
    <w:rPr>
      <w:rFonts w:ascii="Arial" w:eastAsia="Times New Roman"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image" Target="media/image1.png"/><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header" Target="header5.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5.xml"/><Relationship Id="rId28" Type="http://schemas.openxmlformats.org/officeDocument/2006/relationships/header" Target="header9.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footer" Target="footer7.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ERC Filings and Pleadings" ma:contentTypeID="0x0101BCC200EB191D50A8912F478987EAFEE32BD4EE" ma:contentTypeVersion="1" ma:contentTypeDescription="REG-010" ma:contentTypeScope="" ma:versionID="987d75c4d1a18810c1670b01d73fa69e">
  <xsd:schema xmlns:xsd="http://www.w3.org/2001/XMLSchema" xmlns:p="http://schemas.microsoft.com/office/2006/metadata/properties" xmlns:ns2="http://schemas.microsoft.com/sharepoint/v3/fields" targetNamespace="http://schemas.microsoft.com/office/2006/metadata/properties" ma:root="true" ma:fieldsID="4a6b3e062f8150f67c690c7f1d6c0bed" ns2:_="">
    <xsd:import namespace="http://schemas.microsoft.com/sharepoint/v3/fields"/>
    <xsd:element name="properties">
      <xsd:complexType>
        <xsd:sequence>
          <xsd:element name="documentManagement">
            <xsd:complexType>
              <xsd:all>
                <xsd:element ref="ns2:Item_x0020_Security" minOccurs="0"/>
                <xsd:element ref="ns2:Viewers" minOccurs="0"/>
                <xsd:element ref="ns2:Contributors" minOccurs="0"/>
                <xsd:element ref="ns2:DocNumber" minOccurs="0"/>
                <xsd:element ref="ns2:Original_x0020_Author" minOccurs="0"/>
                <xsd:element ref="ns2:Keyword1" minOccurs="0"/>
                <xsd:element ref="ns2:Keyword2" minOccurs="0"/>
              </xsd:all>
            </xsd:complexType>
          </xsd:element>
        </xsd:sequence>
      </xsd:complex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Item_x0020_Security" ma:index="8" nillable="true" ma:displayName="Item Security" ma:internalName="Item_x0020_Security">
      <xsd:simpleType>
        <xsd:restriction base="dms:Boolean"/>
      </xsd:simpleType>
    </xsd:element>
    <xsd:element name="Viewers" ma:index="9" nillable="true" ma:displayName="Viewers" ma:internalName="View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ributors" ma:index="10" nillable="true" ma:displayName="Contributors" ma:internalName="Contributo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Number" ma:index="11" nillable="true" ma:displayName="DocNumber" ma:default="" ma:description="Original DocsOpen DocNumber" ma:internalName="DocNumber">
      <xsd:simpleType>
        <xsd:restriction base="dms:Text">
          <xsd:maxLength value="255"/>
        </xsd:restriction>
      </xsd:simpleType>
    </xsd:element>
    <xsd:element name="Original_x0020_Author" ma:index="12" nillable="true" ma:displayName="Original Author" ma:description="Original Author of the document" ma:internalName="Original_x0020_Author">
      <xsd:simpleType>
        <xsd:restriction base="dms:Text">
          <xsd:maxLength value="255"/>
        </xsd:restriction>
      </xsd:simpleType>
    </xsd:element>
    <xsd:element name="Keyword1" ma:index="13" nillable="true" ma:displayName="Keyword1" ma:internalName="Keyword1">
      <xsd:simpleType>
        <xsd:restriction base="dms:Text">
          <xsd:maxLength value="255"/>
        </xsd:restriction>
      </xsd:simpleType>
    </xsd:element>
    <xsd:element name="Keyword2" ma:index="14" nillable="true" ma:displayName="Keyword2" ma:internalName="Keyword2">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Keyword1 xmlns="http://schemas.microsoft.com/sharepoint/v3/fields">OATT</Keyword1>
    <Keyword2 xmlns="http://schemas.microsoft.com/sharepoint/v3/fields" xsi:nil="true"/>
    <Viewers xmlns="http://schemas.microsoft.com/sharepoint/v3/fields">
      <UserInfo>
        <DisplayName/>
        <AccountId xsi:nil="true"/>
        <AccountType/>
      </UserInfo>
    </Viewers>
    <Contributors xmlns="http://schemas.microsoft.com/sharepoint/v3/fields">
      <UserInfo>
        <DisplayName>OAK\i27435</DisplayName>
        <AccountId>27</AccountId>
        <AccountType/>
      </UserInfo>
    </Contributors>
    <Original_x0020_Author xmlns="http://schemas.microsoft.com/sharepoint/v3/fields">DANI BENNETT</Original_x0020_Author>
    <Item_x0020_Security xmlns="http://schemas.microsoft.com/sharepoint/v3/fields">false</Item_x0020_Security>
    <DocNumber xmlns="http://schemas.microsoft.com/sharepoint/v3/fields">RGFERC778</DocNumbe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0F0DB-7AF6-4CAB-B7E5-B0615E1E35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55DC9F9-F097-4766-8E26-9021F813ECF2}">
  <ds:schemaRefs>
    <ds:schemaRef ds:uri="http://schemas.microsoft.com/sharepoint/v3/contenttype/forms"/>
  </ds:schemaRefs>
</ds:datastoreItem>
</file>

<file path=customXml/itemProps3.xml><?xml version="1.0" encoding="utf-8"?>
<ds:datastoreItem xmlns:ds="http://schemas.openxmlformats.org/officeDocument/2006/customXml" ds:itemID="{80EA801D-4554-4E5A-BACC-C7FC47238EB8}">
  <ds:schemaRefs>
    <ds:schemaRef ds:uri="http://schemas.microsoft.com/office/2006/documentManagement/types"/>
    <ds:schemaRef ds:uri="http://purl.org/dc/terms/"/>
    <ds:schemaRef ds:uri="http://purl.org/dc/elements/1.1/"/>
    <ds:schemaRef ds:uri="http://schemas.microsoft.com/sharepoint/v3/fields"/>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A3CDC5C7-27F3-4016-9848-71DDD1A7D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2037</Words>
  <Characters>11615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FPC OATT Att C - Section 205 filing - FPC Clean (051910)</vt:lpstr>
    </vt:vector>
  </TitlesOfParts>
  <Company>Progress Energy</Company>
  <LinksUpToDate>false</LinksUpToDate>
  <CharactersWithSpaces>13625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FPC OATT Att C - Section 205 filing - FPC Clean (051910)</dc:title>
  <dc:creator>Paul G</dc:creator>
  <cp:lastModifiedBy>Graves, Paul G</cp:lastModifiedBy>
  <cp:revision>2</cp:revision>
  <cp:lastPrinted>2011-03-21T15:06:00Z</cp:lastPrinted>
  <dcterms:created xsi:type="dcterms:W3CDTF">2017-05-17T17:37:00Z</dcterms:created>
  <dcterms:modified xsi:type="dcterms:W3CDTF">2017-05-17T17:37:00Z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0x0101BCC200EB191D50A8912F478987EAFEE32BD4EE</vt:lpwstr>
  </property>
</Properties>
</file>