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2ECC5" w14:textId="77777777" w:rsidR="00243436" w:rsidRPr="007E2BA7" w:rsidRDefault="00243436" w:rsidP="00F578F9">
      <w:pPr>
        <w:rPr>
          <w:rFonts w:ascii="Arial" w:hAnsi="Arial" w:cs="Arial"/>
          <w:sz w:val="22"/>
          <w:szCs w:val="24"/>
        </w:rPr>
      </w:pPr>
    </w:p>
    <w:p w14:paraId="07E2ECC6" w14:textId="77777777" w:rsidR="00243436" w:rsidRPr="007E2BA7" w:rsidRDefault="00243436" w:rsidP="00F578F9">
      <w:pPr>
        <w:rPr>
          <w:rFonts w:ascii="Arial" w:hAnsi="Arial" w:cs="Arial"/>
          <w:sz w:val="22"/>
          <w:szCs w:val="24"/>
        </w:rPr>
      </w:pPr>
    </w:p>
    <w:p w14:paraId="07E2ECC7" w14:textId="77777777" w:rsidR="00243436" w:rsidRPr="007E2BA7" w:rsidRDefault="00243436" w:rsidP="00F578F9">
      <w:pPr>
        <w:rPr>
          <w:rFonts w:ascii="Arial" w:hAnsi="Arial" w:cs="Arial"/>
          <w:sz w:val="22"/>
          <w:szCs w:val="24"/>
        </w:rPr>
      </w:pPr>
    </w:p>
    <w:p w14:paraId="07E2ECC8" w14:textId="77777777" w:rsidR="00243436" w:rsidRPr="007E2BA7" w:rsidRDefault="00243436" w:rsidP="00F578F9">
      <w:pPr>
        <w:rPr>
          <w:rFonts w:ascii="Arial" w:hAnsi="Arial" w:cs="Arial"/>
          <w:sz w:val="22"/>
          <w:szCs w:val="24"/>
        </w:rPr>
      </w:pPr>
    </w:p>
    <w:p w14:paraId="07E2ECC9" w14:textId="77777777" w:rsidR="007E2BA7" w:rsidRPr="007E2BA7" w:rsidRDefault="007E2BA7" w:rsidP="00962AB4">
      <w:pPr>
        <w:jc w:val="center"/>
        <w:rPr>
          <w:rFonts w:ascii="Arial" w:hAnsi="Arial" w:cs="Arial"/>
          <w:sz w:val="22"/>
          <w:szCs w:val="24"/>
        </w:rPr>
      </w:pPr>
    </w:p>
    <w:p w14:paraId="07E2ECCA" w14:textId="77777777" w:rsidR="007E2BA7" w:rsidRPr="007E2BA7" w:rsidRDefault="007E2BA7" w:rsidP="00F578F9">
      <w:pPr>
        <w:rPr>
          <w:rFonts w:ascii="Arial" w:hAnsi="Arial" w:cs="Arial"/>
          <w:sz w:val="22"/>
          <w:szCs w:val="24"/>
        </w:rPr>
      </w:pPr>
    </w:p>
    <w:p w14:paraId="07E2ECCB" w14:textId="7BE7BCCC" w:rsidR="00962AB4" w:rsidRPr="00962AB4" w:rsidRDefault="00DD3CB6" w:rsidP="00E65898">
      <w:pPr>
        <w:rPr>
          <w:szCs w:val="24"/>
        </w:rPr>
      </w:pPr>
      <w:r>
        <w:rPr>
          <w:szCs w:val="24"/>
        </w:rPr>
        <w:t>May 1</w:t>
      </w:r>
      <w:r w:rsidR="0026561A">
        <w:rPr>
          <w:szCs w:val="24"/>
        </w:rPr>
        <w:t>5</w:t>
      </w:r>
      <w:r w:rsidR="00962AB4">
        <w:rPr>
          <w:szCs w:val="24"/>
        </w:rPr>
        <w:t>, 201</w:t>
      </w:r>
      <w:r w:rsidR="00B920E3">
        <w:rPr>
          <w:szCs w:val="24"/>
        </w:rPr>
        <w:t>8</w:t>
      </w:r>
    </w:p>
    <w:p w14:paraId="07E2ECCC" w14:textId="77777777" w:rsidR="00962AB4" w:rsidRDefault="00962AB4" w:rsidP="00E65898">
      <w:pPr>
        <w:rPr>
          <w:rFonts w:ascii="Arial" w:hAnsi="Arial" w:cs="Arial"/>
          <w:sz w:val="22"/>
          <w:szCs w:val="24"/>
        </w:rPr>
      </w:pPr>
    </w:p>
    <w:p w14:paraId="07E2ECCD" w14:textId="77777777" w:rsidR="00DD3CB6" w:rsidRPr="00DD3CB6" w:rsidRDefault="00DD3CB6" w:rsidP="00DD3CB6">
      <w:pPr>
        <w:rPr>
          <w:szCs w:val="24"/>
        </w:rPr>
      </w:pPr>
      <w:r w:rsidRPr="00DD3CB6">
        <w:rPr>
          <w:szCs w:val="24"/>
        </w:rPr>
        <w:t>Kimberly D. Bose</w:t>
      </w:r>
      <w:r w:rsidR="003E777D">
        <w:rPr>
          <w:szCs w:val="24"/>
        </w:rPr>
        <w:t xml:space="preserve">, </w:t>
      </w:r>
      <w:r w:rsidRPr="00DD3CB6">
        <w:rPr>
          <w:szCs w:val="24"/>
        </w:rPr>
        <w:t xml:space="preserve">Secretary </w:t>
      </w:r>
    </w:p>
    <w:p w14:paraId="07E2ECCE" w14:textId="77777777" w:rsidR="00DD3CB6" w:rsidRPr="00DD3CB6" w:rsidRDefault="00DD3CB6" w:rsidP="00DD3CB6">
      <w:pPr>
        <w:rPr>
          <w:szCs w:val="24"/>
        </w:rPr>
      </w:pPr>
      <w:r w:rsidRPr="00DD3CB6">
        <w:rPr>
          <w:szCs w:val="24"/>
        </w:rPr>
        <w:t>Federal Energy Regulatory Commission</w:t>
      </w:r>
    </w:p>
    <w:p w14:paraId="07E2ECCF" w14:textId="77777777" w:rsidR="00DD3CB6" w:rsidRPr="00DD3CB6" w:rsidRDefault="00DD3CB6" w:rsidP="00DD3CB6">
      <w:pPr>
        <w:rPr>
          <w:szCs w:val="24"/>
        </w:rPr>
      </w:pPr>
      <w:r w:rsidRPr="00DD3CB6">
        <w:rPr>
          <w:szCs w:val="24"/>
        </w:rPr>
        <w:t>888 First Street, N.E.</w:t>
      </w:r>
    </w:p>
    <w:p w14:paraId="07E2ECD0" w14:textId="77777777" w:rsidR="00DD3CB6" w:rsidRPr="00DD3CB6" w:rsidRDefault="00DD3CB6" w:rsidP="00DD3CB6">
      <w:pPr>
        <w:rPr>
          <w:szCs w:val="24"/>
        </w:rPr>
      </w:pPr>
      <w:r w:rsidRPr="00DD3CB6">
        <w:rPr>
          <w:szCs w:val="24"/>
        </w:rPr>
        <w:t>Washington, D.C. 20426</w:t>
      </w:r>
    </w:p>
    <w:p w14:paraId="07E2ECD1" w14:textId="77777777" w:rsidR="00DD3CB6" w:rsidRPr="00DD3CB6" w:rsidRDefault="00DD3CB6" w:rsidP="00DD3CB6">
      <w:pPr>
        <w:rPr>
          <w:szCs w:val="24"/>
        </w:rPr>
      </w:pPr>
    </w:p>
    <w:p w14:paraId="07E2ECD2" w14:textId="77777777" w:rsidR="00DD3CB6" w:rsidRPr="00DD3CB6" w:rsidRDefault="00DD3CB6" w:rsidP="00DD3CB6">
      <w:pPr>
        <w:rPr>
          <w:szCs w:val="24"/>
        </w:rPr>
      </w:pPr>
      <w:r w:rsidRPr="00DD3CB6">
        <w:rPr>
          <w:szCs w:val="24"/>
        </w:rPr>
        <w:t>Regarding:</w:t>
      </w:r>
      <w:r w:rsidRPr="00DD3CB6">
        <w:rPr>
          <w:szCs w:val="24"/>
        </w:rPr>
        <w:tab/>
      </w:r>
      <w:r>
        <w:rPr>
          <w:szCs w:val="24"/>
        </w:rPr>
        <w:t xml:space="preserve">Duke Energy Florida, </w:t>
      </w:r>
      <w:r w:rsidR="00505992">
        <w:rPr>
          <w:szCs w:val="24"/>
        </w:rPr>
        <w:t>LLC</w:t>
      </w:r>
      <w:r>
        <w:rPr>
          <w:szCs w:val="24"/>
        </w:rPr>
        <w:t xml:space="preserve">; </w:t>
      </w:r>
      <w:r w:rsidRPr="00DD3CB6">
        <w:rPr>
          <w:szCs w:val="24"/>
        </w:rPr>
        <w:t xml:space="preserve"> </w:t>
      </w:r>
    </w:p>
    <w:p w14:paraId="07E2ECD3" w14:textId="44F9675C" w:rsidR="00DD3CB6" w:rsidRDefault="00DD3CB6" w:rsidP="00DD3CB6">
      <w:pPr>
        <w:ind w:left="1440"/>
        <w:rPr>
          <w:szCs w:val="24"/>
        </w:rPr>
      </w:pPr>
      <w:r w:rsidRPr="00DD3CB6">
        <w:rPr>
          <w:szCs w:val="24"/>
        </w:rPr>
        <w:t xml:space="preserve">Informational Filing with the </w:t>
      </w:r>
      <w:r w:rsidR="00B920E3" w:rsidRPr="00DD3CB6">
        <w:rPr>
          <w:szCs w:val="24"/>
        </w:rPr>
        <w:t>201</w:t>
      </w:r>
      <w:r w:rsidR="00B920E3">
        <w:rPr>
          <w:szCs w:val="24"/>
        </w:rPr>
        <w:t>8</w:t>
      </w:r>
      <w:r w:rsidR="00B920E3" w:rsidRPr="00DD3CB6">
        <w:rPr>
          <w:szCs w:val="24"/>
        </w:rPr>
        <w:t xml:space="preserve"> </w:t>
      </w:r>
      <w:r w:rsidRPr="00DD3CB6">
        <w:rPr>
          <w:szCs w:val="24"/>
        </w:rPr>
        <w:t xml:space="preserve">Annual Update for the OATT Formula Transmission Rate; </w:t>
      </w:r>
    </w:p>
    <w:p w14:paraId="07E2ECD4" w14:textId="77777777" w:rsidR="00DD3CB6" w:rsidRPr="00DD3CB6" w:rsidRDefault="00DD3CB6" w:rsidP="00DD3CB6">
      <w:pPr>
        <w:ind w:left="1440"/>
        <w:rPr>
          <w:szCs w:val="24"/>
        </w:rPr>
      </w:pPr>
      <w:r w:rsidRPr="00DD3CB6">
        <w:rPr>
          <w:szCs w:val="24"/>
        </w:rPr>
        <w:t>Docket No. ER09-1166-000</w:t>
      </w:r>
    </w:p>
    <w:p w14:paraId="07E2ECD5" w14:textId="77777777" w:rsidR="00DD3CB6" w:rsidRPr="00DD3CB6" w:rsidRDefault="00DD3CB6" w:rsidP="00DD3CB6">
      <w:pPr>
        <w:ind w:firstLine="720"/>
        <w:rPr>
          <w:szCs w:val="24"/>
        </w:rPr>
      </w:pPr>
    </w:p>
    <w:p w14:paraId="07E2ECD6" w14:textId="77777777" w:rsidR="00DD3CB6" w:rsidRPr="00DD3CB6" w:rsidRDefault="00DD3CB6" w:rsidP="00DD3CB6">
      <w:pPr>
        <w:rPr>
          <w:szCs w:val="24"/>
        </w:rPr>
      </w:pPr>
      <w:r w:rsidRPr="00DD3CB6">
        <w:rPr>
          <w:szCs w:val="24"/>
        </w:rPr>
        <w:t>Dear Secretary Bose:</w:t>
      </w:r>
    </w:p>
    <w:p w14:paraId="07E2ECD7" w14:textId="77777777" w:rsidR="00DD3CB6" w:rsidRPr="00DD3CB6" w:rsidRDefault="00DD3CB6" w:rsidP="00DD3CB6">
      <w:pPr>
        <w:ind w:firstLine="720"/>
        <w:rPr>
          <w:szCs w:val="24"/>
        </w:rPr>
      </w:pPr>
    </w:p>
    <w:p w14:paraId="07E2ECD8" w14:textId="39E304BE" w:rsidR="00DD3CB6" w:rsidRPr="00DD3CB6" w:rsidRDefault="00DD3CB6" w:rsidP="00DD3CB6">
      <w:pPr>
        <w:ind w:firstLine="720"/>
        <w:rPr>
          <w:szCs w:val="24"/>
        </w:rPr>
      </w:pPr>
      <w:r>
        <w:rPr>
          <w:szCs w:val="24"/>
        </w:rPr>
        <w:t xml:space="preserve">Duke Energy Florida, </w:t>
      </w:r>
      <w:r w:rsidR="00505992">
        <w:rPr>
          <w:szCs w:val="24"/>
        </w:rPr>
        <w:t>LLC</w:t>
      </w:r>
      <w:r w:rsidRPr="00DD3CB6">
        <w:rPr>
          <w:szCs w:val="24"/>
        </w:rPr>
        <w:t xml:space="preserve"> (“</w:t>
      </w:r>
      <w:r>
        <w:rPr>
          <w:szCs w:val="24"/>
        </w:rPr>
        <w:t>D</w:t>
      </w:r>
      <w:r w:rsidRPr="00DD3CB6">
        <w:rPr>
          <w:szCs w:val="24"/>
        </w:rPr>
        <w:t>EF”)</w:t>
      </w:r>
      <w:r>
        <w:rPr>
          <w:rStyle w:val="FootnoteReference"/>
          <w:szCs w:val="24"/>
        </w:rPr>
        <w:footnoteReference w:id="1"/>
      </w:r>
      <w:r w:rsidRPr="00DD3CB6">
        <w:rPr>
          <w:szCs w:val="24"/>
        </w:rPr>
        <w:t xml:space="preserve"> hereby submits this informational filing with the Commission for </w:t>
      </w:r>
      <w:r>
        <w:rPr>
          <w:szCs w:val="24"/>
        </w:rPr>
        <w:t>D</w:t>
      </w:r>
      <w:r w:rsidRPr="00DD3CB6">
        <w:rPr>
          <w:szCs w:val="24"/>
        </w:rPr>
        <w:t xml:space="preserve">EF’s </w:t>
      </w:r>
      <w:r w:rsidR="00B920E3" w:rsidRPr="00DD3CB6">
        <w:rPr>
          <w:szCs w:val="24"/>
        </w:rPr>
        <w:t>201</w:t>
      </w:r>
      <w:r w:rsidR="00B920E3">
        <w:rPr>
          <w:szCs w:val="24"/>
        </w:rPr>
        <w:t>8</w:t>
      </w:r>
      <w:r w:rsidR="00B920E3" w:rsidRPr="00DD3CB6">
        <w:rPr>
          <w:szCs w:val="24"/>
        </w:rPr>
        <w:t xml:space="preserve"> </w:t>
      </w:r>
      <w:r w:rsidRPr="00DD3CB6">
        <w:rPr>
          <w:szCs w:val="24"/>
        </w:rPr>
        <w:t xml:space="preserve">Annual Update for its formula transmission rate under its Open Access Transmission tariff (“OATT”).  </w:t>
      </w:r>
    </w:p>
    <w:p w14:paraId="07E2ECD9" w14:textId="77777777" w:rsidR="00DD3CB6" w:rsidRPr="00DD3CB6" w:rsidRDefault="00DD3CB6" w:rsidP="00DD3CB6">
      <w:pPr>
        <w:ind w:firstLine="720"/>
        <w:rPr>
          <w:szCs w:val="24"/>
        </w:rPr>
      </w:pPr>
    </w:p>
    <w:p w14:paraId="07E2ECDA" w14:textId="77777777" w:rsidR="00DD3CB6" w:rsidRPr="00DD3CB6" w:rsidRDefault="00DD3CB6" w:rsidP="00DD3CB6">
      <w:pPr>
        <w:ind w:firstLine="720"/>
        <w:rPr>
          <w:szCs w:val="24"/>
        </w:rPr>
      </w:pPr>
      <w:r w:rsidRPr="00DD3CB6">
        <w:rPr>
          <w:szCs w:val="24"/>
        </w:rPr>
        <w:t xml:space="preserve">Consistent with </w:t>
      </w:r>
      <w:r>
        <w:rPr>
          <w:szCs w:val="24"/>
        </w:rPr>
        <w:t>D</w:t>
      </w:r>
      <w:r w:rsidRPr="00DD3CB6">
        <w:rPr>
          <w:szCs w:val="24"/>
        </w:rPr>
        <w:t>EF’s OATT Schedule 10</w:t>
      </w:r>
      <w:r w:rsidR="00AA72FA">
        <w:rPr>
          <w:szCs w:val="24"/>
        </w:rPr>
        <w:t>-A</w:t>
      </w:r>
      <w:r w:rsidRPr="00DD3CB6">
        <w:rPr>
          <w:szCs w:val="24"/>
        </w:rPr>
        <w:t xml:space="preserve">.1 Formula Rate Implementation Protocols accepted by this Commission, </w:t>
      </w:r>
      <w:r w:rsidRPr="00DD3CB6">
        <w:rPr>
          <w:b/>
          <w:szCs w:val="24"/>
          <w:u w:val="single"/>
        </w:rPr>
        <w:t xml:space="preserve">this informational filing should not be publicly noticed by the Commission in a notice of filing and the Commission does not need to accept or approve this informational filing. </w:t>
      </w:r>
      <w:r>
        <w:rPr>
          <w:rStyle w:val="FootnoteReference"/>
          <w:b/>
          <w:szCs w:val="24"/>
          <w:u w:val="single"/>
        </w:rPr>
        <w:footnoteReference w:id="2"/>
      </w:r>
      <w:r w:rsidRPr="00DD3CB6">
        <w:rPr>
          <w:szCs w:val="24"/>
        </w:rPr>
        <w:t xml:space="preserve">  This filing is submitted to the Commission strictly for informational purposes only.</w:t>
      </w:r>
    </w:p>
    <w:p w14:paraId="07E2ECDB" w14:textId="77777777" w:rsidR="00DD3CB6" w:rsidRPr="00DD3CB6" w:rsidRDefault="00DD3CB6" w:rsidP="00DD3CB6">
      <w:pPr>
        <w:ind w:firstLine="720"/>
        <w:rPr>
          <w:szCs w:val="24"/>
        </w:rPr>
      </w:pPr>
    </w:p>
    <w:p w14:paraId="07E2ECDC" w14:textId="43AF4482" w:rsidR="00DD3CB6" w:rsidRPr="00DD3CB6" w:rsidRDefault="00DD3CB6" w:rsidP="00DD3CB6">
      <w:pPr>
        <w:ind w:firstLine="720"/>
        <w:rPr>
          <w:szCs w:val="24"/>
        </w:rPr>
      </w:pPr>
      <w:r>
        <w:rPr>
          <w:szCs w:val="24"/>
        </w:rPr>
        <w:t>D</w:t>
      </w:r>
      <w:r w:rsidRPr="00DD3CB6">
        <w:rPr>
          <w:szCs w:val="24"/>
        </w:rPr>
        <w:t>EF commits to inform the Co</w:t>
      </w:r>
      <w:bookmarkStart w:id="0" w:name="_GoBack"/>
      <w:bookmarkEnd w:id="0"/>
      <w:r w:rsidRPr="00DD3CB6">
        <w:rPr>
          <w:szCs w:val="24"/>
        </w:rPr>
        <w:t xml:space="preserve">mmission when the </w:t>
      </w:r>
      <w:r w:rsidR="00B920E3" w:rsidRPr="00DD3CB6">
        <w:rPr>
          <w:szCs w:val="24"/>
        </w:rPr>
        <w:t>201</w:t>
      </w:r>
      <w:r w:rsidR="00B920E3">
        <w:rPr>
          <w:szCs w:val="24"/>
        </w:rPr>
        <w:t>8</w:t>
      </w:r>
      <w:r w:rsidR="00B920E3" w:rsidRPr="00DD3CB6">
        <w:rPr>
          <w:szCs w:val="24"/>
        </w:rPr>
        <w:t xml:space="preserve"> </w:t>
      </w:r>
      <w:r w:rsidRPr="00DD3CB6">
        <w:rPr>
          <w:szCs w:val="24"/>
        </w:rPr>
        <w:t>Annual Update procedures have concluded with its customers.</w:t>
      </w:r>
    </w:p>
    <w:p w14:paraId="07E2ECDD" w14:textId="77777777" w:rsidR="00DD3CB6" w:rsidRDefault="00DD3CB6" w:rsidP="00DD3CB6">
      <w:pPr>
        <w:ind w:firstLine="720"/>
        <w:rPr>
          <w:szCs w:val="24"/>
        </w:rPr>
      </w:pPr>
    </w:p>
    <w:p w14:paraId="07E2ECDE" w14:textId="77777777" w:rsidR="00DD3CB6" w:rsidRPr="00DD3CB6" w:rsidRDefault="00DD3CB6" w:rsidP="00DD3CB6">
      <w:pPr>
        <w:ind w:firstLine="720"/>
        <w:rPr>
          <w:b/>
          <w:szCs w:val="24"/>
        </w:rPr>
      </w:pPr>
      <w:r w:rsidRPr="00DD3CB6">
        <w:rPr>
          <w:b/>
          <w:szCs w:val="24"/>
        </w:rPr>
        <w:t>1.</w:t>
      </w:r>
      <w:r w:rsidRPr="00DD3CB6">
        <w:rPr>
          <w:b/>
          <w:szCs w:val="24"/>
        </w:rPr>
        <w:tab/>
        <w:t>BACKGROUND</w:t>
      </w:r>
    </w:p>
    <w:p w14:paraId="07E2ECDF" w14:textId="77777777" w:rsidR="00DD3CB6" w:rsidRDefault="00DD3CB6" w:rsidP="00DD3CB6">
      <w:pPr>
        <w:ind w:firstLine="720"/>
        <w:rPr>
          <w:szCs w:val="24"/>
        </w:rPr>
      </w:pPr>
    </w:p>
    <w:p w14:paraId="07E2ECE0" w14:textId="77777777" w:rsidR="00DD3CB6" w:rsidRDefault="00DD3CB6" w:rsidP="00DD3CB6">
      <w:pPr>
        <w:ind w:firstLine="720"/>
        <w:rPr>
          <w:szCs w:val="24"/>
        </w:rPr>
      </w:pPr>
      <w:r w:rsidRPr="00DD3CB6">
        <w:rPr>
          <w:szCs w:val="24"/>
        </w:rPr>
        <w:tab/>
      </w:r>
      <w:r>
        <w:rPr>
          <w:szCs w:val="24"/>
        </w:rPr>
        <w:t>D</w:t>
      </w:r>
      <w:r w:rsidRPr="00DD3CB6">
        <w:rPr>
          <w:szCs w:val="24"/>
        </w:rPr>
        <w:t xml:space="preserve">EF, a wholly-owned subsidiary of </w:t>
      </w:r>
      <w:r>
        <w:rPr>
          <w:szCs w:val="24"/>
        </w:rPr>
        <w:t>Duke Energy Corporation</w:t>
      </w:r>
      <w:r w:rsidRPr="00DD3CB6">
        <w:rPr>
          <w:szCs w:val="24"/>
        </w:rPr>
        <w:t xml:space="preserve">, is an investor-owned utility engaged in the generation, transmission, distribution and sale of electric power to retail and wholesale customers in the State of Florida.  DEF provides open access transmission </w:t>
      </w:r>
      <w:r w:rsidRPr="00DD3CB6">
        <w:rPr>
          <w:szCs w:val="24"/>
        </w:rPr>
        <w:lastRenderedPageBreak/>
        <w:t xml:space="preserve">services pursuant to a Joint OATT with Duke Energy Carolinas, LLC (“DEC”) and Duke Energy Progress, </w:t>
      </w:r>
      <w:r w:rsidR="00505992">
        <w:rPr>
          <w:szCs w:val="24"/>
        </w:rPr>
        <w:t>LLC</w:t>
      </w:r>
      <w:r w:rsidRPr="00DD3CB6">
        <w:rPr>
          <w:szCs w:val="24"/>
        </w:rPr>
        <w:t xml:space="preserve"> (“DEP”)</w:t>
      </w:r>
      <w:r>
        <w:rPr>
          <w:szCs w:val="24"/>
        </w:rPr>
        <w:t xml:space="preserve">. </w:t>
      </w:r>
      <w:r>
        <w:rPr>
          <w:rStyle w:val="FootnoteReference"/>
          <w:szCs w:val="24"/>
        </w:rPr>
        <w:footnoteReference w:id="3"/>
      </w:r>
    </w:p>
    <w:p w14:paraId="07E2ECE1" w14:textId="77777777" w:rsidR="00DD3CB6" w:rsidRPr="00DD3CB6" w:rsidRDefault="00DD3CB6" w:rsidP="00DD3CB6">
      <w:pPr>
        <w:ind w:firstLine="720"/>
        <w:rPr>
          <w:szCs w:val="24"/>
        </w:rPr>
      </w:pPr>
    </w:p>
    <w:p w14:paraId="07E2ECE2" w14:textId="77777777" w:rsidR="00DD3CB6" w:rsidRPr="00DD3CB6" w:rsidRDefault="00DD3CB6" w:rsidP="00DD3CB6">
      <w:pPr>
        <w:ind w:firstLine="720"/>
        <w:rPr>
          <w:szCs w:val="24"/>
        </w:rPr>
      </w:pPr>
      <w:r w:rsidRPr="00DD3CB6">
        <w:rPr>
          <w:szCs w:val="24"/>
        </w:rPr>
        <w:t xml:space="preserve">On October 29, 2007 in Docket No. ER08-105-000, </w:t>
      </w:r>
      <w:r>
        <w:rPr>
          <w:szCs w:val="24"/>
        </w:rPr>
        <w:t>D</w:t>
      </w:r>
      <w:r w:rsidRPr="00DD3CB6">
        <w:rPr>
          <w:szCs w:val="24"/>
        </w:rPr>
        <w:t xml:space="preserve">EF submitted to the Commission an OATT formula transmission rate filing and settlement agreement with certain </w:t>
      </w:r>
      <w:r>
        <w:rPr>
          <w:szCs w:val="24"/>
        </w:rPr>
        <w:t>D</w:t>
      </w:r>
      <w:r w:rsidRPr="00DD3CB6">
        <w:rPr>
          <w:szCs w:val="24"/>
        </w:rPr>
        <w:t xml:space="preserve">EF customers that provided for a comprehensive and complete resolution of all issues in </w:t>
      </w:r>
      <w:r>
        <w:rPr>
          <w:szCs w:val="24"/>
        </w:rPr>
        <w:t>D</w:t>
      </w:r>
      <w:r w:rsidRPr="00DD3CB6">
        <w:rPr>
          <w:szCs w:val="24"/>
        </w:rPr>
        <w:t>EF’s OATT formula transmission rate filing.  By letter order dated December 17, 2007, the Commission accepted the OATT formula transmission rate filing and settlement agreement for filing and granted the requested effective date of January 1, 2008.</w:t>
      </w:r>
    </w:p>
    <w:p w14:paraId="07E2ECE3" w14:textId="77777777" w:rsidR="00DD3CB6" w:rsidRPr="00DD3CB6" w:rsidRDefault="00DD3CB6" w:rsidP="00DD3CB6">
      <w:pPr>
        <w:ind w:firstLine="720"/>
        <w:rPr>
          <w:szCs w:val="24"/>
        </w:rPr>
      </w:pPr>
    </w:p>
    <w:p w14:paraId="07E2ECE4" w14:textId="77777777" w:rsidR="00DD3CB6" w:rsidRPr="00DD3CB6" w:rsidRDefault="00DD3CB6" w:rsidP="00DD3CB6">
      <w:pPr>
        <w:ind w:firstLine="720"/>
        <w:rPr>
          <w:szCs w:val="24"/>
        </w:rPr>
      </w:pPr>
      <w:r w:rsidRPr="00DD3CB6">
        <w:rPr>
          <w:szCs w:val="24"/>
        </w:rPr>
        <w:t>The settlement agreement included OATT Schedule 10.1</w:t>
      </w:r>
      <w:r w:rsidR="00AA72FA">
        <w:rPr>
          <w:szCs w:val="24"/>
        </w:rPr>
        <w:t xml:space="preserve"> (currently Schedule 10-A.1)</w:t>
      </w:r>
      <w:r w:rsidRPr="00DD3CB6">
        <w:rPr>
          <w:szCs w:val="24"/>
        </w:rPr>
        <w:t xml:space="preserve"> Formula Rate Implementation Protocol</w:t>
      </w:r>
      <w:r w:rsidR="00AA72FA">
        <w:rPr>
          <w:szCs w:val="24"/>
        </w:rPr>
        <w:t>s</w:t>
      </w:r>
      <w:r w:rsidRPr="00DD3CB6">
        <w:rPr>
          <w:szCs w:val="24"/>
        </w:rPr>
        <w:t xml:space="preserve"> (the “Protocols”) which describe the Annual Update procedures for </w:t>
      </w:r>
      <w:r>
        <w:rPr>
          <w:szCs w:val="24"/>
        </w:rPr>
        <w:t>D</w:t>
      </w:r>
      <w:r w:rsidRPr="00DD3CB6">
        <w:rPr>
          <w:szCs w:val="24"/>
        </w:rPr>
        <w:t xml:space="preserve">EF’s OATT formula transmission rate.  According to these Protocols, </w:t>
      </w:r>
      <w:r w:rsidR="00AA72FA">
        <w:rPr>
          <w:szCs w:val="24"/>
        </w:rPr>
        <w:t>by</w:t>
      </w:r>
      <w:r w:rsidRPr="00DD3CB6">
        <w:rPr>
          <w:szCs w:val="24"/>
        </w:rPr>
        <w:t xml:space="preserve"> May 15th of each year (or if May 15th is not a business day, on the next business day after May 15th), </w:t>
      </w:r>
      <w:r>
        <w:rPr>
          <w:szCs w:val="24"/>
        </w:rPr>
        <w:t>D</w:t>
      </w:r>
      <w:r w:rsidRPr="00DD3CB6">
        <w:rPr>
          <w:szCs w:val="24"/>
        </w:rPr>
        <w:t>EF will calculate updated OATT formula transmission rate</w:t>
      </w:r>
      <w:r w:rsidR="00AA72FA">
        <w:rPr>
          <w:szCs w:val="24"/>
        </w:rPr>
        <w:t>s</w:t>
      </w:r>
      <w:r w:rsidRPr="00DD3CB6">
        <w:rPr>
          <w:szCs w:val="24"/>
        </w:rPr>
        <w:t xml:space="preserve"> with the latest FERC Form No. 1 information, post the completed formula and updated rate on its OASIS, and file the information at the Commission as an informational filing (the “Annual Update”). </w:t>
      </w:r>
      <w:r>
        <w:rPr>
          <w:rStyle w:val="FootnoteReference"/>
          <w:szCs w:val="24"/>
        </w:rPr>
        <w:footnoteReference w:id="4"/>
      </w:r>
      <w:r w:rsidRPr="00DD3CB6">
        <w:rPr>
          <w:szCs w:val="24"/>
        </w:rPr>
        <w:t xml:space="preserve">  </w:t>
      </w:r>
    </w:p>
    <w:p w14:paraId="07E2ECE5" w14:textId="77777777" w:rsidR="00DD3CB6" w:rsidRPr="00DD3CB6" w:rsidRDefault="00DD3CB6" w:rsidP="00DD3CB6">
      <w:pPr>
        <w:ind w:firstLine="720"/>
        <w:rPr>
          <w:szCs w:val="24"/>
        </w:rPr>
      </w:pPr>
    </w:p>
    <w:p w14:paraId="07E2ECE6" w14:textId="77777777" w:rsidR="00DD3CB6" w:rsidRPr="00DD3CB6" w:rsidRDefault="00DD3CB6" w:rsidP="00DD3CB6">
      <w:pPr>
        <w:ind w:firstLine="720"/>
        <w:rPr>
          <w:szCs w:val="24"/>
        </w:rPr>
      </w:pPr>
      <w:r w:rsidRPr="00DD3CB6">
        <w:rPr>
          <w:szCs w:val="24"/>
        </w:rPr>
        <w:t xml:space="preserve">Consistent with </w:t>
      </w:r>
      <w:r>
        <w:rPr>
          <w:szCs w:val="24"/>
        </w:rPr>
        <w:t>D</w:t>
      </w:r>
      <w:r w:rsidRPr="00DD3CB6">
        <w:rPr>
          <w:szCs w:val="24"/>
        </w:rPr>
        <w:t xml:space="preserve">EF’s Protocols, </w:t>
      </w:r>
      <w:r>
        <w:rPr>
          <w:szCs w:val="24"/>
        </w:rPr>
        <w:t>D</w:t>
      </w:r>
      <w:r w:rsidRPr="00DD3CB6">
        <w:rPr>
          <w:szCs w:val="24"/>
        </w:rPr>
        <w:t xml:space="preserve">EF’s informational filings for the Annual Update of the </w:t>
      </w:r>
      <w:r>
        <w:rPr>
          <w:szCs w:val="24"/>
        </w:rPr>
        <w:t>D</w:t>
      </w:r>
      <w:r w:rsidRPr="00DD3CB6">
        <w:rPr>
          <w:szCs w:val="24"/>
        </w:rPr>
        <w:t>EF OATT formula rate should not be noticed for filing and will not require action or an order by the Commission.</w:t>
      </w:r>
      <w:r>
        <w:rPr>
          <w:rStyle w:val="FootnoteReference"/>
          <w:szCs w:val="24"/>
        </w:rPr>
        <w:footnoteReference w:id="5"/>
      </w:r>
      <w:r w:rsidRPr="00DD3CB6">
        <w:rPr>
          <w:szCs w:val="24"/>
        </w:rPr>
        <w:t xml:space="preserve">   In fact, Section 1(b)(ii) of the Protocols provides that if the Commission issues a notice of filing in response to the informational filing, the parties shall advise the Commission of the challenge process in the Protocols and seek an abeyance of the Commission proceeding to permit that challenge process to proceed.  The Commission also has publicly recognized that the parties to this process have decided that the Annual Update should not be publicly noticed for filing.</w:t>
      </w:r>
      <w:r>
        <w:rPr>
          <w:rStyle w:val="FootnoteReference"/>
          <w:szCs w:val="24"/>
        </w:rPr>
        <w:footnoteReference w:id="6"/>
      </w:r>
      <w:r w:rsidRPr="00DD3CB6">
        <w:rPr>
          <w:szCs w:val="24"/>
        </w:rPr>
        <w:t xml:space="preserve"> </w:t>
      </w:r>
    </w:p>
    <w:p w14:paraId="07E2ECE7" w14:textId="77777777" w:rsidR="00DD3CB6" w:rsidRPr="00DD3CB6" w:rsidRDefault="00DD3CB6" w:rsidP="00DD3CB6">
      <w:pPr>
        <w:ind w:firstLine="720"/>
        <w:rPr>
          <w:szCs w:val="24"/>
        </w:rPr>
      </w:pPr>
    </w:p>
    <w:p w14:paraId="07E2ECE8" w14:textId="77777777" w:rsidR="00DD3CB6" w:rsidRPr="00DD3CB6" w:rsidRDefault="00DD3CB6" w:rsidP="00DD3CB6">
      <w:pPr>
        <w:ind w:firstLine="720"/>
        <w:rPr>
          <w:szCs w:val="24"/>
        </w:rPr>
      </w:pPr>
      <w:r w:rsidRPr="00DD3CB6">
        <w:rPr>
          <w:szCs w:val="24"/>
        </w:rPr>
        <w:t xml:space="preserve">The Protocols include detailed procedures for customer review, data requests and dispute resolution concerning </w:t>
      </w:r>
      <w:r>
        <w:rPr>
          <w:szCs w:val="24"/>
        </w:rPr>
        <w:t>D</w:t>
      </w:r>
      <w:r w:rsidRPr="00DD3CB6">
        <w:rPr>
          <w:szCs w:val="24"/>
        </w:rPr>
        <w:t>EF’s Annual Updates.</w:t>
      </w:r>
    </w:p>
    <w:p w14:paraId="07E2ECE9" w14:textId="77777777" w:rsidR="00DD3CB6" w:rsidRDefault="00DD3CB6" w:rsidP="00DD3CB6">
      <w:pPr>
        <w:ind w:firstLine="720"/>
        <w:rPr>
          <w:szCs w:val="24"/>
        </w:rPr>
      </w:pPr>
    </w:p>
    <w:p w14:paraId="07E2ECEA" w14:textId="77777777" w:rsidR="00DD3CB6" w:rsidRPr="007C5A68" w:rsidRDefault="00DD3CB6" w:rsidP="00DD3CB6">
      <w:pPr>
        <w:ind w:firstLine="720"/>
        <w:rPr>
          <w:b/>
          <w:szCs w:val="24"/>
        </w:rPr>
      </w:pPr>
      <w:r w:rsidRPr="007C5A68">
        <w:rPr>
          <w:b/>
          <w:szCs w:val="24"/>
        </w:rPr>
        <w:t>2.</w:t>
      </w:r>
      <w:r w:rsidRPr="007C5A68">
        <w:rPr>
          <w:b/>
          <w:szCs w:val="24"/>
        </w:rPr>
        <w:tab/>
        <w:t xml:space="preserve">THE INSTANT INFORMATIONAL FILING </w:t>
      </w:r>
    </w:p>
    <w:p w14:paraId="07E2ECEB" w14:textId="77777777" w:rsidR="00DD3CB6" w:rsidRPr="00DD3CB6" w:rsidRDefault="00DD3CB6" w:rsidP="00DD3CB6">
      <w:pPr>
        <w:ind w:firstLine="720"/>
        <w:rPr>
          <w:szCs w:val="24"/>
        </w:rPr>
      </w:pPr>
    </w:p>
    <w:p w14:paraId="07E2ECEC" w14:textId="21E009D9" w:rsidR="007857F0" w:rsidRDefault="00DD3CB6" w:rsidP="00DD3CB6">
      <w:pPr>
        <w:ind w:firstLine="720"/>
        <w:rPr>
          <w:szCs w:val="24"/>
        </w:rPr>
      </w:pPr>
      <w:r w:rsidRPr="00DD3CB6">
        <w:rPr>
          <w:szCs w:val="24"/>
        </w:rPr>
        <w:t xml:space="preserve"> In this </w:t>
      </w:r>
      <w:r w:rsidR="00B920E3" w:rsidRPr="00DD3CB6">
        <w:rPr>
          <w:szCs w:val="24"/>
        </w:rPr>
        <w:t>201</w:t>
      </w:r>
      <w:r w:rsidR="00B920E3">
        <w:rPr>
          <w:szCs w:val="24"/>
        </w:rPr>
        <w:t xml:space="preserve">8 </w:t>
      </w:r>
      <w:r w:rsidRPr="00DD3CB6">
        <w:rPr>
          <w:szCs w:val="24"/>
        </w:rPr>
        <w:t xml:space="preserve">Annual Update, </w:t>
      </w:r>
      <w:r w:rsidR="003673A0">
        <w:rPr>
          <w:szCs w:val="24"/>
        </w:rPr>
        <w:t>D</w:t>
      </w:r>
      <w:r w:rsidRPr="00DD3CB6">
        <w:rPr>
          <w:szCs w:val="24"/>
        </w:rPr>
        <w:t xml:space="preserve">EF calculates the </w:t>
      </w:r>
      <w:r w:rsidR="003673A0">
        <w:rPr>
          <w:szCs w:val="24"/>
        </w:rPr>
        <w:t>D</w:t>
      </w:r>
      <w:r w:rsidRPr="00DD3CB6">
        <w:rPr>
          <w:szCs w:val="24"/>
        </w:rPr>
        <w:t xml:space="preserve">EF OATT formula rates </w:t>
      </w:r>
      <w:r w:rsidR="003673A0">
        <w:rPr>
          <w:szCs w:val="24"/>
        </w:rPr>
        <w:t>based on D</w:t>
      </w:r>
      <w:r w:rsidRPr="00DD3CB6">
        <w:rPr>
          <w:szCs w:val="24"/>
        </w:rPr>
        <w:t xml:space="preserve">EF’s latest FERC Form No. 1 data that reflect </w:t>
      </w:r>
      <w:r w:rsidR="00B920E3" w:rsidRPr="00DD3CB6">
        <w:rPr>
          <w:szCs w:val="24"/>
        </w:rPr>
        <w:t>201</w:t>
      </w:r>
      <w:r w:rsidR="00B920E3">
        <w:rPr>
          <w:szCs w:val="24"/>
        </w:rPr>
        <w:t>7</w:t>
      </w:r>
      <w:r w:rsidR="00B920E3" w:rsidRPr="00DD3CB6">
        <w:rPr>
          <w:szCs w:val="24"/>
        </w:rPr>
        <w:t xml:space="preserve"> </w:t>
      </w:r>
      <w:r w:rsidRPr="00DD3CB6">
        <w:rPr>
          <w:szCs w:val="24"/>
        </w:rPr>
        <w:t>actual costs.</w:t>
      </w:r>
      <w:r w:rsidR="00AA72FA">
        <w:rPr>
          <w:szCs w:val="24"/>
        </w:rPr>
        <w:t xml:space="preserve"> These rates </w:t>
      </w:r>
      <w:r w:rsidR="00F4266D">
        <w:rPr>
          <w:szCs w:val="24"/>
        </w:rPr>
        <w:t xml:space="preserve">establish amounts that will be billed to customers </w:t>
      </w:r>
      <w:r w:rsidR="00F4266D" w:rsidRPr="00DD3CB6">
        <w:rPr>
          <w:szCs w:val="24"/>
        </w:rPr>
        <w:t xml:space="preserve">for the period June 1, </w:t>
      </w:r>
      <w:r w:rsidR="00B920E3" w:rsidRPr="00DD3CB6">
        <w:rPr>
          <w:szCs w:val="24"/>
        </w:rPr>
        <w:t>201</w:t>
      </w:r>
      <w:r w:rsidR="00B920E3">
        <w:rPr>
          <w:szCs w:val="24"/>
        </w:rPr>
        <w:t>8</w:t>
      </w:r>
      <w:r w:rsidR="00B920E3" w:rsidRPr="00DD3CB6">
        <w:rPr>
          <w:szCs w:val="24"/>
        </w:rPr>
        <w:t xml:space="preserve"> </w:t>
      </w:r>
      <w:r w:rsidR="00F4266D" w:rsidRPr="00DD3CB6">
        <w:rPr>
          <w:szCs w:val="24"/>
        </w:rPr>
        <w:t xml:space="preserve">through May 31, </w:t>
      </w:r>
      <w:r w:rsidR="00B920E3" w:rsidRPr="00DD3CB6">
        <w:rPr>
          <w:szCs w:val="24"/>
        </w:rPr>
        <w:lastRenderedPageBreak/>
        <w:t>201</w:t>
      </w:r>
      <w:r w:rsidR="00B920E3">
        <w:rPr>
          <w:szCs w:val="24"/>
        </w:rPr>
        <w:t>9</w:t>
      </w:r>
      <w:r w:rsidR="00F4266D">
        <w:rPr>
          <w:szCs w:val="24"/>
        </w:rPr>
        <w:t>.</w:t>
      </w:r>
      <w:r w:rsidR="003673A0">
        <w:rPr>
          <w:rStyle w:val="FootnoteReference"/>
          <w:szCs w:val="24"/>
        </w:rPr>
        <w:footnoteReference w:id="7"/>
      </w:r>
      <w:r w:rsidRPr="00DD3CB6">
        <w:rPr>
          <w:szCs w:val="24"/>
        </w:rPr>
        <w:t xml:space="preserve"> </w:t>
      </w:r>
      <w:r w:rsidR="007857F0">
        <w:rPr>
          <w:szCs w:val="24"/>
        </w:rPr>
        <w:t xml:space="preserve">These rates also are the basis for a true up of amounts billed to customers during the calendar year </w:t>
      </w:r>
      <w:r w:rsidR="00B920E3">
        <w:rPr>
          <w:szCs w:val="24"/>
        </w:rPr>
        <w:t xml:space="preserve">2017 </w:t>
      </w:r>
      <w:r w:rsidR="007857F0">
        <w:rPr>
          <w:szCs w:val="24"/>
        </w:rPr>
        <w:t xml:space="preserve">as follows. </w:t>
      </w:r>
      <w:r w:rsidR="00F4266D">
        <w:rPr>
          <w:szCs w:val="24"/>
        </w:rPr>
        <w:t xml:space="preserve">The amounts that were billed to customers during the calendar year </w:t>
      </w:r>
      <w:r w:rsidR="00B920E3">
        <w:rPr>
          <w:szCs w:val="24"/>
        </w:rPr>
        <w:t xml:space="preserve">2017 </w:t>
      </w:r>
      <w:r w:rsidR="00F4266D">
        <w:rPr>
          <w:szCs w:val="24"/>
        </w:rPr>
        <w:t xml:space="preserve">will be compared to the rates calculated in this </w:t>
      </w:r>
      <w:r w:rsidR="00B920E3">
        <w:rPr>
          <w:szCs w:val="24"/>
        </w:rPr>
        <w:t xml:space="preserve">2018 </w:t>
      </w:r>
      <w:r w:rsidR="00F4266D">
        <w:rPr>
          <w:szCs w:val="24"/>
        </w:rPr>
        <w:t xml:space="preserve">Annual Update based on </w:t>
      </w:r>
      <w:r w:rsidR="00B920E3">
        <w:rPr>
          <w:szCs w:val="24"/>
        </w:rPr>
        <w:t xml:space="preserve">2017 </w:t>
      </w:r>
      <w:r w:rsidR="00F4266D">
        <w:rPr>
          <w:szCs w:val="24"/>
        </w:rPr>
        <w:t>actual costs; and the difference will be refunded to or charged to customers, as appropriate, with interest.</w:t>
      </w:r>
      <w:r w:rsidRPr="00DD3CB6">
        <w:rPr>
          <w:szCs w:val="24"/>
        </w:rPr>
        <w:t xml:space="preserve"> </w:t>
      </w:r>
      <w:r w:rsidR="003673A0">
        <w:rPr>
          <w:rStyle w:val="FootnoteReference"/>
          <w:szCs w:val="24"/>
        </w:rPr>
        <w:footnoteReference w:id="8"/>
      </w:r>
    </w:p>
    <w:p w14:paraId="07E2ECED" w14:textId="77777777" w:rsidR="007857F0" w:rsidRDefault="007857F0" w:rsidP="00DD3CB6">
      <w:pPr>
        <w:ind w:firstLine="720"/>
        <w:rPr>
          <w:szCs w:val="24"/>
        </w:rPr>
      </w:pPr>
    </w:p>
    <w:p w14:paraId="07E2ECEE" w14:textId="5300D8E7" w:rsidR="00DD3CB6" w:rsidRPr="00DD3CB6" w:rsidRDefault="007857F0" w:rsidP="00DD3CB6">
      <w:pPr>
        <w:ind w:firstLine="720"/>
        <w:rPr>
          <w:szCs w:val="24"/>
        </w:rPr>
      </w:pPr>
      <w:r w:rsidRPr="00DD3CB6">
        <w:rPr>
          <w:szCs w:val="24"/>
        </w:rPr>
        <w:t>Attach</w:t>
      </w:r>
      <w:r w:rsidR="004F0B7B">
        <w:rPr>
          <w:szCs w:val="24"/>
        </w:rPr>
        <w:t>ed to this</w:t>
      </w:r>
      <w:r w:rsidRPr="00DD3CB6">
        <w:rPr>
          <w:szCs w:val="24"/>
        </w:rPr>
        <w:t xml:space="preserve"> filing</w:t>
      </w:r>
      <w:r w:rsidR="004F0B7B">
        <w:rPr>
          <w:szCs w:val="24"/>
        </w:rPr>
        <w:t xml:space="preserve"> letter are the following: </w:t>
      </w:r>
      <w:r>
        <w:rPr>
          <w:szCs w:val="24"/>
        </w:rPr>
        <w:t>D</w:t>
      </w:r>
      <w:r w:rsidRPr="00DD3CB6">
        <w:rPr>
          <w:szCs w:val="24"/>
        </w:rPr>
        <w:t xml:space="preserve">EF’s OATT formula rate template populated with the latest </w:t>
      </w:r>
      <w:r>
        <w:rPr>
          <w:szCs w:val="24"/>
        </w:rPr>
        <w:t>D</w:t>
      </w:r>
      <w:r w:rsidRPr="00DD3CB6">
        <w:rPr>
          <w:szCs w:val="24"/>
        </w:rPr>
        <w:t xml:space="preserve">EF FERC Form No. 1 data that reflects </w:t>
      </w:r>
      <w:r w:rsidR="00B920E3" w:rsidRPr="00DD3CB6">
        <w:rPr>
          <w:szCs w:val="24"/>
        </w:rPr>
        <w:t>201</w:t>
      </w:r>
      <w:r w:rsidR="00B920E3">
        <w:rPr>
          <w:szCs w:val="24"/>
        </w:rPr>
        <w:t>7</w:t>
      </w:r>
      <w:r w:rsidR="00B920E3" w:rsidRPr="00DD3CB6">
        <w:rPr>
          <w:szCs w:val="24"/>
        </w:rPr>
        <w:t xml:space="preserve"> </w:t>
      </w:r>
      <w:r w:rsidRPr="00DD3CB6">
        <w:rPr>
          <w:szCs w:val="24"/>
        </w:rPr>
        <w:t>actual costs</w:t>
      </w:r>
      <w:r w:rsidR="004F0B7B">
        <w:rPr>
          <w:szCs w:val="24"/>
        </w:rPr>
        <w:t>, the actuarial valuation report supporting the derivation of Postretirement Benefits Other than Pensions (“PBOP”) expense, and a worksheet that shows the actual PBOP expense components and calculation derivation.</w:t>
      </w:r>
      <w:r w:rsidR="004F0B7B">
        <w:rPr>
          <w:rStyle w:val="FootnoteReference"/>
          <w:szCs w:val="24"/>
        </w:rPr>
        <w:footnoteReference w:id="9"/>
      </w:r>
      <w:r w:rsidR="004F0B7B">
        <w:rPr>
          <w:szCs w:val="24"/>
        </w:rPr>
        <w:t xml:space="preserve"> </w:t>
      </w:r>
      <w:r w:rsidR="00DD3CB6" w:rsidRPr="00DD3CB6">
        <w:rPr>
          <w:szCs w:val="24"/>
        </w:rPr>
        <w:t xml:space="preserve">  </w:t>
      </w:r>
    </w:p>
    <w:p w14:paraId="07E2ECEF" w14:textId="77777777" w:rsidR="00DD3CB6" w:rsidRPr="00DD3CB6" w:rsidRDefault="00DD3CB6" w:rsidP="00DD3CB6">
      <w:pPr>
        <w:ind w:firstLine="720"/>
        <w:rPr>
          <w:szCs w:val="24"/>
        </w:rPr>
      </w:pPr>
      <w:r w:rsidRPr="00DD3CB6">
        <w:rPr>
          <w:szCs w:val="24"/>
        </w:rPr>
        <w:t xml:space="preserve"> </w:t>
      </w:r>
    </w:p>
    <w:p w14:paraId="07E2ECF0" w14:textId="77777777" w:rsidR="00DD3CB6" w:rsidRPr="003673A0" w:rsidRDefault="00DD3CB6" w:rsidP="00DD3CB6">
      <w:pPr>
        <w:ind w:firstLine="720"/>
        <w:rPr>
          <w:b/>
          <w:szCs w:val="24"/>
        </w:rPr>
      </w:pPr>
      <w:r w:rsidRPr="003673A0">
        <w:rPr>
          <w:b/>
          <w:szCs w:val="24"/>
        </w:rPr>
        <w:t>3.</w:t>
      </w:r>
      <w:r w:rsidRPr="003673A0">
        <w:rPr>
          <w:b/>
          <w:szCs w:val="24"/>
        </w:rPr>
        <w:tab/>
        <w:t>LIST OF PERSONS ON WHOM THIS FILING IS BEING SERVED</w:t>
      </w:r>
    </w:p>
    <w:p w14:paraId="07E2ECF1" w14:textId="77777777" w:rsidR="00DD3CB6" w:rsidRPr="00DD3CB6" w:rsidRDefault="00DD3CB6" w:rsidP="00DD3CB6">
      <w:pPr>
        <w:ind w:firstLine="720"/>
        <w:rPr>
          <w:szCs w:val="24"/>
        </w:rPr>
      </w:pPr>
    </w:p>
    <w:p w14:paraId="07E2ECF2" w14:textId="3AD2B712" w:rsidR="00DD3CB6" w:rsidRDefault="003673A0" w:rsidP="00DD3CB6">
      <w:pPr>
        <w:ind w:firstLine="720"/>
        <w:rPr>
          <w:szCs w:val="24"/>
        </w:rPr>
      </w:pPr>
      <w:r w:rsidRPr="003673A0">
        <w:rPr>
          <w:szCs w:val="24"/>
        </w:rPr>
        <w:t xml:space="preserve">Pursuant to 18 C.F.R. § 385.2010(f)(i) of the Commission’s Regulations, a copy of this filing is being served by electronic means </w:t>
      </w:r>
      <w:r w:rsidR="00BE5AEF">
        <w:rPr>
          <w:szCs w:val="24"/>
        </w:rPr>
        <w:t>on</w:t>
      </w:r>
      <w:r w:rsidRPr="003673A0">
        <w:rPr>
          <w:szCs w:val="24"/>
        </w:rPr>
        <w:t xml:space="preserve"> the Florida Public Service Commission (“FPSC”), the North Carolina Utilities Commission (“NCUC”), the Public Service Commission of South Carolina (“SCPSC”), and DEF’s, DEP’s and DEC’s OATT transmission customers.</w:t>
      </w:r>
      <w:r>
        <w:rPr>
          <w:rStyle w:val="FootnoteReference"/>
          <w:szCs w:val="24"/>
        </w:rPr>
        <w:footnoteReference w:id="10"/>
      </w:r>
      <w:r w:rsidRPr="003673A0">
        <w:rPr>
          <w:szCs w:val="24"/>
        </w:rPr>
        <w:t xml:space="preserve"> Specifically, on the date of this filing, DEF will submit an e-mail that notifies the FPSC, the NCUC, the SCPSC, and DEF’s, DEP’s and DEC’s OATT transmission customers that its informational filing (in </w:t>
      </w:r>
      <w:r w:rsidR="00B920E3">
        <w:rPr>
          <w:szCs w:val="24"/>
        </w:rPr>
        <w:t>.</w:t>
      </w:r>
      <w:r w:rsidRPr="003673A0">
        <w:rPr>
          <w:szCs w:val="24"/>
        </w:rPr>
        <w:t xml:space="preserve">pdf format) and a fully functioning Excel file of the </w:t>
      </w:r>
      <w:r w:rsidR="00F447E6">
        <w:rPr>
          <w:szCs w:val="24"/>
        </w:rPr>
        <w:t>2018</w:t>
      </w:r>
      <w:r w:rsidR="00F447E6" w:rsidRPr="003673A0">
        <w:rPr>
          <w:szCs w:val="24"/>
        </w:rPr>
        <w:t xml:space="preserve"> </w:t>
      </w:r>
      <w:r w:rsidRPr="003673A0">
        <w:rPr>
          <w:szCs w:val="24"/>
        </w:rPr>
        <w:t>Annual Update for the DEF OATT formula transmission rate is available on DEF’s OASIS site at</w:t>
      </w:r>
      <w:r>
        <w:rPr>
          <w:szCs w:val="24"/>
        </w:rPr>
        <w:t xml:space="preserve"> </w:t>
      </w:r>
      <w:hyperlink r:id="rId12" w:history="1">
        <w:r w:rsidRPr="00CD4111">
          <w:rPr>
            <w:rStyle w:val="Hyperlink"/>
            <w:szCs w:val="24"/>
          </w:rPr>
          <w:t>http://www.oasis.oati.com/FPC/</w:t>
        </w:r>
      </w:hyperlink>
      <w:r w:rsidR="00DD3CB6" w:rsidRPr="00DD3CB6">
        <w:rPr>
          <w:szCs w:val="24"/>
        </w:rPr>
        <w:t>.</w:t>
      </w:r>
    </w:p>
    <w:p w14:paraId="07E2ECF3" w14:textId="77777777" w:rsidR="00DD3CB6" w:rsidRPr="00DD3CB6" w:rsidRDefault="00DD3CB6" w:rsidP="00DD3CB6">
      <w:pPr>
        <w:ind w:firstLine="720"/>
        <w:rPr>
          <w:szCs w:val="24"/>
        </w:rPr>
      </w:pPr>
    </w:p>
    <w:p w14:paraId="07E2ECF4" w14:textId="77777777" w:rsidR="00DD3CB6" w:rsidRPr="003673A0" w:rsidRDefault="00DD3CB6" w:rsidP="00DD3CB6">
      <w:pPr>
        <w:ind w:firstLine="720"/>
        <w:rPr>
          <w:b/>
          <w:szCs w:val="24"/>
        </w:rPr>
      </w:pPr>
      <w:r w:rsidRPr="003673A0">
        <w:rPr>
          <w:b/>
          <w:szCs w:val="24"/>
        </w:rPr>
        <w:t>4.</w:t>
      </w:r>
      <w:r w:rsidRPr="003673A0">
        <w:rPr>
          <w:b/>
          <w:szCs w:val="24"/>
        </w:rPr>
        <w:tab/>
        <w:t>MISCELLANEOUS</w:t>
      </w:r>
    </w:p>
    <w:p w14:paraId="07E2ECF5" w14:textId="77777777" w:rsidR="00DD3CB6" w:rsidRPr="00DD3CB6" w:rsidRDefault="00DD3CB6" w:rsidP="00DD3CB6">
      <w:pPr>
        <w:ind w:firstLine="720"/>
        <w:rPr>
          <w:szCs w:val="24"/>
        </w:rPr>
      </w:pPr>
    </w:p>
    <w:p w14:paraId="07E2ECF6" w14:textId="77777777" w:rsidR="00DD3CB6" w:rsidRDefault="00DD3CB6" w:rsidP="00DD3CB6">
      <w:pPr>
        <w:ind w:firstLine="720"/>
        <w:rPr>
          <w:szCs w:val="24"/>
        </w:rPr>
      </w:pPr>
      <w:r w:rsidRPr="00DD3CB6">
        <w:rPr>
          <w:szCs w:val="24"/>
        </w:rPr>
        <w:t>There are no costs included in this informational filing that have been alleged or adjudged in any administrative or judicial proceeding to be illegal, duplicative, or unnecessary costs, nor has any expense or cost been demonstrated to be the product of discriminatory employment practices.</w:t>
      </w:r>
    </w:p>
    <w:p w14:paraId="07E2ECF7" w14:textId="77777777" w:rsidR="00DD3CB6" w:rsidRPr="00DD3CB6" w:rsidRDefault="00DD3CB6" w:rsidP="00DD3CB6">
      <w:pPr>
        <w:ind w:firstLine="720"/>
        <w:rPr>
          <w:szCs w:val="24"/>
        </w:rPr>
      </w:pPr>
    </w:p>
    <w:p w14:paraId="07E2ECF8" w14:textId="77777777" w:rsidR="004B4591" w:rsidRDefault="004B4591">
      <w:pPr>
        <w:rPr>
          <w:szCs w:val="24"/>
        </w:rPr>
      </w:pPr>
      <w:r>
        <w:rPr>
          <w:szCs w:val="24"/>
        </w:rPr>
        <w:br w:type="page"/>
      </w:r>
    </w:p>
    <w:p w14:paraId="07E2ECF9" w14:textId="77777777" w:rsidR="00DD3CB6" w:rsidRPr="003673A0" w:rsidRDefault="00DD3CB6" w:rsidP="00DD3CB6">
      <w:pPr>
        <w:ind w:firstLine="720"/>
        <w:rPr>
          <w:b/>
          <w:szCs w:val="24"/>
        </w:rPr>
      </w:pPr>
      <w:r w:rsidRPr="00DD3CB6">
        <w:rPr>
          <w:szCs w:val="24"/>
        </w:rPr>
        <w:lastRenderedPageBreak/>
        <w:t xml:space="preserve"> </w:t>
      </w:r>
      <w:r w:rsidRPr="003673A0">
        <w:rPr>
          <w:b/>
          <w:szCs w:val="24"/>
        </w:rPr>
        <w:t>5.</w:t>
      </w:r>
      <w:r w:rsidRPr="003673A0">
        <w:rPr>
          <w:b/>
          <w:szCs w:val="24"/>
        </w:rPr>
        <w:tab/>
      </w:r>
      <w:r w:rsidR="003673A0">
        <w:rPr>
          <w:b/>
          <w:szCs w:val="24"/>
        </w:rPr>
        <w:t>COMMUNICATIONS</w:t>
      </w:r>
    </w:p>
    <w:p w14:paraId="07E2ECFA" w14:textId="77777777" w:rsidR="00DD3CB6" w:rsidRPr="00DD3CB6" w:rsidRDefault="00DD3CB6" w:rsidP="00DD3CB6">
      <w:pPr>
        <w:ind w:firstLine="720"/>
        <w:rPr>
          <w:szCs w:val="24"/>
        </w:rPr>
      </w:pPr>
    </w:p>
    <w:p w14:paraId="07E2ECFB" w14:textId="77777777" w:rsidR="00DD3CB6" w:rsidRPr="00DD3CB6" w:rsidRDefault="00DD3CB6" w:rsidP="00DD3CB6">
      <w:pPr>
        <w:ind w:firstLine="720"/>
        <w:rPr>
          <w:szCs w:val="24"/>
        </w:rPr>
      </w:pPr>
      <w:r w:rsidRPr="00DD3CB6">
        <w:rPr>
          <w:szCs w:val="24"/>
        </w:rPr>
        <w:t>The following persons should receive communications regarding this filing:</w:t>
      </w:r>
    </w:p>
    <w:p w14:paraId="07E2ECFC" w14:textId="77777777" w:rsidR="00DD3CB6" w:rsidRPr="00DD3CB6" w:rsidRDefault="00DD3CB6" w:rsidP="00DD3CB6">
      <w:pPr>
        <w:ind w:firstLine="720"/>
        <w:rPr>
          <w:szCs w:val="24"/>
        </w:rPr>
      </w:pPr>
    </w:p>
    <w:p w14:paraId="07E2ECFD" w14:textId="77777777" w:rsidR="00DD3CB6" w:rsidRPr="00DD3CB6" w:rsidRDefault="00DD3CB6" w:rsidP="00DD3CB6">
      <w:pPr>
        <w:ind w:firstLine="720"/>
        <w:rPr>
          <w:szCs w:val="24"/>
        </w:rPr>
      </w:pPr>
      <w:r w:rsidRPr="00DD3CB6">
        <w:rPr>
          <w:szCs w:val="24"/>
        </w:rPr>
        <w:t>Paul R. Kinny</w:t>
      </w:r>
    </w:p>
    <w:p w14:paraId="07E2ECFE" w14:textId="77777777" w:rsidR="00DD3CB6" w:rsidRPr="00DD3CB6" w:rsidRDefault="00DD3CB6" w:rsidP="00DD3CB6">
      <w:pPr>
        <w:ind w:firstLine="720"/>
        <w:rPr>
          <w:szCs w:val="24"/>
        </w:rPr>
      </w:pPr>
      <w:r w:rsidRPr="00DD3CB6">
        <w:rPr>
          <w:szCs w:val="24"/>
        </w:rPr>
        <w:t>Deputy General Counsel</w:t>
      </w:r>
    </w:p>
    <w:p w14:paraId="07E2ECFF" w14:textId="77777777" w:rsidR="00DD3CB6" w:rsidRPr="00DD3CB6" w:rsidRDefault="00DD3CB6" w:rsidP="00DD3CB6">
      <w:pPr>
        <w:ind w:firstLine="720"/>
        <w:rPr>
          <w:szCs w:val="24"/>
        </w:rPr>
      </w:pPr>
      <w:r w:rsidRPr="00DD3CB6">
        <w:rPr>
          <w:szCs w:val="24"/>
        </w:rPr>
        <w:t>Duke Energy Corporation</w:t>
      </w:r>
    </w:p>
    <w:p w14:paraId="07E2ED00" w14:textId="77777777" w:rsidR="00DD3CB6" w:rsidRPr="00DD3CB6" w:rsidRDefault="00DD3CB6" w:rsidP="00DD3CB6">
      <w:pPr>
        <w:ind w:firstLine="720"/>
        <w:rPr>
          <w:szCs w:val="24"/>
        </w:rPr>
      </w:pPr>
      <w:r w:rsidRPr="00DD3CB6">
        <w:rPr>
          <w:szCs w:val="24"/>
        </w:rPr>
        <w:t>550 S. Tyron Street, Mail Code DEC45A</w:t>
      </w:r>
    </w:p>
    <w:p w14:paraId="07E2ED01" w14:textId="77777777" w:rsidR="00DD3CB6" w:rsidRPr="00DD3CB6" w:rsidRDefault="00DD3CB6" w:rsidP="00DD3CB6">
      <w:pPr>
        <w:ind w:firstLine="720"/>
        <w:rPr>
          <w:szCs w:val="24"/>
        </w:rPr>
      </w:pPr>
      <w:r w:rsidRPr="00DD3CB6">
        <w:rPr>
          <w:szCs w:val="24"/>
        </w:rPr>
        <w:t>Charlotte, North Carolina 28202</w:t>
      </w:r>
    </w:p>
    <w:p w14:paraId="07E2ED02" w14:textId="77777777" w:rsidR="00DD3CB6" w:rsidRPr="00DD3CB6" w:rsidRDefault="00DD3CB6" w:rsidP="00DD3CB6">
      <w:pPr>
        <w:ind w:firstLine="720"/>
        <w:rPr>
          <w:szCs w:val="24"/>
        </w:rPr>
      </w:pPr>
      <w:r w:rsidRPr="00DD3CB6">
        <w:rPr>
          <w:szCs w:val="24"/>
        </w:rPr>
        <w:t>Telephone:  980-373-6609</w:t>
      </w:r>
    </w:p>
    <w:p w14:paraId="07E2ED03" w14:textId="77777777" w:rsidR="00DD3CB6" w:rsidRPr="00DD3CB6" w:rsidRDefault="00DD3CB6" w:rsidP="00DD3CB6">
      <w:pPr>
        <w:ind w:firstLine="720"/>
        <w:rPr>
          <w:szCs w:val="24"/>
        </w:rPr>
      </w:pPr>
      <w:r w:rsidRPr="00DD3CB6">
        <w:rPr>
          <w:szCs w:val="24"/>
        </w:rPr>
        <w:t>E-Mail:  Paul.Kinny@duke-energy.com</w:t>
      </w:r>
    </w:p>
    <w:p w14:paraId="07E2ED04" w14:textId="77777777" w:rsidR="00DD3CB6" w:rsidRPr="00DD3CB6" w:rsidRDefault="00DD3CB6" w:rsidP="00DD3CB6">
      <w:pPr>
        <w:ind w:firstLine="720"/>
        <w:rPr>
          <w:szCs w:val="24"/>
        </w:rPr>
      </w:pPr>
    </w:p>
    <w:p w14:paraId="07E2ED05" w14:textId="77777777" w:rsidR="00BF5FC8" w:rsidRDefault="00DD3CB6" w:rsidP="00DD3CB6">
      <w:pPr>
        <w:ind w:firstLine="720"/>
        <w:rPr>
          <w:szCs w:val="24"/>
        </w:rPr>
      </w:pPr>
      <w:r w:rsidRPr="00DD3CB6">
        <w:rPr>
          <w:szCs w:val="24"/>
        </w:rPr>
        <w:tab/>
      </w:r>
      <w:r w:rsidRPr="00DD3CB6">
        <w:rPr>
          <w:szCs w:val="24"/>
        </w:rPr>
        <w:tab/>
      </w:r>
    </w:p>
    <w:p w14:paraId="07E2ED06" w14:textId="77777777" w:rsidR="00962AB4" w:rsidRPr="00962AB4" w:rsidRDefault="003673A0" w:rsidP="00DD3CB6">
      <w:pPr>
        <w:ind w:firstLine="720"/>
        <w:rPr>
          <w:szCs w:val="24"/>
        </w:rPr>
      </w:pPr>
      <w:r>
        <w:rPr>
          <w:szCs w:val="24"/>
        </w:rPr>
        <w:t xml:space="preserve">Please direct any questions to the undersigned. </w:t>
      </w:r>
    </w:p>
    <w:p w14:paraId="07E2ED07" w14:textId="77777777" w:rsidR="00962AB4" w:rsidRPr="00962AB4" w:rsidRDefault="00962AB4" w:rsidP="00DD3CB6">
      <w:pPr>
        <w:ind w:firstLine="720"/>
        <w:rPr>
          <w:szCs w:val="24"/>
        </w:rPr>
      </w:pPr>
    </w:p>
    <w:p w14:paraId="07E2ED08" w14:textId="77777777" w:rsidR="00962AB4" w:rsidRPr="00962AB4" w:rsidRDefault="00962AB4" w:rsidP="00DD3CB6">
      <w:pPr>
        <w:ind w:left="4320" w:firstLine="720"/>
        <w:rPr>
          <w:szCs w:val="24"/>
        </w:rPr>
      </w:pPr>
      <w:r w:rsidRPr="00962AB4">
        <w:rPr>
          <w:szCs w:val="24"/>
        </w:rPr>
        <w:t>Very truly yours,</w:t>
      </w:r>
    </w:p>
    <w:p w14:paraId="07E2ED09" w14:textId="77777777" w:rsidR="00962AB4" w:rsidRPr="00962AB4" w:rsidRDefault="00962AB4" w:rsidP="00DD3CB6">
      <w:pPr>
        <w:ind w:firstLine="720"/>
        <w:rPr>
          <w:szCs w:val="24"/>
        </w:rPr>
      </w:pPr>
    </w:p>
    <w:p w14:paraId="203D2C96" w14:textId="77777777" w:rsidR="00E42577" w:rsidRDefault="00E42577" w:rsidP="00DD3CB6">
      <w:pPr>
        <w:ind w:left="4320" w:firstLine="720"/>
        <w:rPr>
          <w:i/>
          <w:szCs w:val="24"/>
          <w:u w:val="single"/>
        </w:rPr>
      </w:pPr>
    </w:p>
    <w:p w14:paraId="07E2ED0A" w14:textId="3F99BDAB" w:rsidR="00962AB4" w:rsidRPr="00E42577" w:rsidRDefault="00962AB4" w:rsidP="00DD3CB6">
      <w:pPr>
        <w:ind w:left="4320" w:firstLine="720"/>
        <w:rPr>
          <w:i/>
          <w:szCs w:val="24"/>
          <w:u w:val="single"/>
        </w:rPr>
      </w:pPr>
      <w:r w:rsidRPr="00E42577">
        <w:rPr>
          <w:i/>
          <w:szCs w:val="24"/>
          <w:u w:val="single"/>
        </w:rPr>
        <w:t>/s/</w:t>
      </w:r>
      <w:r w:rsidR="00B920E3" w:rsidRPr="00E42577">
        <w:rPr>
          <w:i/>
          <w:szCs w:val="24"/>
          <w:u w:val="single"/>
        </w:rPr>
        <w:t xml:space="preserve"> Paul R. Kinny</w:t>
      </w:r>
    </w:p>
    <w:p w14:paraId="07E2ED0C" w14:textId="010DA5BA" w:rsidR="00962AB4" w:rsidRPr="00962AB4" w:rsidRDefault="00C541AD" w:rsidP="00DD3CB6">
      <w:pPr>
        <w:ind w:left="4320" w:firstLine="720"/>
        <w:rPr>
          <w:szCs w:val="24"/>
        </w:rPr>
      </w:pPr>
      <w:r>
        <w:rPr>
          <w:szCs w:val="24"/>
        </w:rPr>
        <w:t>Paul R. Kinny</w:t>
      </w:r>
    </w:p>
    <w:p w14:paraId="07E2ED0D" w14:textId="77777777" w:rsidR="00962AB4" w:rsidRPr="00962AB4" w:rsidRDefault="00C541AD" w:rsidP="00DD3CB6">
      <w:pPr>
        <w:ind w:left="4320" w:firstLine="720"/>
        <w:rPr>
          <w:szCs w:val="24"/>
        </w:rPr>
      </w:pPr>
      <w:r>
        <w:rPr>
          <w:szCs w:val="24"/>
        </w:rPr>
        <w:t>Deputy</w:t>
      </w:r>
      <w:r w:rsidR="00962AB4" w:rsidRPr="00962AB4">
        <w:rPr>
          <w:szCs w:val="24"/>
        </w:rPr>
        <w:t xml:space="preserve"> General Counsel</w:t>
      </w:r>
    </w:p>
    <w:p w14:paraId="07E2ED0E" w14:textId="77777777" w:rsidR="00962AB4" w:rsidRPr="00962AB4" w:rsidRDefault="00962AB4" w:rsidP="00DD3CB6">
      <w:pPr>
        <w:ind w:firstLine="720"/>
        <w:rPr>
          <w:szCs w:val="24"/>
        </w:rPr>
      </w:pPr>
      <w:r>
        <w:rPr>
          <w:szCs w:val="24"/>
        </w:rPr>
        <w:tab/>
      </w:r>
      <w:r>
        <w:rPr>
          <w:szCs w:val="24"/>
        </w:rPr>
        <w:tab/>
      </w:r>
      <w:r>
        <w:rPr>
          <w:szCs w:val="24"/>
        </w:rPr>
        <w:tab/>
      </w:r>
      <w:r>
        <w:rPr>
          <w:szCs w:val="24"/>
        </w:rPr>
        <w:tab/>
      </w:r>
      <w:r>
        <w:rPr>
          <w:szCs w:val="24"/>
        </w:rPr>
        <w:tab/>
      </w:r>
      <w:r>
        <w:rPr>
          <w:szCs w:val="24"/>
        </w:rPr>
        <w:tab/>
      </w:r>
      <w:r w:rsidRPr="00962AB4">
        <w:rPr>
          <w:szCs w:val="24"/>
        </w:rPr>
        <w:t xml:space="preserve">Counsel for </w:t>
      </w:r>
      <w:r w:rsidR="00DD3CB6">
        <w:rPr>
          <w:szCs w:val="24"/>
        </w:rPr>
        <w:t xml:space="preserve">Duke Energy Florida, </w:t>
      </w:r>
      <w:r w:rsidR="00505992">
        <w:rPr>
          <w:szCs w:val="24"/>
        </w:rPr>
        <w:t>LLC</w:t>
      </w:r>
      <w:r w:rsidR="00DD3CB6">
        <w:rPr>
          <w:szCs w:val="24"/>
        </w:rPr>
        <w:t xml:space="preserve"> </w:t>
      </w:r>
    </w:p>
    <w:p w14:paraId="07E2ED0F" w14:textId="77777777" w:rsidR="00962AB4" w:rsidRPr="00962AB4" w:rsidRDefault="00962AB4" w:rsidP="00DD3CB6">
      <w:pPr>
        <w:ind w:firstLine="720"/>
        <w:rPr>
          <w:szCs w:val="24"/>
        </w:rPr>
      </w:pPr>
      <w:r w:rsidRPr="00962AB4">
        <w:rPr>
          <w:szCs w:val="24"/>
        </w:rPr>
        <w:t xml:space="preserve"> </w:t>
      </w:r>
    </w:p>
    <w:p w14:paraId="07E2ED10" w14:textId="77777777" w:rsidR="00962AB4" w:rsidRPr="00962AB4" w:rsidRDefault="00962AB4" w:rsidP="00DD3CB6">
      <w:pPr>
        <w:ind w:firstLine="720"/>
        <w:rPr>
          <w:szCs w:val="24"/>
        </w:rPr>
      </w:pPr>
      <w:r>
        <w:rPr>
          <w:szCs w:val="24"/>
        </w:rPr>
        <w:tab/>
      </w:r>
      <w:r>
        <w:rPr>
          <w:szCs w:val="24"/>
        </w:rPr>
        <w:tab/>
      </w:r>
      <w:r>
        <w:rPr>
          <w:szCs w:val="24"/>
        </w:rPr>
        <w:tab/>
      </w:r>
      <w:r>
        <w:rPr>
          <w:szCs w:val="24"/>
        </w:rPr>
        <w:tab/>
      </w:r>
    </w:p>
    <w:p w14:paraId="07E2ED11" w14:textId="77777777" w:rsidR="00962AB4" w:rsidRPr="00962AB4" w:rsidRDefault="00962AB4" w:rsidP="00DD3CB6">
      <w:pPr>
        <w:ind w:firstLine="720"/>
        <w:rPr>
          <w:szCs w:val="24"/>
        </w:rPr>
      </w:pPr>
    </w:p>
    <w:sectPr w:rsidR="00962AB4" w:rsidRPr="00962AB4" w:rsidSect="00793D25">
      <w:headerReference w:type="default" r:id="rId13"/>
      <w:headerReference w:type="first" r:id="rId14"/>
      <w:footerReference w:type="first" r:id="rId1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2ED14" w14:textId="77777777" w:rsidR="00673F03" w:rsidRDefault="00673F03">
      <w:r>
        <w:separator/>
      </w:r>
    </w:p>
  </w:endnote>
  <w:endnote w:type="continuationSeparator" w:id="0">
    <w:p w14:paraId="07E2ED15" w14:textId="77777777" w:rsidR="00673F03" w:rsidRDefault="0067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2ED1C" w14:textId="77777777" w:rsidR="00673F03" w:rsidRPr="00C25E43" w:rsidRDefault="00673F03" w:rsidP="00C25E43">
    <w:pPr>
      <w:pStyle w:val="Footer"/>
      <w:jc w:val="right"/>
      <w:rPr>
        <w:rFonts w:ascii="Arial" w:hAnsi="Arial" w:cs="Arial"/>
        <w:i/>
        <w:sz w:val="16"/>
      </w:rPr>
    </w:pPr>
    <w:r>
      <w:rPr>
        <w:rFonts w:ascii="Arial" w:hAnsi="Arial" w:cs="Arial"/>
        <w:i/>
        <w:sz w:val="16"/>
      </w:rPr>
      <w:t>www.duke-energy.com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2ED12" w14:textId="77777777" w:rsidR="00673F03" w:rsidRDefault="00673F03">
      <w:r>
        <w:separator/>
      </w:r>
    </w:p>
  </w:footnote>
  <w:footnote w:type="continuationSeparator" w:id="0">
    <w:p w14:paraId="07E2ED13" w14:textId="77777777" w:rsidR="00673F03" w:rsidRDefault="00673F03">
      <w:r>
        <w:continuationSeparator/>
      </w:r>
    </w:p>
  </w:footnote>
  <w:footnote w:id="1">
    <w:p w14:paraId="07E2ED21" w14:textId="77777777" w:rsidR="00DD3CB6" w:rsidRDefault="00DD3CB6">
      <w:pPr>
        <w:pStyle w:val="FootnoteText"/>
      </w:pPr>
      <w:r>
        <w:rPr>
          <w:rStyle w:val="FootnoteReference"/>
        </w:rPr>
        <w:footnoteRef/>
      </w:r>
      <w:r>
        <w:t xml:space="preserve"> </w:t>
      </w:r>
      <w:r>
        <w:tab/>
      </w:r>
      <w:r w:rsidRPr="00DD3CB6">
        <w:t>DEF filed a Notice of Succession in Docket No. ER13-1358-000 notifying the Commission that it would be succeeding to all of the tariffs, rate schedules and service agreements of Florida Power Corporation effective April 29, 2013.</w:t>
      </w:r>
    </w:p>
  </w:footnote>
  <w:footnote w:id="2">
    <w:p w14:paraId="07E2ED22" w14:textId="77777777" w:rsidR="00DD3CB6" w:rsidRDefault="00DD3CB6">
      <w:pPr>
        <w:pStyle w:val="FootnoteText"/>
      </w:pPr>
      <w:r>
        <w:rPr>
          <w:rStyle w:val="FootnoteReference"/>
        </w:rPr>
        <w:footnoteRef/>
      </w:r>
      <w:r>
        <w:t xml:space="preserve"> </w:t>
      </w:r>
      <w:r>
        <w:tab/>
      </w:r>
      <w:r w:rsidRPr="00DD3CB6">
        <w:t>See page 2 of this filing letter for a complete explanation as to why this informational filing should not be publicly noticed by the Commission in a notice of filing and the Commission does not need to accept or approve this informational filing.</w:t>
      </w:r>
    </w:p>
  </w:footnote>
  <w:footnote w:id="3">
    <w:p w14:paraId="07E2ED23" w14:textId="77777777" w:rsidR="00DD3CB6" w:rsidRDefault="00DD3CB6">
      <w:pPr>
        <w:pStyle w:val="FootnoteText"/>
      </w:pPr>
      <w:r>
        <w:rPr>
          <w:rStyle w:val="FootnoteReference"/>
        </w:rPr>
        <w:footnoteRef/>
      </w:r>
      <w:r>
        <w:t xml:space="preserve"> </w:t>
      </w:r>
      <w:r>
        <w:tab/>
      </w:r>
      <w:r w:rsidRPr="00DD3CB6">
        <w:t>As a result of the merger of Duke Energy Corporation and Progress Energy, Inc. (“Progress Energy”), DEC, DEP, and DEF have a Joint OATT. The Joint OATT was submitted for filing in Docket No. ER12-1343-000. DEC is the designated filer of the Joint OATT. In Docket Nos. ER12-1345-002 and ER12-1346-002, Progress Energy filed certificates of concurrence for DEP and DEF to the Joint OATT.</w:t>
      </w:r>
    </w:p>
  </w:footnote>
  <w:footnote w:id="4">
    <w:p w14:paraId="07E2ED24" w14:textId="77777777" w:rsidR="00DD3CB6" w:rsidRDefault="00DD3CB6">
      <w:pPr>
        <w:pStyle w:val="FootnoteText"/>
      </w:pPr>
      <w:r>
        <w:rPr>
          <w:rStyle w:val="FootnoteReference"/>
        </w:rPr>
        <w:footnoteRef/>
      </w:r>
      <w:r>
        <w:t xml:space="preserve"> </w:t>
      </w:r>
      <w:r>
        <w:tab/>
      </w:r>
      <w:r w:rsidRPr="00DD3CB6">
        <w:t>See Section 1(b) of the Protocols.</w:t>
      </w:r>
    </w:p>
  </w:footnote>
  <w:footnote w:id="5">
    <w:p w14:paraId="07E2ED25" w14:textId="77777777" w:rsidR="00DD3CB6" w:rsidRDefault="00DD3CB6">
      <w:pPr>
        <w:pStyle w:val="FootnoteText"/>
      </w:pPr>
      <w:r>
        <w:rPr>
          <w:rStyle w:val="FootnoteReference"/>
        </w:rPr>
        <w:footnoteRef/>
      </w:r>
      <w:r>
        <w:t xml:space="preserve"> </w:t>
      </w:r>
      <w:r>
        <w:tab/>
      </w:r>
      <w:r w:rsidRPr="00BB17E1">
        <w:rPr>
          <w:i/>
        </w:rPr>
        <w:t>Id.</w:t>
      </w:r>
    </w:p>
  </w:footnote>
  <w:footnote w:id="6">
    <w:p w14:paraId="07E2ED26" w14:textId="77777777" w:rsidR="00DD3CB6" w:rsidRDefault="00DD3CB6">
      <w:pPr>
        <w:pStyle w:val="FootnoteText"/>
      </w:pPr>
      <w:r>
        <w:rPr>
          <w:rStyle w:val="FootnoteReference"/>
        </w:rPr>
        <w:footnoteRef/>
      </w:r>
      <w:r>
        <w:t xml:space="preserve"> </w:t>
      </w:r>
      <w:r>
        <w:tab/>
      </w:r>
      <w:r w:rsidRPr="00DD3CB6">
        <w:t>See July 8, 2008 Letter Order in Florida Power Corporation, Docket No. ER08-959-000, at fn. 1 (“We note that this information filing was not published in the Federal Register, as the parties to the agreement decided that the annual update should not be noticed for filing. See Exhibit D, Section 1b (ii) of Schedule 10.1 of the Settlement Agreement.”).</w:t>
      </w:r>
    </w:p>
  </w:footnote>
  <w:footnote w:id="7">
    <w:p w14:paraId="07E2ED27" w14:textId="77777777" w:rsidR="003673A0" w:rsidRDefault="003673A0">
      <w:pPr>
        <w:pStyle w:val="FootnoteText"/>
      </w:pPr>
      <w:r>
        <w:rPr>
          <w:rStyle w:val="FootnoteReference"/>
        </w:rPr>
        <w:footnoteRef/>
      </w:r>
      <w:r>
        <w:t xml:space="preserve"> </w:t>
      </w:r>
      <w:r>
        <w:tab/>
      </w:r>
      <w:r w:rsidRPr="003673A0">
        <w:t>See Section 1(a)(ii) of the Protocols.</w:t>
      </w:r>
    </w:p>
  </w:footnote>
  <w:footnote w:id="8">
    <w:p w14:paraId="07E2ED28" w14:textId="77777777" w:rsidR="003673A0" w:rsidRDefault="003673A0">
      <w:pPr>
        <w:pStyle w:val="FootnoteText"/>
      </w:pPr>
      <w:r>
        <w:rPr>
          <w:rStyle w:val="FootnoteReference"/>
        </w:rPr>
        <w:footnoteRef/>
      </w:r>
      <w:r>
        <w:t xml:space="preserve"> </w:t>
      </w:r>
      <w:r>
        <w:tab/>
      </w:r>
      <w:r w:rsidRPr="003673A0">
        <w:t>See Section 1(a)(iii) of the Protocols.</w:t>
      </w:r>
    </w:p>
  </w:footnote>
  <w:footnote w:id="9">
    <w:p w14:paraId="07E2ED29" w14:textId="77777777" w:rsidR="004F0B7B" w:rsidRDefault="004F0B7B">
      <w:pPr>
        <w:pStyle w:val="FootnoteText"/>
      </w:pPr>
      <w:r>
        <w:rPr>
          <w:rStyle w:val="FootnoteReference"/>
        </w:rPr>
        <w:footnoteRef/>
      </w:r>
      <w:r>
        <w:t xml:space="preserve"> </w:t>
      </w:r>
      <w:r>
        <w:tab/>
      </w:r>
      <w:r>
        <w:rPr>
          <w:szCs w:val="24"/>
        </w:rPr>
        <w:t xml:space="preserve">The actuarial valuation report and worksheet have been included pursuant to a revision to the DEF OATT at </w:t>
      </w:r>
      <w:r w:rsidR="00A22AE8">
        <w:rPr>
          <w:szCs w:val="24"/>
        </w:rPr>
        <w:t>Exhibit DEF 2 page 6 of 6, Note S. See FERC Docket No. ER</w:t>
      </w:r>
      <w:r w:rsidR="00D01E35">
        <w:rPr>
          <w:szCs w:val="24"/>
        </w:rPr>
        <w:t>15-1712.</w:t>
      </w:r>
      <w:r w:rsidR="00A22AE8">
        <w:rPr>
          <w:szCs w:val="24"/>
        </w:rPr>
        <w:t xml:space="preserve"> </w:t>
      </w:r>
    </w:p>
  </w:footnote>
  <w:footnote w:id="10">
    <w:p w14:paraId="07E2ED2A" w14:textId="77777777" w:rsidR="003673A0" w:rsidRDefault="003673A0">
      <w:pPr>
        <w:pStyle w:val="FootnoteText"/>
      </w:pPr>
      <w:r>
        <w:rPr>
          <w:rStyle w:val="FootnoteReference"/>
        </w:rPr>
        <w:footnoteRef/>
      </w:r>
      <w:r>
        <w:t xml:space="preserve"> </w:t>
      </w:r>
      <w:r>
        <w:tab/>
      </w:r>
      <w:r w:rsidRPr="003673A0">
        <w:t>Although this informational filing concerns the DEF OATT rate, DEF maintains a joint OATT with its affiliates DEP and DEC, and therefore it is required to serve this informational filing on DEF’s OATT customers, DEC’s OATT customers, and DEP’s OATT customers.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2ED16" w14:textId="77777777" w:rsidR="00673F03" w:rsidRPr="00DD3CB6" w:rsidRDefault="00673F03" w:rsidP="00411BEF">
    <w:pPr>
      <w:rPr>
        <w:szCs w:val="24"/>
      </w:rPr>
    </w:pPr>
    <w:r w:rsidRPr="00DD3CB6">
      <w:rPr>
        <w:szCs w:val="24"/>
      </w:rPr>
      <w:t>Kimberly D. Bose</w:t>
    </w:r>
  </w:p>
  <w:p w14:paraId="07E2ED17" w14:textId="77777777" w:rsidR="00673F03" w:rsidRPr="00DD3CB6" w:rsidRDefault="00673F03">
    <w:pPr>
      <w:rPr>
        <w:szCs w:val="24"/>
      </w:rPr>
    </w:pPr>
    <w:r w:rsidRPr="00DD3CB6">
      <w:rPr>
        <w:szCs w:val="24"/>
      </w:rPr>
      <w:t xml:space="preserve">Page </w:t>
    </w:r>
    <w:r w:rsidRPr="00DD3CB6">
      <w:rPr>
        <w:szCs w:val="24"/>
      </w:rPr>
      <w:fldChar w:fldCharType="begin"/>
    </w:r>
    <w:r w:rsidRPr="00DD3CB6">
      <w:rPr>
        <w:szCs w:val="24"/>
      </w:rPr>
      <w:instrText xml:space="preserve"> PAGE </w:instrText>
    </w:r>
    <w:r w:rsidRPr="00DD3CB6">
      <w:rPr>
        <w:szCs w:val="24"/>
      </w:rPr>
      <w:fldChar w:fldCharType="separate"/>
    </w:r>
    <w:r w:rsidR="00D60C5A">
      <w:rPr>
        <w:noProof/>
        <w:szCs w:val="24"/>
      </w:rPr>
      <w:t>4</w:t>
    </w:r>
    <w:r w:rsidRPr="00DD3CB6">
      <w:rPr>
        <w:szCs w:val="24"/>
      </w:rPr>
      <w:fldChar w:fldCharType="end"/>
    </w:r>
    <w:r w:rsidRPr="00DD3CB6">
      <w:rPr>
        <w:szCs w:val="24"/>
      </w:rPr>
      <w:t xml:space="preserve"> of </w:t>
    </w:r>
    <w:r w:rsidRPr="00DD3CB6">
      <w:rPr>
        <w:szCs w:val="24"/>
      </w:rPr>
      <w:fldChar w:fldCharType="begin"/>
    </w:r>
    <w:r w:rsidRPr="00DD3CB6">
      <w:rPr>
        <w:szCs w:val="24"/>
      </w:rPr>
      <w:instrText xml:space="preserve"> NUMPAGES  </w:instrText>
    </w:r>
    <w:r w:rsidRPr="00DD3CB6">
      <w:rPr>
        <w:szCs w:val="24"/>
      </w:rPr>
      <w:fldChar w:fldCharType="separate"/>
    </w:r>
    <w:r w:rsidR="00D60C5A">
      <w:rPr>
        <w:noProof/>
        <w:szCs w:val="24"/>
      </w:rPr>
      <w:t>4</w:t>
    </w:r>
    <w:r w:rsidRPr="00DD3CB6">
      <w:rPr>
        <w:szCs w:val="24"/>
      </w:rPr>
      <w:fldChar w:fldCharType="end"/>
    </w:r>
  </w:p>
  <w:p w14:paraId="07E2ED18" w14:textId="77777777" w:rsidR="00673F03" w:rsidRPr="00DD3CB6" w:rsidRDefault="00673F03">
    <w:pPr>
      <w:pStyle w:val="Header"/>
      <w:rPr>
        <w:rFonts w:ascii="Times New Roman" w:hAnsi="Times New Roman"/>
      </w:rPr>
    </w:pPr>
    <w:r w:rsidRPr="00DD3CB6">
      <w:rPr>
        <w:rFonts w:ascii="Times New Roman" w:hAnsi="Times New Roman"/>
      </w:rPr>
      <w:t xml:space="preserve"> </w:t>
    </w:r>
  </w:p>
  <w:p w14:paraId="07E2ED19" w14:textId="77777777" w:rsidR="00673F03" w:rsidRDefault="00673F03">
    <w:pPr>
      <w:pStyle w:val="Header"/>
      <w:rPr>
        <w:rFonts w:ascii="Arial" w:hAnsi="Arial" w:cs="Arial"/>
      </w:rPr>
    </w:pPr>
  </w:p>
  <w:p w14:paraId="07E2ED1A" w14:textId="77777777" w:rsidR="002C14FD" w:rsidRDefault="002C14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2ED1B" w14:textId="77777777" w:rsidR="00673F03" w:rsidRDefault="000B1657">
    <w:pPr>
      <w:pStyle w:val="Header"/>
    </w:pPr>
    <w:r>
      <w:rPr>
        <w:rFonts w:ascii="Arial" w:hAnsi="Arial" w:cs="Arial"/>
        <w:noProof/>
        <w:sz w:val="22"/>
        <w:szCs w:val="22"/>
      </w:rPr>
      <w:drawing>
        <wp:anchor distT="0" distB="0" distL="114300" distR="114300" simplePos="0" relativeHeight="251662336" behindDoc="0" locked="0" layoutInCell="1" allowOverlap="1" wp14:anchorId="07E2ED1D" wp14:editId="07E2ED1E">
          <wp:simplePos x="0" y="0"/>
          <wp:positionH relativeFrom="column">
            <wp:posOffset>-152400</wp:posOffset>
          </wp:positionH>
          <wp:positionV relativeFrom="paragraph">
            <wp:posOffset>-83820</wp:posOffset>
          </wp:positionV>
          <wp:extent cx="1257300" cy="558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588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3C2D83">
      <w:rPr>
        <w:noProof/>
      </w:rPr>
      <mc:AlternateContent>
        <mc:Choice Requires="wps">
          <w:drawing>
            <wp:anchor distT="0" distB="0" distL="114300" distR="114300" simplePos="0" relativeHeight="251660288" behindDoc="1" locked="1" layoutInCell="1" allowOverlap="1" wp14:anchorId="07E2ED1F" wp14:editId="07E2ED20">
              <wp:simplePos x="0" y="0"/>
              <wp:positionH relativeFrom="page">
                <wp:posOffset>5541010</wp:posOffset>
              </wp:positionH>
              <wp:positionV relativeFrom="page">
                <wp:posOffset>401955</wp:posOffset>
              </wp:positionV>
              <wp:extent cx="1714500" cy="1864995"/>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6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2ED2B" w14:textId="77777777" w:rsidR="00673F03" w:rsidRDefault="00673F03" w:rsidP="00C700ED">
                          <w:pPr>
                            <w:spacing w:line="200" w:lineRule="exact"/>
                            <w:jc w:val="right"/>
                            <w:rPr>
                              <w:rFonts w:ascii="Arial" w:hAnsi="Arial"/>
                              <w:color w:val="044E75"/>
                              <w:sz w:val="16"/>
                              <w:szCs w:val="16"/>
                            </w:rPr>
                          </w:pPr>
                          <w:r>
                            <w:rPr>
                              <w:rFonts w:ascii="Arial" w:hAnsi="Arial"/>
                              <w:color w:val="044E75"/>
                              <w:sz w:val="16"/>
                              <w:szCs w:val="16"/>
                            </w:rPr>
                            <w:t>Paul R. Kinny</w:t>
                          </w:r>
                        </w:p>
                        <w:p w14:paraId="07E2ED2C" w14:textId="77777777" w:rsidR="00673F03" w:rsidRDefault="00673F03" w:rsidP="00C700ED">
                          <w:pPr>
                            <w:spacing w:line="200" w:lineRule="exact"/>
                            <w:jc w:val="right"/>
                            <w:rPr>
                              <w:rFonts w:ascii="Arial" w:hAnsi="Arial"/>
                              <w:color w:val="044E75"/>
                              <w:sz w:val="16"/>
                              <w:szCs w:val="16"/>
                            </w:rPr>
                          </w:pPr>
                          <w:r>
                            <w:rPr>
                              <w:rFonts w:ascii="Arial" w:hAnsi="Arial"/>
                              <w:color w:val="044E75"/>
                              <w:sz w:val="16"/>
                              <w:szCs w:val="16"/>
                            </w:rPr>
                            <w:t>Deputy General Counsel</w:t>
                          </w:r>
                        </w:p>
                        <w:p w14:paraId="07E2ED2D" w14:textId="77777777" w:rsidR="00673F03" w:rsidRDefault="00673F03" w:rsidP="00C700ED">
                          <w:pPr>
                            <w:spacing w:line="200" w:lineRule="exact"/>
                            <w:jc w:val="right"/>
                            <w:rPr>
                              <w:rFonts w:ascii="Arial" w:hAnsi="Arial"/>
                              <w:color w:val="044E75"/>
                              <w:sz w:val="16"/>
                              <w:szCs w:val="16"/>
                            </w:rPr>
                          </w:pPr>
                        </w:p>
                        <w:p w14:paraId="07E2ED2E" w14:textId="77777777" w:rsidR="00673F03" w:rsidRDefault="00673F03" w:rsidP="00C700ED">
                          <w:pPr>
                            <w:spacing w:line="200" w:lineRule="exact"/>
                            <w:jc w:val="right"/>
                            <w:rPr>
                              <w:rFonts w:ascii="Arial" w:hAnsi="Arial"/>
                              <w:color w:val="044E75"/>
                              <w:sz w:val="16"/>
                              <w:szCs w:val="16"/>
                            </w:rPr>
                          </w:pPr>
                          <w:r>
                            <w:rPr>
                              <w:rFonts w:ascii="Arial" w:hAnsi="Arial"/>
                              <w:color w:val="044E75"/>
                              <w:sz w:val="16"/>
                              <w:szCs w:val="16"/>
                            </w:rPr>
                            <w:t>Duke Energy Corporation</w:t>
                          </w:r>
                        </w:p>
                        <w:p w14:paraId="07E2ED2F" w14:textId="77777777" w:rsidR="00673F03" w:rsidRDefault="00673F03" w:rsidP="00C700ED">
                          <w:pPr>
                            <w:spacing w:line="200" w:lineRule="exact"/>
                            <w:jc w:val="right"/>
                            <w:rPr>
                              <w:rFonts w:ascii="Arial" w:hAnsi="Arial"/>
                              <w:color w:val="044E75"/>
                              <w:sz w:val="16"/>
                              <w:szCs w:val="16"/>
                            </w:rPr>
                          </w:pPr>
                          <w:r>
                            <w:rPr>
                              <w:rFonts w:ascii="Arial" w:hAnsi="Arial"/>
                              <w:color w:val="044E75"/>
                              <w:sz w:val="16"/>
                              <w:szCs w:val="16"/>
                            </w:rPr>
                            <w:t xml:space="preserve">550 South Tryon Street </w:t>
                          </w:r>
                        </w:p>
                        <w:p w14:paraId="07E2ED30" w14:textId="77777777" w:rsidR="00673F03" w:rsidRDefault="00673F03" w:rsidP="00C700ED">
                          <w:pPr>
                            <w:spacing w:line="200" w:lineRule="exact"/>
                            <w:jc w:val="right"/>
                            <w:rPr>
                              <w:rFonts w:ascii="Arial" w:hAnsi="Arial"/>
                              <w:color w:val="044E75"/>
                              <w:sz w:val="16"/>
                              <w:szCs w:val="16"/>
                            </w:rPr>
                          </w:pPr>
                          <w:r>
                            <w:rPr>
                              <w:rFonts w:ascii="Arial" w:hAnsi="Arial"/>
                              <w:color w:val="044E75"/>
                              <w:sz w:val="16"/>
                              <w:szCs w:val="16"/>
                            </w:rPr>
                            <w:t>Charlotte, NC  28202</w:t>
                          </w:r>
                        </w:p>
                        <w:p w14:paraId="07E2ED31" w14:textId="77777777" w:rsidR="00673F03" w:rsidRPr="00D70F2B" w:rsidRDefault="00673F03" w:rsidP="00C700ED">
                          <w:pPr>
                            <w:spacing w:before="100" w:line="200" w:lineRule="exact"/>
                            <w:jc w:val="right"/>
                            <w:rPr>
                              <w:rFonts w:ascii="Arial" w:hAnsi="Arial"/>
                              <w:color w:val="044E75"/>
                              <w:sz w:val="16"/>
                              <w:szCs w:val="16"/>
                            </w:rPr>
                          </w:pPr>
                          <w:r w:rsidRPr="00D70F2B">
                            <w:rPr>
                              <w:rFonts w:ascii="Arial" w:hAnsi="Arial"/>
                              <w:color w:val="044E75"/>
                              <w:sz w:val="16"/>
                              <w:szCs w:val="16"/>
                            </w:rPr>
                            <w:t>Mailing Address:</w:t>
                          </w:r>
                        </w:p>
                        <w:p w14:paraId="07E2ED32" w14:textId="77777777" w:rsidR="00673F03" w:rsidRPr="00D70F2B" w:rsidRDefault="00673F03" w:rsidP="00C700ED">
                          <w:pPr>
                            <w:spacing w:line="200" w:lineRule="exact"/>
                            <w:jc w:val="right"/>
                            <w:rPr>
                              <w:rFonts w:ascii="Arial" w:hAnsi="Arial"/>
                              <w:color w:val="044E75"/>
                              <w:sz w:val="16"/>
                              <w:szCs w:val="16"/>
                            </w:rPr>
                          </w:pPr>
                          <w:r>
                            <w:rPr>
                              <w:rFonts w:ascii="Arial" w:hAnsi="Arial"/>
                              <w:color w:val="044E75"/>
                              <w:sz w:val="16"/>
                              <w:szCs w:val="16"/>
                            </w:rPr>
                            <w:t>DEC45A</w:t>
                          </w:r>
                          <w:r w:rsidRPr="00D70F2B">
                            <w:rPr>
                              <w:rFonts w:ascii="Arial" w:hAnsi="Arial"/>
                              <w:color w:val="044E75"/>
                              <w:sz w:val="16"/>
                              <w:szCs w:val="16"/>
                            </w:rPr>
                            <w:t xml:space="preserve"> / P.O. Box</w:t>
                          </w:r>
                          <w:r>
                            <w:rPr>
                              <w:rFonts w:ascii="Arial" w:hAnsi="Arial"/>
                              <w:color w:val="044E75"/>
                              <w:sz w:val="16"/>
                              <w:szCs w:val="16"/>
                            </w:rPr>
                            <w:t xml:space="preserve"> 1321</w:t>
                          </w:r>
                          <w:r w:rsidRPr="00D70F2B">
                            <w:rPr>
                              <w:rFonts w:ascii="Arial" w:hAnsi="Arial"/>
                              <w:color w:val="044E75"/>
                              <w:sz w:val="16"/>
                              <w:szCs w:val="16"/>
                            </w:rPr>
                            <w:t xml:space="preserve"> </w:t>
                          </w:r>
                        </w:p>
                        <w:p w14:paraId="07E2ED33" w14:textId="77777777" w:rsidR="00673F03" w:rsidRDefault="00673F03" w:rsidP="00C700ED">
                          <w:pPr>
                            <w:spacing w:line="200" w:lineRule="exact"/>
                            <w:jc w:val="right"/>
                            <w:rPr>
                              <w:rFonts w:ascii="Arial" w:hAnsi="Arial"/>
                              <w:color w:val="044E75"/>
                              <w:sz w:val="16"/>
                              <w:szCs w:val="16"/>
                            </w:rPr>
                          </w:pPr>
                          <w:r>
                            <w:rPr>
                              <w:rFonts w:ascii="Arial" w:hAnsi="Arial"/>
                              <w:color w:val="044E75"/>
                              <w:sz w:val="16"/>
                              <w:szCs w:val="16"/>
                            </w:rPr>
                            <w:t>Charlotte, NC  28201</w:t>
                          </w:r>
                        </w:p>
                        <w:p w14:paraId="07E2ED34" w14:textId="77777777" w:rsidR="00673F03" w:rsidRDefault="00673F03" w:rsidP="00C700ED">
                          <w:pPr>
                            <w:spacing w:before="100" w:line="200" w:lineRule="exact"/>
                            <w:jc w:val="right"/>
                            <w:rPr>
                              <w:rFonts w:ascii="Arial" w:hAnsi="Arial"/>
                              <w:color w:val="044E75"/>
                              <w:sz w:val="16"/>
                              <w:szCs w:val="16"/>
                            </w:rPr>
                          </w:pPr>
                          <w:r w:rsidRPr="00D70F2B">
                            <w:rPr>
                              <w:rFonts w:ascii="Arial" w:hAnsi="Arial"/>
                              <w:color w:val="57AD3F"/>
                              <w:sz w:val="16"/>
                              <w:szCs w:val="16"/>
                            </w:rPr>
                            <w:t>o:</w:t>
                          </w:r>
                          <w:r>
                            <w:rPr>
                              <w:rFonts w:ascii="Arial" w:hAnsi="Arial"/>
                              <w:color w:val="044E75"/>
                              <w:sz w:val="16"/>
                              <w:szCs w:val="16"/>
                            </w:rPr>
                            <w:t xml:space="preserve"> 980-373-6609</w:t>
                          </w:r>
                          <w:r>
                            <w:rPr>
                              <w:rFonts w:ascii="Arial" w:hAnsi="Arial"/>
                              <w:color w:val="044E75"/>
                              <w:sz w:val="16"/>
                              <w:szCs w:val="16"/>
                            </w:rPr>
                            <w:br/>
                          </w:r>
                          <w:r w:rsidRPr="00D70F2B">
                            <w:rPr>
                              <w:rFonts w:ascii="Arial" w:hAnsi="Arial"/>
                              <w:color w:val="57AD3F"/>
                              <w:sz w:val="16"/>
                              <w:szCs w:val="16"/>
                            </w:rPr>
                            <w:t>f:</w:t>
                          </w:r>
                          <w:r>
                            <w:rPr>
                              <w:rFonts w:ascii="Arial" w:hAnsi="Arial"/>
                              <w:color w:val="044E75"/>
                              <w:sz w:val="16"/>
                              <w:szCs w:val="16"/>
                            </w:rPr>
                            <w:t xml:space="preserve"> 980.373.8534</w:t>
                          </w:r>
                        </w:p>
                        <w:p w14:paraId="07E2ED35" w14:textId="77777777" w:rsidR="00673F03" w:rsidRDefault="00673F03" w:rsidP="00C700ED">
                          <w:pPr>
                            <w:spacing w:before="60" w:line="200" w:lineRule="exact"/>
                            <w:jc w:val="right"/>
                            <w:rPr>
                              <w:rFonts w:ascii="Arial" w:hAnsi="Arial"/>
                              <w:color w:val="044E75"/>
                              <w:sz w:val="16"/>
                              <w:szCs w:val="16"/>
                            </w:rPr>
                          </w:pPr>
                          <w:r>
                            <w:rPr>
                              <w:rFonts w:ascii="Arial" w:hAnsi="Arial"/>
                              <w:color w:val="044E75"/>
                              <w:sz w:val="16"/>
                              <w:szCs w:val="16"/>
                            </w:rPr>
                            <w:t>Paul.Kinny@duke-energy.com</w:t>
                          </w:r>
                        </w:p>
                        <w:p w14:paraId="07E2ED36" w14:textId="77777777" w:rsidR="00673F03" w:rsidRDefault="00673F03" w:rsidP="00C700ED">
                          <w:pPr>
                            <w:spacing w:line="200" w:lineRule="exact"/>
                            <w:jc w:val="right"/>
                            <w:rPr>
                              <w:rFonts w:ascii="Arial" w:hAnsi="Arial"/>
                              <w:color w:val="044E75"/>
                              <w:sz w:val="16"/>
                              <w:szCs w:val="16"/>
                            </w:rPr>
                          </w:pPr>
                        </w:p>
                        <w:p w14:paraId="07E2ED37" w14:textId="77777777" w:rsidR="00673F03" w:rsidRDefault="00673F03" w:rsidP="00C700ED">
                          <w:pPr>
                            <w:spacing w:before="100" w:line="200" w:lineRule="exact"/>
                            <w:jc w:val="right"/>
                            <w:rPr>
                              <w:rFonts w:ascii="Arial" w:hAnsi="Arial"/>
                              <w:color w:val="044E75"/>
                              <w:sz w:val="16"/>
                              <w:szCs w:val="16"/>
                            </w:rPr>
                          </w:pPr>
                        </w:p>
                        <w:p w14:paraId="07E2ED38" w14:textId="77777777" w:rsidR="00673F03" w:rsidRPr="00D70F2B" w:rsidRDefault="00673F03" w:rsidP="00C700ED">
                          <w:pPr>
                            <w:spacing w:before="100" w:line="200" w:lineRule="exact"/>
                            <w:jc w:val="right"/>
                            <w:rPr>
                              <w:rFonts w:ascii="Arial" w:hAnsi="Arial"/>
                              <w:color w:val="044E75"/>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6.3pt;margin-top:31.65pt;width:135pt;height:14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YlrgIAAKo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" filled="f" stroked="f">
              <v:textbox inset="0,0,0,0">
                <w:txbxContent>
                  <w:p w14:paraId="07E2ED2B" w14:textId="77777777" w:rsidR="00673F03" w:rsidRDefault="00673F03" w:rsidP="00C700ED">
                    <w:pPr>
                      <w:spacing w:line="200" w:lineRule="exact"/>
                      <w:jc w:val="right"/>
                      <w:rPr>
                        <w:rFonts w:ascii="Arial" w:hAnsi="Arial"/>
                        <w:color w:val="044E75"/>
                        <w:sz w:val="16"/>
                        <w:szCs w:val="16"/>
                      </w:rPr>
                    </w:pPr>
                    <w:r>
                      <w:rPr>
                        <w:rFonts w:ascii="Arial" w:hAnsi="Arial"/>
                        <w:color w:val="044E75"/>
                        <w:sz w:val="16"/>
                        <w:szCs w:val="16"/>
                      </w:rPr>
                      <w:t>Paul R. Kinny</w:t>
                    </w:r>
                  </w:p>
                  <w:p w14:paraId="07E2ED2C" w14:textId="77777777" w:rsidR="00673F03" w:rsidRDefault="00673F03" w:rsidP="00C700ED">
                    <w:pPr>
                      <w:spacing w:line="200" w:lineRule="exact"/>
                      <w:jc w:val="right"/>
                      <w:rPr>
                        <w:rFonts w:ascii="Arial" w:hAnsi="Arial"/>
                        <w:color w:val="044E75"/>
                        <w:sz w:val="16"/>
                        <w:szCs w:val="16"/>
                      </w:rPr>
                    </w:pPr>
                    <w:r>
                      <w:rPr>
                        <w:rFonts w:ascii="Arial" w:hAnsi="Arial"/>
                        <w:color w:val="044E75"/>
                        <w:sz w:val="16"/>
                        <w:szCs w:val="16"/>
                      </w:rPr>
                      <w:t>Deputy General Counsel</w:t>
                    </w:r>
                  </w:p>
                  <w:p w14:paraId="07E2ED2D" w14:textId="77777777" w:rsidR="00673F03" w:rsidRDefault="00673F03" w:rsidP="00C700ED">
                    <w:pPr>
                      <w:spacing w:line="200" w:lineRule="exact"/>
                      <w:jc w:val="right"/>
                      <w:rPr>
                        <w:rFonts w:ascii="Arial" w:hAnsi="Arial"/>
                        <w:color w:val="044E75"/>
                        <w:sz w:val="16"/>
                        <w:szCs w:val="16"/>
                      </w:rPr>
                    </w:pPr>
                  </w:p>
                  <w:p w14:paraId="07E2ED2E" w14:textId="77777777" w:rsidR="00673F03" w:rsidRDefault="00673F03" w:rsidP="00C700ED">
                    <w:pPr>
                      <w:spacing w:line="200" w:lineRule="exact"/>
                      <w:jc w:val="right"/>
                      <w:rPr>
                        <w:rFonts w:ascii="Arial" w:hAnsi="Arial"/>
                        <w:color w:val="044E75"/>
                        <w:sz w:val="16"/>
                        <w:szCs w:val="16"/>
                      </w:rPr>
                    </w:pPr>
                    <w:r>
                      <w:rPr>
                        <w:rFonts w:ascii="Arial" w:hAnsi="Arial"/>
                        <w:color w:val="044E75"/>
                        <w:sz w:val="16"/>
                        <w:szCs w:val="16"/>
                      </w:rPr>
                      <w:t>Duke Energy Corporation</w:t>
                    </w:r>
                  </w:p>
                  <w:p w14:paraId="07E2ED2F" w14:textId="77777777" w:rsidR="00673F03" w:rsidRDefault="00673F03" w:rsidP="00C700ED">
                    <w:pPr>
                      <w:spacing w:line="200" w:lineRule="exact"/>
                      <w:jc w:val="right"/>
                      <w:rPr>
                        <w:rFonts w:ascii="Arial" w:hAnsi="Arial"/>
                        <w:color w:val="044E75"/>
                        <w:sz w:val="16"/>
                        <w:szCs w:val="16"/>
                      </w:rPr>
                    </w:pPr>
                    <w:r>
                      <w:rPr>
                        <w:rFonts w:ascii="Arial" w:hAnsi="Arial"/>
                        <w:color w:val="044E75"/>
                        <w:sz w:val="16"/>
                        <w:szCs w:val="16"/>
                      </w:rPr>
                      <w:t xml:space="preserve">550 South Tryon Street </w:t>
                    </w:r>
                  </w:p>
                  <w:p w14:paraId="07E2ED30" w14:textId="77777777" w:rsidR="00673F03" w:rsidRDefault="00673F03" w:rsidP="00C700ED">
                    <w:pPr>
                      <w:spacing w:line="200" w:lineRule="exact"/>
                      <w:jc w:val="right"/>
                      <w:rPr>
                        <w:rFonts w:ascii="Arial" w:hAnsi="Arial"/>
                        <w:color w:val="044E75"/>
                        <w:sz w:val="16"/>
                        <w:szCs w:val="16"/>
                      </w:rPr>
                    </w:pPr>
                    <w:r>
                      <w:rPr>
                        <w:rFonts w:ascii="Arial" w:hAnsi="Arial"/>
                        <w:color w:val="044E75"/>
                        <w:sz w:val="16"/>
                        <w:szCs w:val="16"/>
                      </w:rPr>
                      <w:t>Charlotte, NC  28202</w:t>
                    </w:r>
                  </w:p>
                  <w:p w14:paraId="07E2ED31" w14:textId="77777777" w:rsidR="00673F03" w:rsidRPr="00D70F2B" w:rsidRDefault="00673F03" w:rsidP="00C700ED">
                    <w:pPr>
                      <w:spacing w:before="100" w:line="200" w:lineRule="exact"/>
                      <w:jc w:val="right"/>
                      <w:rPr>
                        <w:rFonts w:ascii="Arial" w:hAnsi="Arial"/>
                        <w:color w:val="044E75"/>
                        <w:sz w:val="16"/>
                        <w:szCs w:val="16"/>
                      </w:rPr>
                    </w:pPr>
                    <w:r w:rsidRPr="00D70F2B">
                      <w:rPr>
                        <w:rFonts w:ascii="Arial" w:hAnsi="Arial"/>
                        <w:color w:val="044E75"/>
                        <w:sz w:val="16"/>
                        <w:szCs w:val="16"/>
                      </w:rPr>
                      <w:t>Mailing Address:</w:t>
                    </w:r>
                  </w:p>
                  <w:p w14:paraId="07E2ED32" w14:textId="77777777" w:rsidR="00673F03" w:rsidRPr="00D70F2B" w:rsidRDefault="00673F03" w:rsidP="00C700ED">
                    <w:pPr>
                      <w:spacing w:line="200" w:lineRule="exact"/>
                      <w:jc w:val="right"/>
                      <w:rPr>
                        <w:rFonts w:ascii="Arial" w:hAnsi="Arial"/>
                        <w:color w:val="044E75"/>
                        <w:sz w:val="16"/>
                        <w:szCs w:val="16"/>
                      </w:rPr>
                    </w:pPr>
                    <w:r>
                      <w:rPr>
                        <w:rFonts w:ascii="Arial" w:hAnsi="Arial"/>
                        <w:color w:val="044E75"/>
                        <w:sz w:val="16"/>
                        <w:szCs w:val="16"/>
                      </w:rPr>
                      <w:t>DEC45A</w:t>
                    </w:r>
                    <w:r w:rsidRPr="00D70F2B">
                      <w:rPr>
                        <w:rFonts w:ascii="Arial" w:hAnsi="Arial"/>
                        <w:color w:val="044E75"/>
                        <w:sz w:val="16"/>
                        <w:szCs w:val="16"/>
                      </w:rPr>
                      <w:t xml:space="preserve"> / P.O. Box</w:t>
                    </w:r>
                    <w:r>
                      <w:rPr>
                        <w:rFonts w:ascii="Arial" w:hAnsi="Arial"/>
                        <w:color w:val="044E75"/>
                        <w:sz w:val="16"/>
                        <w:szCs w:val="16"/>
                      </w:rPr>
                      <w:t xml:space="preserve"> 1321</w:t>
                    </w:r>
                    <w:r w:rsidRPr="00D70F2B">
                      <w:rPr>
                        <w:rFonts w:ascii="Arial" w:hAnsi="Arial"/>
                        <w:color w:val="044E75"/>
                        <w:sz w:val="16"/>
                        <w:szCs w:val="16"/>
                      </w:rPr>
                      <w:t xml:space="preserve"> </w:t>
                    </w:r>
                  </w:p>
                  <w:p w14:paraId="07E2ED33" w14:textId="77777777" w:rsidR="00673F03" w:rsidRDefault="00673F03" w:rsidP="00C700ED">
                    <w:pPr>
                      <w:spacing w:line="200" w:lineRule="exact"/>
                      <w:jc w:val="right"/>
                      <w:rPr>
                        <w:rFonts w:ascii="Arial" w:hAnsi="Arial"/>
                        <w:color w:val="044E75"/>
                        <w:sz w:val="16"/>
                        <w:szCs w:val="16"/>
                      </w:rPr>
                    </w:pPr>
                    <w:r>
                      <w:rPr>
                        <w:rFonts w:ascii="Arial" w:hAnsi="Arial"/>
                        <w:color w:val="044E75"/>
                        <w:sz w:val="16"/>
                        <w:szCs w:val="16"/>
                      </w:rPr>
                      <w:t>Charlotte, NC  28201</w:t>
                    </w:r>
                  </w:p>
                  <w:p w14:paraId="07E2ED34" w14:textId="77777777" w:rsidR="00673F03" w:rsidRDefault="00673F03" w:rsidP="00C700ED">
                    <w:pPr>
                      <w:spacing w:before="100" w:line="200" w:lineRule="exact"/>
                      <w:jc w:val="right"/>
                      <w:rPr>
                        <w:rFonts w:ascii="Arial" w:hAnsi="Arial"/>
                        <w:color w:val="044E75"/>
                        <w:sz w:val="16"/>
                        <w:szCs w:val="16"/>
                      </w:rPr>
                    </w:pPr>
                    <w:r w:rsidRPr="00D70F2B">
                      <w:rPr>
                        <w:rFonts w:ascii="Arial" w:hAnsi="Arial"/>
                        <w:color w:val="57AD3F"/>
                        <w:sz w:val="16"/>
                        <w:szCs w:val="16"/>
                      </w:rPr>
                      <w:t>o:</w:t>
                    </w:r>
                    <w:r>
                      <w:rPr>
                        <w:rFonts w:ascii="Arial" w:hAnsi="Arial"/>
                        <w:color w:val="044E75"/>
                        <w:sz w:val="16"/>
                        <w:szCs w:val="16"/>
                      </w:rPr>
                      <w:t xml:space="preserve"> 980-373-6609</w:t>
                    </w:r>
                    <w:r>
                      <w:rPr>
                        <w:rFonts w:ascii="Arial" w:hAnsi="Arial"/>
                        <w:color w:val="044E75"/>
                        <w:sz w:val="16"/>
                        <w:szCs w:val="16"/>
                      </w:rPr>
                      <w:br/>
                    </w:r>
                    <w:r w:rsidRPr="00D70F2B">
                      <w:rPr>
                        <w:rFonts w:ascii="Arial" w:hAnsi="Arial"/>
                        <w:color w:val="57AD3F"/>
                        <w:sz w:val="16"/>
                        <w:szCs w:val="16"/>
                      </w:rPr>
                      <w:t>f:</w:t>
                    </w:r>
                    <w:r>
                      <w:rPr>
                        <w:rFonts w:ascii="Arial" w:hAnsi="Arial"/>
                        <w:color w:val="044E75"/>
                        <w:sz w:val="16"/>
                        <w:szCs w:val="16"/>
                      </w:rPr>
                      <w:t xml:space="preserve"> 980.373.8534</w:t>
                    </w:r>
                  </w:p>
                  <w:p w14:paraId="07E2ED35" w14:textId="77777777" w:rsidR="00673F03" w:rsidRDefault="00673F03" w:rsidP="00C700ED">
                    <w:pPr>
                      <w:spacing w:before="60" w:line="200" w:lineRule="exact"/>
                      <w:jc w:val="right"/>
                      <w:rPr>
                        <w:rFonts w:ascii="Arial" w:hAnsi="Arial"/>
                        <w:color w:val="044E75"/>
                        <w:sz w:val="16"/>
                        <w:szCs w:val="16"/>
                      </w:rPr>
                    </w:pPr>
                    <w:r>
                      <w:rPr>
                        <w:rFonts w:ascii="Arial" w:hAnsi="Arial"/>
                        <w:color w:val="044E75"/>
                        <w:sz w:val="16"/>
                        <w:szCs w:val="16"/>
                      </w:rPr>
                      <w:t>Paul.Kinny@duke-energy.com</w:t>
                    </w:r>
                  </w:p>
                  <w:p w14:paraId="07E2ED36" w14:textId="77777777" w:rsidR="00673F03" w:rsidRDefault="00673F03" w:rsidP="00C700ED">
                    <w:pPr>
                      <w:spacing w:line="200" w:lineRule="exact"/>
                      <w:jc w:val="right"/>
                      <w:rPr>
                        <w:rFonts w:ascii="Arial" w:hAnsi="Arial"/>
                        <w:color w:val="044E75"/>
                        <w:sz w:val="16"/>
                        <w:szCs w:val="16"/>
                      </w:rPr>
                    </w:pPr>
                  </w:p>
                  <w:p w14:paraId="07E2ED37" w14:textId="77777777" w:rsidR="00673F03" w:rsidRDefault="00673F03" w:rsidP="00C700ED">
                    <w:pPr>
                      <w:spacing w:before="100" w:line="200" w:lineRule="exact"/>
                      <w:jc w:val="right"/>
                      <w:rPr>
                        <w:rFonts w:ascii="Arial" w:hAnsi="Arial"/>
                        <w:color w:val="044E75"/>
                        <w:sz w:val="16"/>
                        <w:szCs w:val="16"/>
                      </w:rPr>
                    </w:pPr>
                  </w:p>
                  <w:p w14:paraId="07E2ED38" w14:textId="77777777" w:rsidR="00673F03" w:rsidRPr="00D70F2B" w:rsidRDefault="00673F03" w:rsidP="00C700ED">
                    <w:pPr>
                      <w:spacing w:before="100" w:line="200" w:lineRule="exact"/>
                      <w:jc w:val="right"/>
                      <w:rPr>
                        <w:rFonts w:ascii="Arial" w:hAnsi="Arial"/>
                        <w:color w:val="044E75"/>
                        <w:sz w:val="16"/>
                        <w:szCs w:val="16"/>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70E0C"/>
    <w:multiLevelType w:val="hybridMultilevel"/>
    <w:tmpl w:val="3B8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BA"/>
    <w:rsid w:val="000004A8"/>
    <w:rsid w:val="000006D2"/>
    <w:rsid w:val="00003A6B"/>
    <w:rsid w:val="00007792"/>
    <w:rsid w:val="000206A8"/>
    <w:rsid w:val="00025504"/>
    <w:rsid w:val="0005200E"/>
    <w:rsid w:val="000A0EED"/>
    <w:rsid w:val="000A338C"/>
    <w:rsid w:val="000B1657"/>
    <w:rsid w:val="000B3CF1"/>
    <w:rsid w:val="000C4813"/>
    <w:rsid w:val="000D1E0A"/>
    <w:rsid w:val="000E1537"/>
    <w:rsid w:val="000E39AE"/>
    <w:rsid w:val="000F0133"/>
    <w:rsid w:val="000F2B87"/>
    <w:rsid w:val="001031AB"/>
    <w:rsid w:val="00110BB8"/>
    <w:rsid w:val="00111546"/>
    <w:rsid w:val="00114215"/>
    <w:rsid w:val="00114EC6"/>
    <w:rsid w:val="001218E1"/>
    <w:rsid w:val="00130B31"/>
    <w:rsid w:val="0013543F"/>
    <w:rsid w:val="0014176C"/>
    <w:rsid w:val="0014322A"/>
    <w:rsid w:val="00161B39"/>
    <w:rsid w:val="00166A93"/>
    <w:rsid w:val="00181AD2"/>
    <w:rsid w:val="00196303"/>
    <w:rsid w:val="001B181A"/>
    <w:rsid w:val="001C5167"/>
    <w:rsid w:val="002102F8"/>
    <w:rsid w:val="002170A0"/>
    <w:rsid w:val="002254C0"/>
    <w:rsid w:val="00243436"/>
    <w:rsid w:val="0025242A"/>
    <w:rsid w:val="00254812"/>
    <w:rsid w:val="00256B4B"/>
    <w:rsid w:val="00260F21"/>
    <w:rsid w:val="002614F0"/>
    <w:rsid w:val="0026561A"/>
    <w:rsid w:val="002672B7"/>
    <w:rsid w:val="00276E1B"/>
    <w:rsid w:val="00296369"/>
    <w:rsid w:val="002B5F4E"/>
    <w:rsid w:val="002C14FD"/>
    <w:rsid w:val="002D2F7F"/>
    <w:rsid w:val="002F027E"/>
    <w:rsid w:val="002F7930"/>
    <w:rsid w:val="003055F0"/>
    <w:rsid w:val="00316161"/>
    <w:rsid w:val="0032099D"/>
    <w:rsid w:val="003277F0"/>
    <w:rsid w:val="00336981"/>
    <w:rsid w:val="0033758B"/>
    <w:rsid w:val="003401DB"/>
    <w:rsid w:val="00341E98"/>
    <w:rsid w:val="00347B4C"/>
    <w:rsid w:val="00356450"/>
    <w:rsid w:val="00356E5A"/>
    <w:rsid w:val="00363A7E"/>
    <w:rsid w:val="00366DDE"/>
    <w:rsid w:val="003673A0"/>
    <w:rsid w:val="00387351"/>
    <w:rsid w:val="003A2888"/>
    <w:rsid w:val="003B2810"/>
    <w:rsid w:val="003B4FFF"/>
    <w:rsid w:val="003C2D83"/>
    <w:rsid w:val="003C3035"/>
    <w:rsid w:val="003D2467"/>
    <w:rsid w:val="003D2904"/>
    <w:rsid w:val="003E1BAB"/>
    <w:rsid w:val="003E35E9"/>
    <w:rsid w:val="003E777D"/>
    <w:rsid w:val="003F552B"/>
    <w:rsid w:val="00404ABC"/>
    <w:rsid w:val="00404EFD"/>
    <w:rsid w:val="00411BEF"/>
    <w:rsid w:val="00412DB3"/>
    <w:rsid w:val="00422A47"/>
    <w:rsid w:val="00425FF1"/>
    <w:rsid w:val="00430E30"/>
    <w:rsid w:val="00442487"/>
    <w:rsid w:val="00444339"/>
    <w:rsid w:val="00445DBA"/>
    <w:rsid w:val="004523F5"/>
    <w:rsid w:val="00460306"/>
    <w:rsid w:val="00476C04"/>
    <w:rsid w:val="0049175F"/>
    <w:rsid w:val="004A3AB3"/>
    <w:rsid w:val="004B4591"/>
    <w:rsid w:val="004D06CD"/>
    <w:rsid w:val="004D08C7"/>
    <w:rsid w:val="004D27CD"/>
    <w:rsid w:val="004E11A3"/>
    <w:rsid w:val="004F0B7B"/>
    <w:rsid w:val="00505992"/>
    <w:rsid w:val="005115FD"/>
    <w:rsid w:val="00517FBF"/>
    <w:rsid w:val="0053425C"/>
    <w:rsid w:val="0055228B"/>
    <w:rsid w:val="005531FE"/>
    <w:rsid w:val="005956F3"/>
    <w:rsid w:val="00596255"/>
    <w:rsid w:val="005A67CA"/>
    <w:rsid w:val="005C071B"/>
    <w:rsid w:val="005D25B1"/>
    <w:rsid w:val="005D31AE"/>
    <w:rsid w:val="005E5789"/>
    <w:rsid w:val="005F456E"/>
    <w:rsid w:val="005F5331"/>
    <w:rsid w:val="00601E0A"/>
    <w:rsid w:val="00605760"/>
    <w:rsid w:val="00607969"/>
    <w:rsid w:val="00610943"/>
    <w:rsid w:val="00617D1C"/>
    <w:rsid w:val="00631E55"/>
    <w:rsid w:val="006363C1"/>
    <w:rsid w:val="006363DB"/>
    <w:rsid w:val="00641F68"/>
    <w:rsid w:val="00647C62"/>
    <w:rsid w:val="00671DD2"/>
    <w:rsid w:val="00673F03"/>
    <w:rsid w:val="00681E5C"/>
    <w:rsid w:val="006829B4"/>
    <w:rsid w:val="00683740"/>
    <w:rsid w:val="00697070"/>
    <w:rsid w:val="006B0460"/>
    <w:rsid w:val="006B4983"/>
    <w:rsid w:val="006C6F12"/>
    <w:rsid w:val="006F4A7B"/>
    <w:rsid w:val="00704030"/>
    <w:rsid w:val="00706C86"/>
    <w:rsid w:val="007212F3"/>
    <w:rsid w:val="0074389F"/>
    <w:rsid w:val="00752823"/>
    <w:rsid w:val="00765E39"/>
    <w:rsid w:val="0077360F"/>
    <w:rsid w:val="00773CF4"/>
    <w:rsid w:val="007827B3"/>
    <w:rsid w:val="007857F0"/>
    <w:rsid w:val="0079075E"/>
    <w:rsid w:val="00793D25"/>
    <w:rsid w:val="00796500"/>
    <w:rsid w:val="007A0E77"/>
    <w:rsid w:val="007A1C04"/>
    <w:rsid w:val="007A417F"/>
    <w:rsid w:val="007A776F"/>
    <w:rsid w:val="007C5A68"/>
    <w:rsid w:val="007C5E6D"/>
    <w:rsid w:val="007D197D"/>
    <w:rsid w:val="007D3796"/>
    <w:rsid w:val="007E2BA7"/>
    <w:rsid w:val="00816CF5"/>
    <w:rsid w:val="0085366B"/>
    <w:rsid w:val="00855C5A"/>
    <w:rsid w:val="00856F0D"/>
    <w:rsid w:val="0089304A"/>
    <w:rsid w:val="008B41E6"/>
    <w:rsid w:val="008D41EF"/>
    <w:rsid w:val="008E172B"/>
    <w:rsid w:val="008E1EC3"/>
    <w:rsid w:val="009168BB"/>
    <w:rsid w:val="00921C72"/>
    <w:rsid w:val="0093537E"/>
    <w:rsid w:val="009363C8"/>
    <w:rsid w:val="00942E84"/>
    <w:rsid w:val="00953848"/>
    <w:rsid w:val="009565C8"/>
    <w:rsid w:val="00962AB4"/>
    <w:rsid w:val="0096607B"/>
    <w:rsid w:val="00967F53"/>
    <w:rsid w:val="009746AC"/>
    <w:rsid w:val="00977C7B"/>
    <w:rsid w:val="00980E8A"/>
    <w:rsid w:val="00987C5F"/>
    <w:rsid w:val="009A52A1"/>
    <w:rsid w:val="009D309F"/>
    <w:rsid w:val="009E4073"/>
    <w:rsid w:val="009E79D2"/>
    <w:rsid w:val="00A01759"/>
    <w:rsid w:val="00A06F4B"/>
    <w:rsid w:val="00A10ED1"/>
    <w:rsid w:val="00A13044"/>
    <w:rsid w:val="00A166A7"/>
    <w:rsid w:val="00A22AE8"/>
    <w:rsid w:val="00A35262"/>
    <w:rsid w:val="00A408F2"/>
    <w:rsid w:val="00A42FE6"/>
    <w:rsid w:val="00A435EB"/>
    <w:rsid w:val="00A64D45"/>
    <w:rsid w:val="00A66323"/>
    <w:rsid w:val="00A77279"/>
    <w:rsid w:val="00AA2581"/>
    <w:rsid w:val="00AA72FA"/>
    <w:rsid w:val="00AD1007"/>
    <w:rsid w:val="00AD5446"/>
    <w:rsid w:val="00B25FBC"/>
    <w:rsid w:val="00B4206E"/>
    <w:rsid w:val="00B64EDD"/>
    <w:rsid w:val="00B827A6"/>
    <w:rsid w:val="00B8423B"/>
    <w:rsid w:val="00B91B52"/>
    <w:rsid w:val="00B920E3"/>
    <w:rsid w:val="00BA0B7E"/>
    <w:rsid w:val="00BA4DA2"/>
    <w:rsid w:val="00BB17E1"/>
    <w:rsid w:val="00BB3574"/>
    <w:rsid w:val="00BB36C5"/>
    <w:rsid w:val="00BB6ACF"/>
    <w:rsid w:val="00BC25B0"/>
    <w:rsid w:val="00BD3238"/>
    <w:rsid w:val="00BE5AEF"/>
    <w:rsid w:val="00BF16E4"/>
    <w:rsid w:val="00BF1F68"/>
    <w:rsid w:val="00BF538E"/>
    <w:rsid w:val="00BF5FC8"/>
    <w:rsid w:val="00C06644"/>
    <w:rsid w:val="00C11D05"/>
    <w:rsid w:val="00C17049"/>
    <w:rsid w:val="00C2588D"/>
    <w:rsid w:val="00C25E43"/>
    <w:rsid w:val="00C34F21"/>
    <w:rsid w:val="00C40119"/>
    <w:rsid w:val="00C541AD"/>
    <w:rsid w:val="00C700ED"/>
    <w:rsid w:val="00C855AD"/>
    <w:rsid w:val="00C863E0"/>
    <w:rsid w:val="00CA0BD4"/>
    <w:rsid w:val="00CA3FB9"/>
    <w:rsid w:val="00CB40DE"/>
    <w:rsid w:val="00CC4D2F"/>
    <w:rsid w:val="00CC56E7"/>
    <w:rsid w:val="00CD070D"/>
    <w:rsid w:val="00CD0CA2"/>
    <w:rsid w:val="00CE4D21"/>
    <w:rsid w:val="00CE66E5"/>
    <w:rsid w:val="00D01E35"/>
    <w:rsid w:val="00D04EA7"/>
    <w:rsid w:val="00D126EF"/>
    <w:rsid w:val="00D13B97"/>
    <w:rsid w:val="00D14168"/>
    <w:rsid w:val="00D259EF"/>
    <w:rsid w:val="00D3404A"/>
    <w:rsid w:val="00D45A4B"/>
    <w:rsid w:val="00D57069"/>
    <w:rsid w:val="00D60C5A"/>
    <w:rsid w:val="00D628BF"/>
    <w:rsid w:val="00D758AE"/>
    <w:rsid w:val="00D77CDF"/>
    <w:rsid w:val="00D81FEC"/>
    <w:rsid w:val="00D85A56"/>
    <w:rsid w:val="00DA154E"/>
    <w:rsid w:val="00DB5C54"/>
    <w:rsid w:val="00DD3CB6"/>
    <w:rsid w:val="00DD674D"/>
    <w:rsid w:val="00DE5539"/>
    <w:rsid w:val="00DE63C2"/>
    <w:rsid w:val="00DF23F8"/>
    <w:rsid w:val="00DF4A88"/>
    <w:rsid w:val="00E0379F"/>
    <w:rsid w:val="00E42577"/>
    <w:rsid w:val="00E4567B"/>
    <w:rsid w:val="00E46965"/>
    <w:rsid w:val="00E47F78"/>
    <w:rsid w:val="00E525B2"/>
    <w:rsid w:val="00E65898"/>
    <w:rsid w:val="00E7609F"/>
    <w:rsid w:val="00E816E8"/>
    <w:rsid w:val="00E82223"/>
    <w:rsid w:val="00E85B53"/>
    <w:rsid w:val="00EA1FA3"/>
    <w:rsid w:val="00EB6453"/>
    <w:rsid w:val="00EC20D4"/>
    <w:rsid w:val="00ED596D"/>
    <w:rsid w:val="00ED5E1E"/>
    <w:rsid w:val="00ED7118"/>
    <w:rsid w:val="00EF03BC"/>
    <w:rsid w:val="00EF20DB"/>
    <w:rsid w:val="00F226B3"/>
    <w:rsid w:val="00F27A75"/>
    <w:rsid w:val="00F31D61"/>
    <w:rsid w:val="00F35C7E"/>
    <w:rsid w:val="00F41B77"/>
    <w:rsid w:val="00F41D22"/>
    <w:rsid w:val="00F4266D"/>
    <w:rsid w:val="00F447E6"/>
    <w:rsid w:val="00F578F9"/>
    <w:rsid w:val="00F641E8"/>
    <w:rsid w:val="00F76061"/>
    <w:rsid w:val="00F778D7"/>
    <w:rsid w:val="00F83876"/>
    <w:rsid w:val="00F919AA"/>
    <w:rsid w:val="00FA21E9"/>
    <w:rsid w:val="00FA2E87"/>
    <w:rsid w:val="00FA7785"/>
    <w:rsid w:val="00FC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7E2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F7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45DBA"/>
    <w:rPr>
      <w:sz w:val="20"/>
    </w:rPr>
  </w:style>
  <w:style w:type="character" w:styleId="FootnoteReference">
    <w:name w:val="footnote reference"/>
    <w:basedOn w:val="DefaultParagraphFont"/>
    <w:semiHidden/>
    <w:rsid w:val="00445DBA"/>
    <w:rPr>
      <w:vertAlign w:val="superscript"/>
    </w:rPr>
  </w:style>
  <w:style w:type="paragraph" w:styleId="BodyTextIndent">
    <w:name w:val="Body Text Indent"/>
    <w:basedOn w:val="Normal"/>
    <w:rsid w:val="00E525B2"/>
    <w:pPr>
      <w:ind w:left="720"/>
    </w:pPr>
    <w:rPr>
      <w:rFonts w:ascii="Arial" w:hAnsi="Arial" w:cs="Arial"/>
      <w:szCs w:val="24"/>
    </w:rPr>
  </w:style>
  <w:style w:type="paragraph" w:styleId="Header">
    <w:name w:val="header"/>
    <w:basedOn w:val="Normal"/>
    <w:rsid w:val="00E525B2"/>
    <w:pPr>
      <w:tabs>
        <w:tab w:val="center" w:pos="4320"/>
        <w:tab w:val="right" w:pos="8640"/>
      </w:tabs>
    </w:pPr>
    <w:rPr>
      <w:rFonts w:ascii="Century Gothic" w:hAnsi="Century Gothic"/>
      <w:szCs w:val="24"/>
    </w:rPr>
  </w:style>
  <w:style w:type="paragraph" w:styleId="Footer">
    <w:name w:val="footer"/>
    <w:basedOn w:val="Normal"/>
    <w:rsid w:val="007A776F"/>
    <w:pPr>
      <w:tabs>
        <w:tab w:val="center" w:pos="4320"/>
        <w:tab w:val="right" w:pos="8640"/>
      </w:tabs>
    </w:pPr>
  </w:style>
  <w:style w:type="paragraph" w:styleId="BalloonText">
    <w:name w:val="Balloon Text"/>
    <w:basedOn w:val="Normal"/>
    <w:semiHidden/>
    <w:rsid w:val="00D628BF"/>
    <w:rPr>
      <w:rFonts w:ascii="Tahoma" w:hAnsi="Tahoma" w:cs="Tahoma"/>
      <w:sz w:val="16"/>
      <w:szCs w:val="16"/>
    </w:rPr>
  </w:style>
  <w:style w:type="character" w:styleId="Hyperlink">
    <w:name w:val="Hyperlink"/>
    <w:basedOn w:val="DefaultParagraphFont"/>
    <w:rsid w:val="00404EFD"/>
    <w:rPr>
      <w:color w:val="0000FF"/>
      <w:u w:val="single"/>
    </w:rPr>
  </w:style>
  <w:style w:type="paragraph" w:styleId="BodyText">
    <w:name w:val="Body Text"/>
    <w:basedOn w:val="Normal"/>
    <w:link w:val="BodyTextChar"/>
    <w:rsid w:val="00422A47"/>
    <w:pPr>
      <w:spacing w:after="120"/>
    </w:pPr>
  </w:style>
  <w:style w:type="character" w:customStyle="1" w:styleId="BodyTextChar">
    <w:name w:val="Body Text Char"/>
    <w:basedOn w:val="DefaultParagraphFont"/>
    <w:link w:val="BodyText"/>
    <w:rsid w:val="00422A47"/>
    <w:rPr>
      <w:sz w:val="24"/>
    </w:rPr>
  </w:style>
  <w:style w:type="paragraph" w:styleId="Salutation">
    <w:name w:val="Salutation"/>
    <w:basedOn w:val="Normal"/>
    <w:next w:val="Normal"/>
    <w:link w:val="SalutationChar"/>
    <w:rsid w:val="00422A47"/>
    <w:pPr>
      <w:spacing w:after="240"/>
    </w:pPr>
    <w:rPr>
      <w:szCs w:val="24"/>
    </w:rPr>
  </w:style>
  <w:style w:type="character" w:customStyle="1" w:styleId="SalutationChar">
    <w:name w:val="Salutation Char"/>
    <w:basedOn w:val="DefaultParagraphFont"/>
    <w:link w:val="Salutation"/>
    <w:rsid w:val="00422A47"/>
    <w:rPr>
      <w:sz w:val="24"/>
      <w:szCs w:val="24"/>
    </w:rPr>
  </w:style>
  <w:style w:type="paragraph" w:customStyle="1" w:styleId="ReLine">
    <w:name w:val="Re Line"/>
    <w:basedOn w:val="Normal"/>
    <w:rsid w:val="00422A47"/>
    <w:pPr>
      <w:spacing w:after="240"/>
      <w:ind w:left="720" w:hanging="720"/>
    </w:pPr>
    <w:rPr>
      <w:szCs w:val="24"/>
    </w:rPr>
  </w:style>
  <w:style w:type="paragraph" w:customStyle="1" w:styleId="DeliveryMethod">
    <w:name w:val="DeliveryMethod"/>
    <w:basedOn w:val="Normal"/>
    <w:rsid w:val="00422A47"/>
    <w:pPr>
      <w:spacing w:after="240"/>
      <w:contextualSpacing/>
    </w:pPr>
    <w:rPr>
      <w:b/>
      <w:bCs/>
      <w:szCs w:val="24"/>
    </w:rPr>
  </w:style>
  <w:style w:type="paragraph" w:customStyle="1" w:styleId="cc">
    <w:name w:val="cc"/>
    <w:basedOn w:val="Normal"/>
    <w:rsid w:val="00422A47"/>
    <w:pPr>
      <w:spacing w:after="250"/>
      <w:ind w:left="720" w:hanging="720"/>
    </w:pPr>
    <w:rPr>
      <w:szCs w:val="24"/>
    </w:rPr>
  </w:style>
  <w:style w:type="character" w:customStyle="1" w:styleId="DeltaViewInsertion">
    <w:name w:val="DeltaView Insertion"/>
    <w:rsid w:val="00422A47"/>
    <w:rPr>
      <w:b/>
      <w:color w:val="000000"/>
      <w:spacing w:val="0"/>
      <w:u w:val="double"/>
    </w:rPr>
  </w:style>
  <w:style w:type="paragraph" w:styleId="BodyText2">
    <w:name w:val="Body Text 2"/>
    <w:basedOn w:val="Normal"/>
    <w:link w:val="BodyText2Char"/>
    <w:rsid w:val="00DD3CB6"/>
    <w:pPr>
      <w:spacing w:after="120" w:line="480" w:lineRule="auto"/>
    </w:pPr>
  </w:style>
  <w:style w:type="character" w:customStyle="1" w:styleId="BodyText2Char">
    <w:name w:val="Body Text 2 Char"/>
    <w:basedOn w:val="DefaultParagraphFont"/>
    <w:link w:val="BodyText2"/>
    <w:rsid w:val="00DD3CB6"/>
    <w:rPr>
      <w:sz w:val="24"/>
    </w:rPr>
  </w:style>
  <w:style w:type="character" w:styleId="FollowedHyperlink">
    <w:name w:val="FollowedHyperlink"/>
    <w:basedOn w:val="DefaultParagraphFont"/>
    <w:rsid w:val="003673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F7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45DBA"/>
    <w:rPr>
      <w:sz w:val="20"/>
    </w:rPr>
  </w:style>
  <w:style w:type="character" w:styleId="FootnoteReference">
    <w:name w:val="footnote reference"/>
    <w:basedOn w:val="DefaultParagraphFont"/>
    <w:semiHidden/>
    <w:rsid w:val="00445DBA"/>
    <w:rPr>
      <w:vertAlign w:val="superscript"/>
    </w:rPr>
  </w:style>
  <w:style w:type="paragraph" w:styleId="BodyTextIndent">
    <w:name w:val="Body Text Indent"/>
    <w:basedOn w:val="Normal"/>
    <w:rsid w:val="00E525B2"/>
    <w:pPr>
      <w:ind w:left="720"/>
    </w:pPr>
    <w:rPr>
      <w:rFonts w:ascii="Arial" w:hAnsi="Arial" w:cs="Arial"/>
      <w:szCs w:val="24"/>
    </w:rPr>
  </w:style>
  <w:style w:type="paragraph" w:styleId="Header">
    <w:name w:val="header"/>
    <w:basedOn w:val="Normal"/>
    <w:rsid w:val="00E525B2"/>
    <w:pPr>
      <w:tabs>
        <w:tab w:val="center" w:pos="4320"/>
        <w:tab w:val="right" w:pos="8640"/>
      </w:tabs>
    </w:pPr>
    <w:rPr>
      <w:rFonts w:ascii="Century Gothic" w:hAnsi="Century Gothic"/>
      <w:szCs w:val="24"/>
    </w:rPr>
  </w:style>
  <w:style w:type="paragraph" w:styleId="Footer">
    <w:name w:val="footer"/>
    <w:basedOn w:val="Normal"/>
    <w:rsid w:val="007A776F"/>
    <w:pPr>
      <w:tabs>
        <w:tab w:val="center" w:pos="4320"/>
        <w:tab w:val="right" w:pos="8640"/>
      </w:tabs>
    </w:pPr>
  </w:style>
  <w:style w:type="paragraph" w:styleId="BalloonText">
    <w:name w:val="Balloon Text"/>
    <w:basedOn w:val="Normal"/>
    <w:semiHidden/>
    <w:rsid w:val="00D628BF"/>
    <w:rPr>
      <w:rFonts w:ascii="Tahoma" w:hAnsi="Tahoma" w:cs="Tahoma"/>
      <w:sz w:val="16"/>
      <w:szCs w:val="16"/>
    </w:rPr>
  </w:style>
  <w:style w:type="character" w:styleId="Hyperlink">
    <w:name w:val="Hyperlink"/>
    <w:basedOn w:val="DefaultParagraphFont"/>
    <w:rsid w:val="00404EFD"/>
    <w:rPr>
      <w:color w:val="0000FF"/>
      <w:u w:val="single"/>
    </w:rPr>
  </w:style>
  <w:style w:type="paragraph" w:styleId="BodyText">
    <w:name w:val="Body Text"/>
    <w:basedOn w:val="Normal"/>
    <w:link w:val="BodyTextChar"/>
    <w:rsid w:val="00422A47"/>
    <w:pPr>
      <w:spacing w:after="120"/>
    </w:pPr>
  </w:style>
  <w:style w:type="character" w:customStyle="1" w:styleId="BodyTextChar">
    <w:name w:val="Body Text Char"/>
    <w:basedOn w:val="DefaultParagraphFont"/>
    <w:link w:val="BodyText"/>
    <w:rsid w:val="00422A47"/>
    <w:rPr>
      <w:sz w:val="24"/>
    </w:rPr>
  </w:style>
  <w:style w:type="paragraph" w:styleId="Salutation">
    <w:name w:val="Salutation"/>
    <w:basedOn w:val="Normal"/>
    <w:next w:val="Normal"/>
    <w:link w:val="SalutationChar"/>
    <w:rsid w:val="00422A47"/>
    <w:pPr>
      <w:spacing w:after="240"/>
    </w:pPr>
    <w:rPr>
      <w:szCs w:val="24"/>
    </w:rPr>
  </w:style>
  <w:style w:type="character" w:customStyle="1" w:styleId="SalutationChar">
    <w:name w:val="Salutation Char"/>
    <w:basedOn w:val="DefaultParagraphFont"/>
    <w:link w:val="Salutation"/>
    <w:rsid w:val="00422A47"/>
    <w:rPr>
      <w:sz w:val="24"/>
      <w:szCs w:val="24"/>
    </w:rPr>
  </w:style>
  <w:style w:type="paragraph" w:customStyle="1" w:styleId="ReLine">
    <w:name w:val="Re Line"/>
    <w:basedOn w:val="Normal"/>
    <w:rsid w:val="00422A47"/>
    <w:pPr>
      <w:spacing w:after="240"/>
      <w:ind w:left="720" w:hanging="720"/>
    </w:pPr>
    <w:rPr>
      <w:szCs w:val="24"/>
    </w:rPr>
  </w:style>
  <w:style w:type="paragraph" w:customStyle="1" w:styleId="DeliveryMethod">
    <w:name w:val="DeliveryMethod"/>
    <w:basedOn w:val="Normal"/>
    <w:rsid w:val="00422A47"/>
    <w:pPr>
      <w:spacing w:after="240"/>
      <w:contextualSpacing/>
    </w:pPr>
    <w:rPr>
      <w:b/>
      <w:bCs/>
      <w:szCs w:val="24"/>
    </w:rPr>
  </w:style>
  <w:style w:type="paragraph" w:customStyle="1" w:styleId="cc">
    <w:name w:val="cc"/>
    <w:basedOn w:val="Normal"/>
    <w:rsid w:val="00422A47"/>
    <w:pPr>
      <w:spacing w:after="250"/>
      <w:ind w:left="720" w:hanging="720"/>
    </w:pPr>
    <w:rPr>
      <w:szCs w:val="24"/>
    </w:rPr>
  </w:style>
  <w:style w:type="character" w:customStyle="1" w:styleId="DeltaViewInsertion">
    <w:name w:val="DeltaView Insertion"/>
    <w:rsid w:val="00422A47"/>
    <w:rPr>
      <w:b/>
      <w:color w:val="000000"/>
      <w:spacing w:val="0"/>
      <w:u w:val="double"/>
    </w:rPr>
  </w:style>
  <w:style w:type="paragraph" w:styleId="BodyText2">
    <w:name w:val="Body Text 2"/>
    <w:basedOn w:val="Normal"/>
    <w:link w:val="BodyText2Char"/>
    <w:rsid w:val="00DD3CB6"/>
    <w:pPr>
      <w:spacing w:after="120" w:line="480" w:lineRule="auto"/>
    </w:pPr>
  </w:style>
  <w:style w:type="character" w:customStyle="1" w:styleId="BodyText2Char">
    <w:name w:val="Body Text 2 Char"/>
    <w:basedOn w:val="DefaultParagraphFont"/>
    <w:link w:val="BodyText2"/>
    <w:rsid w:val="00DD3CB6"/>
    <w:rPr>
      <w:sz w:val="24"/>
    </w:rPr>
  </w:style>
  <w:style w:type="character" w:styleId="FollowedHyperlink">
    <w:name w:val="FollowedHyperlink"/>
    <w:basedOn w:val="DefaultParagraphFont"/>
    <w:rsid w:val="00367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asis.oati.com/FP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9D774DC810754C9DE2B4E81BAF410D" ma:contentTypeVersion="0" ma:contentTypeDescription="Create a new document." ma:contentTypeScope="" ma:versionID="c003b7dd07b05d0af3c719b339f8e9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7023-9A47-4185-B85E-A1589CB26F7D}">
  <ds:schemaRefs>
    <ds:schemaRef ds:uri="http://schemas.microsoft.com/sharepoint/v3/contenttype/forms"/>
  </ds:schemaRefs>
</ds:datastoreItem>
</file>

<file path=customXml/itemProps2.xml><?xml version="1.0" encoding="utf-8"?>
<ds:datastoreItem xmlns:ds="http://schemas.openxmlformats.org/officeDocument/2006/customXml" ds:itemID="{F0505B4B-2480-43D3-B71D-961DA6139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85C129-A82D-47E5-90BA-ED3AC575CA08}">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DF74824-7765-481A-93E4-86821430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901</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 resigned from the Board of Directors of Pantellos Corporation as of the end of the first quarter of 2002</vt:lpstr>
    </vt:vector>
  </TitlesOfParts>
  <Company>Duke Energy</Company>
  <LinksUpToDate>false</LinksUpToDate>
  <CharactersWithSpaces>6024</CharactersWithSpaces>
  <SharedDoc>false</SharedDoc>
  <HLinks>
    <vt:vector size="6" baseType="variant">
      <vt:variant>
        <vt:i4>6881375</vt:i4>
      </vt:variant>
      <vt:variant>
        <vt:i4>0</vt:i4>
      </vt:variant>
      <vt:variant>
        <vt:i4>0</vt:i4>
      </vt:variant>
      <vt:variant>
        <vt:i4>5</vt:i4>
      </vt:variant>
      <vt:variant>
        <vt:lpwstr>mailto:Garry.Rice@duke-energy.com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resigned from the Board of Directors of Pantellos Corporation as of the end of the first quarter of 2002</dc:title>
  <dc:creator>JMT8750</dc:creator>
  <cp:lastModifiedBy>Leah N. Buchanan</cp:lastModifiedBy>
  <cp:revision>7</cp:revision>
  <cp:lastPrinted>2018-05-15T12:50:00Z</cp:lastPrinted>
  <dcterms:created xsi:type="dcterms:W3CDTF">2018-05-11T13:31:00Z</dcterms:created>
  <dcterms:modified xsi:type="dcterms:W3CDTF">2018-05-15T13:00:00Z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0FAAjvoRBjSjqEwiY3MZNJc/d0Pfn1FCfiAjDeBI8GrbUlsmoS6LyS55vbeg5nhhzJWMLTq4bQFgHrRk_x000d_
EstMvyExM31oPuSa/N7Zv5wgYwwNC3NAw82Ckn6rmeh0HVaxH5MntwXEd0rW+FizcTuS5AKMIvlr_x000d_
M2MWgsxbfh3xhAAMxjGCuF/I6f0Ad0irWICInYHyB29cNEPvmxrldc9lOx56+2RE+jTrHEHDGESU_x000d_
PHoN44taDoEGwEbz5</vt:lpwstr>
  </property>
  <property fmtid="{D5CDD505-2E9C-101B-9397-08002B2CF9AE}" pid="3" name="MAIL_MSG_ID2">
    <vt:lpwstr>ItH12IP50YNkfkRMNODZwEbAK2eONhBkbN5AUQvU0HlWLVoElhVsuSBG30M_x000d_
l6rnh6puF2hoD9qHLhPVJKAjMM6dR6bgpATDIzlybKMTW9l53Z1tme8ryzc=</vt:lpwstr>
  </property>
  <property fmtid="{D5CDD505-2E9C-101B-9397-08002B2CF9AE}" pid="4" name="RESPONSE_SENDER_NAME">
    <vt:lpwstr>sAAAXRTqSjcrLApiisJ2QUroPCW2/nNkFfeq3YcJatLJslI=</vt:lpwstr>
  </property>
  <property fmtid="{D5CDD505-2E9C-101B-9397-08002B2CF9AE}" pid="5" name="EMAIL_OWNER_ADDRESS">
    <vt:lpwstr>4AAA9DNYQidmug50h93LZ24aeKhHVQOGPFda+vWEStFbPKBS1BL62Cuj2w==</vt:lpwstr>
  </property>
  <property fmtid="{D5CDD505-2E9C-101B-9397-08002B2CF9AE}" pid="6" name="ContentTypeId">
    <vt:lpwstr>0x010100DB9D774DC810754C9DE2B4E81BAF410D</vt:lpwstr>
  </property>
</Properties>
</file>