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r w:rsidRPr="00570EF4">
        <w:rPr>
          <w:rFonts w:ascii="Arial" w:hAnsi="Arial" w:cs="Arial"/>
        </w:rPr>
        <w:t>MISO TOs Annual Rate Update</w:t>
      </w:r>
    </w:p>
    <w:p w:rsidR="00570EF4" w:rsidRPr="00ED69BD" w:rsidRDefault="00570EF4" w:rsidP="00570EF4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2016</w:t>
      </w:r>
    </w:p>
    <w:p w:rsidR="00DB78BD" w:rsidRPr="00570EF4" w:rsidRDefault="00E630DE" w:rsidP="00E630DE">
      <w:pPr>
        <w:jc w:val="center"/>
        <w:rPr>
          <w:rFonts w:ascii="Arial" w:hAnsi="Arial" w:cs="Arial"/>
        </w:rPr>
      </w:pPr>
      <w:r w:rsidRPr="00570EF4">
        <w:rPr>
          <w:rFonts w:ascii="Arial" w:hAnsi="Arial" w:cs="Arial"/>
        </w:rPr>
        <w:t xml:space="preserve">Greater Granularity Than Required In </w:t>
      </w:r>
      <w:r w:rsidR="00C53487" w:rsidRPr="00570EF4">
        <w:rPr>
          <w:rFonts w:ascii="Arial" w:hAnsi="Arial" w:cs="Arial"/>
        </w:rPr>
        <w:t>FERC Form 1 Data</w:t>
      </w: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p w:rsidR="00DB78BD" w:rsidRPr="00570EF4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bookmarkStart w:id="0" w:name="_GoBack" w:colFirst="0" w:colLast="0"/>
            <w:r w:rsidRPr="00570EF4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570EF4" w:rsidRDefault="00DB78BD" w:rsidP="00570EF4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 xml:space="preserve">Entergy Services filing on behalf of EAI, </w:t>
            </w:r>
            <w:r w:rsidR="007E08B5" w:rsidRPr="00570EF4">
              <w:rPr>
                <w:rFonts w:ascii="Arial" w:hAnsi="Arial" w:cs="Arial"/>
              </w:rPr>
              <w:t>ELL</w:t>
            </w:r>
            <w:r w:rsidR="00570EF4">
              <w:rPr>
                <w:rFonts w:ascii="Arial" w:hAnsi="Arial" w:cs="Arial"/>
              </w:rPr>
              <w:t>*</w:t>
            </w:r>
          </w:p>
          <w:p w:rsidR="00DB78BD" w:rsidRPr="00570EF4" w:rsidRDefault="007E08B5" w:rsidP="00570EF4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 xml:space="preserve">, EMI, ENOI, and </w:t>
            </w:r>
            <w:r w:rsidR="00DB78BD" w:rsidRPr="00570EF4">
              <w:rPr>
                <w:rFonts w:ascii="Arial" w:hAnsi="Arial" w:cs="Arial"/>
              </w:rPr>
              <w:t>ETI</w:t>
            </w:r>
          </w:p>
        </w:tc>
      </w:tr>
      <w:bookmarkEnd w:id="0"/>
      <w:tr w:rsidR="00DB78BD" w:rsidRPr="00570EF4" w:rsidTr="00DB78BD">
        <w:tc>
          <w:tcPr>
            <w:tcW w:w="1728" w:type="dxa"/>
          </w:tcPr>
          <w:p w:rsidR="00DB78BD" w:rsidRPr="00570EF4" w:rsidRDefault="00DB78BD" w:rsidP="00DB78BD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570EF4" w:rsidRPr="00570EF4" w:rsidRDefault="00DB78BD" w:rsidP="00570EF4">
            <w:pPr>
              <w:rPr>
                <w:rFonts w:ascii="Arial" w:hAnsi="Arial" w:cs="Arial"/>
              </w:rPr>
            </w:pPr>
            <w:r w:rsidRPr="00570EF4">
              <w:rPr>
                <w:rFonts w:ascii="Arial" w:hAnsi="Arial" w:cs="Arial"/>
              </w:rPr>
              <w:t>December 201</w:t>
            </w:r>
            <w:r w:rsidR="00570EF4">
              <w:rPr>
                <w:rFonts w:ascii="Arial" w:hAnsi="Arial" w:cs="Arial"/>
              </w:rPr>
              <w:t>5</w:t>
            </w:r>
          </w:p>
        </w:tc>
      </w:tr>
    </w:tbl>
    <w:p w:rsidR="00DB78BD" w:rsidRPr="00570EF4" w:rsidRDefault="00DB78BD" w:rsidP="00DB78BD">
      <w:pPr>
        <w:rPr>
          <w:rFonts w:ascii="Arial" w:hAnsi="Arial" w:cs="Arial"/>
        </w:rPr>
      </w:pPr>
    </w:p>
    <w:p w:rsidR="00DB78BD" w:rsidRPr="00570EF4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II.D.</w:t>
      </w:r>
      <w:r w:rsidR="00E630DE" w:rsidRPr="00570EF4">
        <w:rPr>
          <w:rFonts w:ascii="Arial" w:hAnsi="Arial" w:cs="Arial"/>
          <w:szCs w:val="24"/>
        </w:rPr>
        <w:t>7</w:t>
      </w:r>
      <w:r w:rsidRPr="00570EF4">
        <w:rPr>
          <w:rFonts w:ascii="Arial" w:hAnsi="Arial" w:cs="Arial"/>
          <w:szCs w:val="24"/>
        </w:rPr>
        <w:t>.</w:t>
      </w:r>
      <w:r w:rsidRPr="00570EF4">
        <w:rPr>
          <w:rFonts w:ascii="Arial" w:hAnsi="Arial" w:cs="Arial"/>
          <w:szCs w:val="24"/>
        </w:rPr>
        <w:tab/>
      </w:r>
      <w:r w:rsidR="00E630DE" w:rsidRPr="00570EF4">
        <w:rPr>
          <w:rFonts w:ascii="Arial" w:hAnsi="Arial" w:cs="Arial"/>
          <w:szCs w:val="24"/>
        </w:rPr>
        <w:t>Provide underlying data for formula rate inputs that provide greater granularity than is required for the Applicable Form.</w:t>
      </w:r>
    </w:p>
    <w:p w:rsidR="001B4A43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</w:p>
    <w:p w:rsidR="001F4B62" w:rsidRPr="00570EF4" w:rsidRDefault="001B4A43" w:rsidP="001B4A43">
      <w:pPr>
        <w:autoSpaceDE w:val="0"/>
        <w:autoSpaceDN w:val="0"/>
        <w:adjustRightInd w:val="0"/>
        <w:ind w:left="990" w:hanging="63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See the below for location of data that provides additional granularity:  </w:t>
      </w:r>
    </w:p>
    <w:p w:rsidR="001B4A43" w:rsidRPr="00570EF4" w:rsidRDefault="001B4A4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1: True-up</w:t>
      </w:r>
    </w:p>
    <w:p w:rsidR="00A8420D" w:rsidRPr="00570EF4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CF6D5B" w:rsidRPr="00570EF4">
        <w:rPr>
          <w:rFonts w:ascii="Arial" w:hAnsi="Arial" w:cs="Arial"/>
          <w:szCs w:val="24"/>
        </w:rPr>
        <w:t>4</w:t>
      </w:r>
      <w:r w:rsidRPr="00570EF4">
        <w:rPr>
          <w:rFonts w:ascii="Arial" w:hAnsi="Arial" w:cs="Arial"/>
          <w:szCs w:val="24"/>
        </w:rPr>
        <w:t xml:space="preserve">: </w:t>
      </w:r>
      <w:r w:rsidR="00CF6D5B" w:rsidRPr="00570EF4">
        <w:rPr>
          <w:rFonts w:ascii="Arial" w:hAnsi="Arial" w:cs="Arial"/>
          <w:szCs w:val="24"/>
        </w:rPr>
        <w:t>Plant in Service</w:t>
      </w:r>
    </w:p>
    <w:p w:rsidR="00A8420D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6</w:t>
      </w:r>
      <w:r w:rsidR="00E630DE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Accumulated Deferred Income Tax</w:t>
      </w:r>
    </w:p>
    <w:p w:rsidR="005730D4" w:rsidRPr="00570EF4" w:rsidRDefault="00CF6D5B" w:rsidP="005730D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7: Materials &amp; Supplies</w:t>
      </w:r>
    </w:p>
    <w:p w:rsidR="008A01C8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8</w:t>
      </w:r>
      <w:r w:rsidR="008A01C8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Prepayments</w:t>
      </w:r>
    </w:p>
    <w:p w:rsidR="005730D4" w:rsidRPr="00570EF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9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>Plant Held for Future Use</w:t>
      </w:r>
    </w:p>
    <w:p w:rsidR="00CF6D5B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10</w:t>
      </w:r>
      <w:r w:rsidR="005730D4" w:rsidRPr="00570EF4">
        <w:rPr>
          <w:rFonts w:ascii="Arial" w:hAnsi="Arial" w:cs="Arial"/>
          <w:szCs w:val="24"/>
        </w:rPr>
        <w:t xml:space="preserve">: </w:t>
      </w:r>
      <w:r w:rsidRPr="00570EF4">
        <w:rPr>
          <w:rFonts w:ascii="Arial" w:hAnsi="Arial" w:cs="Arial"/>
          <w:szCs w:val="24"/>
        </w:rPr>
        <w:t xml:space="preserve">Storm </w:t>
      </w:r>
    </w:p>
    <w:p w:rsidR="005730D4" w:rsidRPr="00570EF4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11: Facilities </w:t>
      </w:r>
      <w:r w:rsidR="00FD66A2" w:rsidRPr="00570EF4">
        <w:rPr>
          <w:rFonts w:ascii="Arial" w:hAnsi="Arial" w:cs="Arial"/>
          <w:szCs w:val="24"/>
        </w:rPr>
        <w:t>Credits</w:t>
      </w:r>
    </w:p>
    <w:p w:rsidR="00FD66A2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12: </w:t>
      </w:r>
      <w:r w:rsidR="00FD66A2" w:rsidRPr="00570EF4">
        <w:rPr>
          <w:rFonts w:ascii="Arial" w:hAnsi="Arial" w:cs="Arial"/>
          <w:szCs w:val="24"/>
        </w:rPr>
        <w:t>PBOP</w:t>
      </w:r>
    </w:p>
    <w:p w:rsidR="005730D4" w:rsidRPr="00570EF4" w:rsidRDefault="00FD66A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13: </w:t>
      </w:r>
      <w:r w:rsidR="005730D4" w:rsidRPr="00570EF4">
        <w:rPr>
          <w:rFonts w:ascii="Arial" w:hAnsi="Arial" w:cs="Arial"/>
          <w:szCs w:val="24"/>
        </w:rPr>
        <w:t>Taxes Other Than Income Tax Charged By Affiliates</w:t>
      </w:r>
    </w:p>
    <w:p w:rsidR="005730D4" w:rsidRPr="00570EF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</w:t>
      </w:r>
      <w:r w:rsidR="006E7FB0" w:rsidRPr="00570EF4">
        <w:rPr>
          <w:rFonts w:ascii="Arial" w:hAnsi="Arial" w:cs="Arial"/>
          <w:szCs w:val="24"/>
        </w:rPr>
        <w:t xml:space="preserve">14: </w:t>
      </w:r>
      <w:r w:rsidR="00FD66A2" w:rsidRPr="00570EF4">
        <w:rPr>
          <w:rFonts w:ascii="Arial" w:hAnsi="Arial" w:cs="Arial"/>
          <w:szCs w:val="24"/>
        </w:rPr>
        <w:t>Cost of Capital – Preferred Stock Portion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15: Radial Lines</w:t>
      </w:r>
    </w:p>
    <w:p w:rsidR="00C23E2D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16: Generator Interconnection Facilities</w:t>
      </w:r>
    </w:p>
    <w:p w:rsidR="00C23E2D" w:rsidRPr="00570EF4" w:rsidRDefault="006E7FB0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 xml:space="preserve">WP 17: </w:t>
      </w:r>
      <w:r w:rsidR="00C23E2D" w:rsidRPr="00570EF4">
        <w:rPr>
          <w:rFonts w:ascii="Arial" w:hAnsi="Arial" w:cs="Arial"/>
          <w:szCs w:val="24"/>
        </w:rPr>
        <w:t>Other Electric Revenue – Accounts 454 &amp; 456</w:t>
      </w:r>
    </w:p>
    <w:p w:rsidR="006E7FB0" w:rsidRPr="00570EF4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19: Load</w:t>
      </w:r>
    </w:p>
    <w:p w:rsidR="00E56763" w:rsidRPr="00570EF4" w:rsidRDefault="00E5676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70EF4">
        <w:rPr>
          <w:rFonts w:ascii="Arial" w:hAnsi="Arial" w:cs="Arial"/>
          <w:szCs w:val="24"/>
        </w:rPr>
        <w:t>WP 20: Unfunded Reserves</w:t>
      </w: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Pr="00FB47AD" w:rsidRDefault="00570EF4" w:rsidP="00570EF4">
      <w:pPr>
        <w:ind w:left="180" w:hanging="180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*</w:t>
      </w:r>
      <w:r w:rsidRPr="00FB47AD">
        <w:rPr>
          <w:rFonts w:ascii="Arial" w:hAnsi="Arial" w:cs="Arial"/>
          <w:szCs w:val="24"/>
        </w:rPr>
        <w:tab/>
        <w:t>The ELL and EGSL Entergy companies were merged into a single company October 1, 2015.   For reporting purposes</w:t>
      </w:r>
      <w:r>
        <w:rPr>
          <w:rFonts w:ascii="Arial" w:hAnsi="Arial" w:cs="Arial"/>
          <w:szCs w:val="24"/>
        </w:rPr>
        <w:t xml:space="preserve"> in 2015</w:t>
      </w:r>
      <w:r w:rsidRPr="00FB47AD">
        <w:rPr>
          <w:rFonts w:ascii="Arial" w:hAnsi="Arial" w:cs="Arial"/>
          <w:szCs w:val="24"/>
        </w:rPr>
        <w:t>, the legacy ELL was identified as the EL Investment Company and the merged succes</w:t>
      </w:r>
      <w:r>
        <w:rPr>
          <w:rFonts w:ascii="Arial" w:hAnsi="Arial" w:cs="Arial"/>
          <w:szCs w:val="24"/>
        </w:rPr>
        <w:t>sor company was designated as Entergy Louisiana Power</w:t>
      </w:r>
      <w:r w:rsidRPr="00ED69BD">
        <w:rPr>
          <w:rFonts w:ascii="Arial" w:hAnsi="Arial" w:cs="Arial"/>
          <w:szCs w:val="24"/>
        </w:rPr>
        <w:t>, which was renamed as ELL</w:t>
      </w:r>
      <w:r w:rsidRPr="00FB47AD">
        <w:rPr>
          <w:rFonts w:ascii="Arial" w:hAnsi="Arial" w:cs="Arial"/>
          <w:szCs w:val="24"/>
        </w:rPr>
        <w:t>. The information for the merged companies is combined for 2015 and presented in the ELL Attachment O</w:t>
      </w:r>
    </w:p>
    <w:p w:rsid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70EF4" w:rsidRPr="00570EF4" w:rsidRDefault="00570EF4" w:rsidP="00570EF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570EF4" w:rsidRPr="0057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57CC3"/>
    <w:rsid w:val="00181C40"/>
    <w:rsid w:val="001B4A43"/>
    <w:rsid w:val="001E2A44"/>
    <w:rsid w:val="001F4B62"/>
    <w:rsid w:val="00296535"/>
    <w:rsid w:val="003A1B25"/>
    <w:rsid w:val="003B6D5B"/>
    <w:rsid w:val="004666CE"/>
    <w:rsid w:val="00471EC9"/>
    <w:rsid w:val="004F494B"/>
    <w:rsid w:val="00545C36"/>
    <w:rsid w:val="00570EF4"/>
    <w:rsid w:val="005730D4"/>
    <w:rsid w:val="0062534E"/>
    <w:rsid w:val="006612C4"/>
    <w:rsid w:val="006A69AF"/>
    <w:rsid w:val="006E7FB0"/>
    <w:rsid w:val="00783AB0"/>
    <w:rsid w:val="0079421D"/>
    <w:rsid w:val="007E08B5"/>
    <w:rsid w:val="008253E8"/>
    <w:rsid w:val="00854F90"/>
    <w:rsid w:val="00860EA3"/>
    <w:rsid w:val="008930C7"/>
    <w:rsid w:val="008A01C8"/>
    <w:rsid w:val="00933510"/>
    <w:rsid w:val="00996189"/>
    <w:rsid w:val="00A17203"/>
    <w:rsid w:val="00A24D51"/>
    <w:rsid w:val="00A52DDE"/>
    <w:rsid w:val="00A767CF"/>
    <w:rsid w:val="00A8081E"/>
    <w:rsid w:val="00A8420D"/>
    <w:rsid w:val="00A96F9D"/>
    <w:rsid w:val="00BD412E"/>
    <w:rsid w:val="00C069A3"/>
    <w:rsid w:val="00C23E2D"/>
    <w:rsid w:val="00C2752B"/>
    <w:rsid w:val="00C53487"/>
    <w:rsid w:val="00CA3DBA"/>
    <w:rsid w:val="00CB40E6"/>
    <w:rsid w:val="00CE54A5"/>
    <w:rsid w:val="00CF6D5B"/>
    <w:rsid w:val="00CF7608"/>
    <w:rsid w:val="00D768C4"/>
    <w:rsid w:val="00DB78BD"/>
    <w:rsid w:val="00DC7282"/>
    <w:rsid w:val="00E56763"/>
    <w:rsid w:val="00E630DE"/>
    <w:rsid w:val="00EE6CA1"/>
    <w:rsid w:val="00FB67B5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3</cp:revision>
  <cp:lastPrinted>2015-10-29T20:34:00Z</cp:lastPrinted>
  <dcterms:created xsi:type="dcterms:W3CDTF">2016-05-31T19:41:00Z</dcterms:created>
  <dcterms:modified xsi:type="dcterms:W3CDTF">2016-05-31T19:44:00Z</dcterms:modified>
</cp:coreProperties>
</file>