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6C" w:rsidRDefault="006C7F6C" w:rsidP="004724B2">
      <w:pPr>
        <w:ind w:left="0" w:firstLine="0"/>
      </w:pPr>
    </w:p>
    <w:p w:rsidR="006C7F6C" w:rsidRDefault="006C7F6C" w:rsidP="006C7F6C">
      <w:pPr>
        <w:ind w:left="0"/>
      </w:pPr>
      <w:r>
        <w:t>Attendees:</w:t>
      </w:r>
    </w:p>
    <w:p w:rsidR="006C7F6C" w:rsidRDefault="006C7F6C" w:rsidP="006C7F6C">
      <w:pPr>
        <w:pStyle w:val="ListParagraph"/>
        <w:numPr>
          <w:ilvl w:val="0"/>
          <w:numId w:val="1"/>
        </w:numPr>
      </w:pPr>
      <w:r>
        <w:t>AECC: Robert Shields</w:t>
      </w:r>
    </w:p>
    <w:p w:rsidR="006C7F6C" w:rsidRDefault="006C7F6C" w:rsidP="006C7F6C">
      <w:pPr>
        <w:pStyle w:val="ListParagraph"/>
        <w:numPr>
          <w:ilvl w:val="0"/>
          <w:numId w:val="1"/>
        </w:numPr>
      </w:pPr>
      <w:r>
        <w:t>AECC, ETEC &amp; SMEPA – represented by GDS Associates: Rob Smith, Patrick Brin, Al Taylor</w:t>
      </w:r>
    </w:p>
    <w:p w:rsidR="00D23014" w:rsidRDefault="00D23014" w:rsidP="00D23014">
      <w:pPr>
        <w:pStyle w:val="ListParagraph"/>
        <w:numPr>
          <w:ilvl w:val="0"/>
          <w:numId w:val="1"/>
        </w:numPr>
      </w:pPr>
      <w:r>
        <w:t>Conway Corporation: George Heintzen; Michael Chapman</w:t>
      </w:r>
    </w:p>
    <w:p w:rsidR="006C7F6C" w:rsidRDefault="006C7F6C" w:rsidP="006C7F6C">
      <w:pPr>
        <w:pStyle w:val="ListParagraph"/>
        <w:numPr>
          <w:ilvl w:val="0"/>
          <w:numId w:val="1"/>
        </w:numPr>
      </w:pPr>
      <w:r>
        <w:t>Entergy: Becky Bowden,</w:t>
      </w:r>
      <w:r w:rsidR="00D71A27" w:rsidRPr="00D71A27">
        <w:t xml:space="preserve"> </w:t>
      </w:r>
      <w:r w:rsidR="00D71A27">
        <w:t xml:space="preserve">Dennis Broussard, </w:t>
      </w:r>
      <w:r>
        <w:t xml:space="preserve"> </w:t>
      </w:r>
      <w:r w:rsidR="00D71A27">
        <w:t xml:space="preserve">Mike Doyle, </w:t>
      </w:r>
      <w:r>
        <w:t>David Hunt, Patrick Kizer</w:t>
      </w:r>
      <w:r w:rsidR="00D71A27">
        <w:t>,</w:t>
      </w:r>
      <w:r>
        <w:t xml:space="preserve"> </w:t>
      </w:r>
      <w:r w:rsidR="00D71A27">
        <w:t xml:space="preserve">Mike Manning, Roger Sanders, </w:t>
      </w:r>
      <w:r>
        <w:t>Randy Stanton</w:t>
      </w:r>
      <w:r w:rsidR="00D71A27">
        <w:t>,</w:t>
      </w:r>
      <w:r>
        <w:t xml:space="preserve"> Kham Vongkhamchanh, Wayne Warren</w:t>
      </w:r>
    </w:p>
    <w:p w:rsidR="00D23014" w:rsidRDefault="00D23014" w:rsidP="006C7F6C">
      <w:pPr>
        <w:pStyle w:val="ListParagraph"/>
        <w:numPr>
          <w:ilvl w:val="0"/>
          <w:numId w:val="1"/>
        </w:numPr>
      </w:pPr>
      <w:r>
        <w:t>Jonesboro City Water &amp; Light: Rick Henley, David Belk, Slade Mitchell, Jake Rice</w:t>
      </w:r>
    </w:p>
    <w:p w:rsidR="006C7F6C" w:rsidRDefault="006C7F6C" w:rsidP="006C7F6C">
      <w:pPr>
        <w:pStyle w:val="ListParagraph"/>
        <w:numPr>
          <w:ilvl w:val="0"/>
          <w:numId w:val="1"/>
        </w:numPr>
      </w:pPr>
      <w:r>
        <w:t>MISO: Elizabeth Long</w:t>
      </w:r>
    </w:p>
    <w:p w:rsidR="00D23014" w:rsidRDefault="006C7F6C" w:rsidP="00D23014">
      <w:pPr>
        <w:pStyle w:val="ListParagraph"/>
        <w:numPr>
          <w:ilvl w:val="0"/>
          <w:numId w:val="1"/>
        </w:numPr>
      </w:pPr>
      <w:r>
        <w:t>North Little Rock: Jessica Stephens</w:t>
      </w:r>
    </w:p>
    <w:p w:rsidR="00D71A27" w:rsidRDefault="00D71A27" w:rsidP="00D23014">
      <w:pPr>
        <w:pStyle w:val="ListParagraph"/>
        <w:numPr>
          <w:ilvl w:val="0"/>
          <w:numId w:val="1"/>
        </w:numPr>
      </w:pPr>
      <w:r>
        <w:t>David Marshall</w:t>
      </w:r>
    </w:p>
    <w:p w:rsidR="00D23014" w:rsidRDefault="00D23014" w:rsidP="00D23014">
      <w:pPr>
        <w:pStyle w:val="ListParagraph"/>
        <w:ind w:left="360" w:hanging="720"/>
      </w:pPr>
    </w:p>
    <w:p w:rsidR="00D23014" w:rsidRDefault="00A664B5" w:rsidP="00D23014">
      <w:pPr>
        <w:pStyle w:val="ListParagraph"/>
        <w:ind w:left="360" w:hanging="720"/>
      </w:pPr>
      <w:r>
        <w:t xml:space="preserve">Questions &amp; </w:t>
      </w:r>
      <w:r w:rsidR="00897350">
        <w:t>Additional Information Requested</w:t>
      </w:r>
      <w:r w:rsidR="00D23014">
        <w:t>:</w:t>
      </w:r>
    </w:p>
    <w:p w:rsidR="00A85BE5" w:rsidRDefault="00897350" w:rsidP="00897350">
      <w:pPr>
        <w:pStyle w:val="ListParagraph"/>
        <w:numPr>
          <w:ilvl w:val="0"/>
          <w:numId w:val="1"/>
        </w:numPr>
      </w:pPr>
      <w:r>
        <w:t>For each Entergy Operating Company, is AFUDC added to transmission projects’ costs and then capitalized as part of the overall project cost?</w:t>
      </w:r>
      <w:r w:rsidR="00A85BE5">
        <w:t xml:space="preserve"> </w:t>
      </w:r>
      <w:r w:rsidR="00D71A27">
        <w:t xml:space="preserve"> Does the AFUDC calculation follow a retail methodology?</w:t>
      </w:r>
    </w:p>
    <w:p w:rsidR="008E6205" w:rsidRDefault="00A85BE5" w:rsidP="008E6205">
      <w:pPr>
        <w:pStyle w:val="ListParagraph"/>
        <w:numPr>
          <w:ilvl w:val="1"/>
          <w:numId w:val="1"/>
        </w:numPr>
      </w:pPr>
      <w:r>
        <w:t xml:space="preserve">Entergy Response:   </w:t>
      </w:r>
      <w:r w:rsidR="008E6205">
        <w:t>Each Entergy operating company uses the FERC methodology to calculate its</w:t>
      </w:r>
      <w:r w:rsidR="00A664B5">
        <w:t xml:space="preserve"> own</w:t>
      </w:r>
      <w:r w:rsidR="008E6205">
        <w:t xml:space="preserve"> AFUDC rate.  </w:t>
      </w:r>
      <w:r w:rsidR="00A664B5">
        <w:t>Each Entergy</w:t>
      </w:r>
      <w:r w:rsidR="008E6205">
        <w:t xml:space="preserve"> Operating Company’s specific AFUDC rate is applied monthly to </w:t>
      </w:r>
      <w:r w:rsidR="00A664B5">
        <w:t xml:space="preserve">their </w:t>
      </w:r>
      <w:r w:rsidR="008E6205">
        <w:t xml:space="preserve">Construction-Work-In-Progress (CWIP) charges on </w:t>
      </w:r>
      <w:r w:rsidR="00A664B5">
        <w:t xml:space="preserve">their </w:t>
      </w:r>
      <w:r w:rsidR="008E6205">
        <w:t>transmission capital project</w:t>
      </w:r>
      <w:r w:rsidR="00A664B5">
        <w:t>s</w:t>
      </w:r>
      <w:r w:rsidR="008E6205">
        <w:t>.  The CWIP charges are ultimately capitalized to “Plant-In-Service” as those projects are closed to the books.</w:t>
      </w:r>
    </w:p>
    <w:p w:rsidR="008E6205" w:rsidRDefault="008E6205" w:rsidP="008E6205">
      <w:pPr>
        <w:pStyle w:val="ListParagraph"/>
        <w:ind w:left="1080" w:firstLine="0"/>
      </w:pPr>
    </w:p>
    <w:p w:rsidR="00A85BE5" w:rsidRDefault="00A85BE5" w:rsidP="00627804">
      <w:pPr>
        <w:pStyle w:val="ListParagraph"/>
        <w:numPr>
          <w:ilvl w:val="0"/>
          <w:numId w:val="1"/>
        </w:numPr>
      </w:pPr>
      <w:r>
        <w:t>W</w:t>
      </w:r>
      <w:r w:rsidR="00627804">
        <w:t>ould</w:t>
      </w:r>
      <w:r>
        <w:t xml:space="preserve"> Entergy provide Attachment O revenue requirement or transmission forecast data</w:t>
      </w:r>
      <w:r w:rsidR="00627804">
        <w:t xml:space="preserve"> to assist in budget planning?  How many years of forecast information are available?</w:t>
      </w:r>
    </w:p>
    <w:p w:rsidR="00614BD1" w:rsidRDefault="00A664B5" w:rsidP="006E76B3">
      <w:pPr>
        <w:pStyle w:val="ListParagraph"/>
        <w:numPr>
          <w:ilvl w:val="1"/>
          <w:numId w:val="1"/>
        </w:numPr>
      </w:pPr>
      <w:r>
        <w:t>Entergy Response:</w:t>
      </w:r>
      <w:r w:rsidR="00614BD1">
        <w:t xml:space="preserve">  Please </w:t>
      </w:r>
      <w:r w:rsidR="00B54B6D">
        <w:t xml:space="preserve">see </w:t>
      </w:r>
      <w:r w:rsidR="00614BD1">
        <w:t>the below publically available information</w:t>
      </w:r>
      <w:r w:rsidR="00B54B6D">
        <w:t xml:space="preserve"> that could be used to estimate changes to Attachment O rates for the next 3 years</w:t>
      </w:r>
      <w:r w:rsidR="00614BD1">
        <w:t>:</w:t>
      </w:r>
    </w:p>
    <w:p w:rsidR="00614BD1" w:rsidRDefault="00614BD1" w:rsidP="00614BD1">
      <w:pPr>
        <w:pStyle w:val="ListParagraph"/>
        <w:numPr>
          <w:ilvl w:val="2"/>
          <w:numId w:val="1"/>
        </w:numPr>
      </w:pPr>
      <w:r>
        <w:t xml:space="preserve">WP 5 in the Attachment O </w:t>
      </w:r>
      <w:r w:rsidR="00B54B6D">
        <w:t>includes</w:t>
      </w:r>
      <w:r>
        <w:t xml:space="preserve"> 2016 estimated capital additions;</w:t>
      </w:r>
    </w:p>
    <w:p w:rsidR="002450FC" w:rsidRDefault="009E41AD" w:rsidP="00614BD1">
      <w:pPr>
        <w:pStyle w:val="ListParagraph"/>
        <w:numPr>
          <w:ilvl w:val="2"/>
          <w:numId w:val="1"/>
        </w:numPr>
      </w:pPr>
      <w:r>
        <w:t xml:space="preserve">Entergy’s </w:t>
      </w:r>
      <w:r w:rsidR="00614BD1">
        <w:t xml:space="preserve">2016 </w:t>
      </w:r>
      <w:r>
        <w:t>10</w:t>
      </w:r>
      <w:r w:rsidR="002450FC">
        <w:t>-</w:t>
      </w:r>
      <w:r>
        <w:t xml:space="preserve">K for </w:t>
      </w:r>
      <w:r w:rsidR="006E76B3">
        <w:t xml:space="preserve">3 years of transmission construction </w:t>
      </w:r>
      <w:r w:rsidR="00A83E44">
        <w:t xml:space="preserve">expenditures </w:t>
      </w:r>
      <w:r>
        <w:t>forecast information</w:t>
      </w:r>
      <w:r w:rsidR="00614BD1">
        <w:t xml:space="preserve"> by operating company; and,</w:t>
      </w:r>
    </w:p>
    <w:p w:rsidR="00614BD1" w:rsidRDefault="00FF0B5B" w:rsidP="00493AD2">
      <w:pPr>
        <w:pStyle w:val="ListParagraph"/>
        <w:numPr>
          <w:ilvl w:val="3"/>
          <w:numId w:val="1"/>
        </w:numPr>
      </w:pPr>
      <w:hyperlink r:id="rId9" w:history="1">
        <w:r w:rsidR="00614BD1" w:rsidRPr="006A112A">
          <w:rPr>
            <w:rStyle w:val="Hyperlink"/>
          </w:rPr>
          <w:t>http://investor.shareholder.com/entergy/sec.cfm</w:t>
        </w:r>
      </w:hyperlink>
      <w:r w:rsidR="00614BD1">
        <w:t xml:space="preserve">   Use filters of “Annual” in the “View” box and “2016” in the “Year” box.  Select the </w:t>
      </w:r>
      <w:r w:rsidR="00493AD2">
        <w:t xml:space="preserve">2016 </w:t>
      </w:r>
      <w:r w:rsidR="00614BD1">
        <w:t>10-K fro</w:t>
      </w:r>
      <w:r w:rsidR="00493AD2">
        <w:t xml:space="preserve">m the results list. </w:t>
      </w:r>
    </w:p>
    <w:p w:rsidR="00614BD1" w:rsidRDefault="00614BD1" w:rsidP="00614BD1">
      <w:pPr>
        <w:pStyle w:val="ListParagraph"/>
        <w:numPr>
          <w:ilvl w:val="2"/>
          <w:numId w:val="1"/>
        </w:numPr>
      </w:pPr>
      <w:r>
        <w:t xml:space="preserve">Page 76 of 95 in the June 9, 2016 archived presentation of the Entergy Analyst Day at </w:t>
      </w:r>
      <w:hyperlink r:id="rId10" w:history="1">
        <w:r w:rsidRPr="006A112A">
          <w:rPr>
            <w:rStyle w:val="Hyperlink"/>
          </w:rPr>
          <w:t>http://investor.shareholder.com/entergy/events.cfm</w:t>
        </w:r>
      </w:hyperlink>
    </w:p>
    <w:p w:rsidR="008E0A9E" w:rsidRDefault="008E0A9E" w:rsidP="00493AD2">
      <w:pPr>
        <w:ind w:left="0" w:firstLine="0"/>
      </w:pPr>
    </w:p>
    <w:p w:rsidR="008E0A9E" w:rsidRDefault="008E0A9E" w:rsidP="008E0A9E">
      <w:pPr>
        <w:pStyle w:val="ListParagraph"/>
        <w:numPr>
          <w:ilvl w:val="0"/>
          <w:numId w:val="1"/>
        </w:numPr>
      </w:pPr>
      <w:r>
        <w:t xml:space="preserve">Would Entergy provide a worksheet with </w:t>
      </w:r>
      <w:r w:rsidR="001B0DDF">
        <w:t xml:space="preserve">WP01 </w:t>
      </w:r>
      <w:r>
        <w:t>imputed revenue calculations?</w:t>
      </w:r>
    </w:p>
    <w:p w:rsidR="008E0A9E" w:rsidRDefault="00D92576" w:rsidP="008E0A9E">
      <w:pPr>
        <w:pStyle w:val="ListParagraph"/>
        <w:numPr>
          <w:ilvl w:val="1"/>
          <w:numId w:val="1"/>
        </w:numPr>
      </w:pPr>
      <w:r>
        <w:t>Entergy Response:</w:t>
      </w:r>
      <w:r w:rsidR="009B04CB">
        <w:t xml:space="preserve">  </w:t>
      </w:r>
      <w:r w:rsidR="00493AD2">
        <w:t xml:space="preserve">A </w:t>
      </w:r>
      <w:r w:rsidR="009B04CB">
        <w:t xml:space="preserve">worksheet </w:t>
      </w:r>
      <w:r w:rsidR="00493AD2">
        <w:t xml:space="preserve">with formulas intact </w:t>
      </w:r>
      <w:r w:rsidR="009B04CB">
        <w:t xml:space="preserve">is </w:t>
      </w:r>
      <w:r w:rsidR="00493AD2">
        <w:t>included with these notes.</w:t>
      </w:r>
    </w:p>
    <w:p w:rsidR="001B0DDF" w:rsidRDefault="001B0DDF" w:rsidP="001B0DDF">
      <w:pPr>
        <w:pStyle w:val="ListParagraph"/>
        <w:ind w:left="1080" w:firstLine="0"/>
      </w:pPr>
    </w:p>
    <w:p w:rsidR="001B0DDF" w:rsidRDefault="001B0DDF" w:rsidP="001B0DDF">
      <w:pPr>
        <w:pStyle w:val="ListParagraph"/>
        <w:numPr>
          <w:ilvl w:val="0"/>
          <w:numId w:val="1"/>
        </w:numPr>
      </w:pPr>
      <w:r>
        <w:t xml:space="preserve">For EMI and ETI, why </w:t>
      </w:r>
      <w:r w:rsidR="002450FC">
        <w:t xml:space="preserve">did </w:t>
      </w:r>
      <w:r>
        <w:t xml:space="preserve">the WP04 General </w:t>
      </w:r>
      <w:r w:rsidR="00662E97">
        <w:t xml:space="preserve">Plant </w:t>
      </w:r>
      <w:r>
        <w:t xml:space="preserve">Accumulated Depreciation balances change </w:t>
      </w:r>
      <w:r w:rsidR="002450FC">
        <w:t>so much?</w:t>
      </w:r>
    </w:p>
    <w:p w:rsidR="001B0DDF" w:rsidRDefault="008508D8" w:rsidP="001B0DD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</w:pPr>
      <w:r>
        <w:lastRenderedPageBreak/>
        <w:t xml:space="preserve">Entergy Response:  The primary driver was that </w:t>
      </w:r>
      <w:r w:rsidR="00493AD2">
        <w:t>E</w:t>
      </w:r>
      <w:r>
        <w:t xml:space="preserve">ntergy </w:t>
      </w:r>
      <w:r w:rsidR="00D8461D">
        <w:t>applie</w:t>
      </w:r>
      <w:r>
        <w:t>d</w:t>
      </w:r>
      <w:r w:rsidR="00D8461D">
        <w:t xml:space="preserve"> </w:t>
      </w:r>
      <w:r>
        <w:t xml:space="preserve">FERC Accounting Rule </w:t>
      </w:r>
      <w:r w:rsidR="00D8461D">
        <w:t>AR15</w:t>
      </w:r>
      <w:r w:rsidR="00D8461D">
        <w:rPr>
          <w:rStyle w:val="FootnoteReference"/>
        </w:rPr>
        <w:footnoteReference w:id="1"/>
      </w:r>
      <w:r w:rsidR="00D8461D">
        <w:t xml:space="preserve"> to</w:t>
      </w:r>
      <w:r w:rsidR="00493AD2">
        <w:t xml:space="preserve"> </w:t>
      </w:r>
      <w:r>
        <w:t>the a</w:t>
      </w:r>
      <w:r w:rsidR="00FF0B5B">
        <w:t>pplicable</w:t>
      </w:r>
      <w:r>
        <w:t xml:space="preserve"> </w:t>
      </w:r>
      <w:r w:rsidR="00FF0B5B">
        <w:t xml:space="preserve">portions </w:t>
      </w:r>
      <w:r>
        <w:t xml:space="preserve">of </w:t>
      </w:r>
      <w:r w:rsidR="00662E97">
        <w:t xml:space="preserve">General Plant </w:t>
      </w:r>
      <w:r>
        <w:t>assets</w:t>
      </w:r>
      <w:r w:rsidR="00FF0B5B">
        <w:t xml:space="preserve"> in EMI and ETI.   Additional information has been requested and this response may be </w:t>
      </w:r>
      <w:bookmarkStart w:id="0" w:name="_GoBack"/>
      <w:bookmarkEnd w:id="0"/>
      <w:r w:rsidR="00FF0B5B">
        <w:t>updated.</w:t>
      </w:r>
      <w:r w:rsidR="006267E1">
        <w:t xml:space="preserve"> </w:t>
      </w:r>
    </w:p>
    <w:p w:rsidR="001B0DDF" w:rsidRDefault="001B0DDF" w:rsidP="001B0DDF">
      <w:pPr>
        <w:pStyle w:val="ListParagraph"/>
        <w:ind w:left="1080" w:firstLine="0"/>
      </w:pPr>
    </w:p>
    <w:p w:rsidR="001B0DDF" w:rsidRDefault="001B0DDF" w:rsidP="001B0DDF">
      <w:pPr>
        <w:pStyle w:val="ListParagraph"/>
        <w:numPr>
          <w:ilvl w:val="0"/>
          <w:numId w:val="1"/>
        </w:numPr>
      </w:pPr>
      <w:r>
        <w:t xml:space="preserve">For ETI, why </w:t>
      </w:r>
      <w:r w:rsidR="002450FC">
        <w:t xml:space="preserve">did </w:t>
      </w:r>
      <w:r w:rsidR="009B04CB">
        <w:t xml:space="preserve">the WP06 ADIT </w:t>
      </w:r>
      <w:r w:rsidR="002450FC">
        <w:t>Account 190</w:t>
      </w:r>
      <w:r w:rsidR="009B04CB">
        <w:softHyphen/>
      </w:r>
      <w:r w:rsidR="009B04CB">
        <w:softHyphen/>
      </w:r>
      <w:r w:rsidR="009B04CB">
        <w:softHyphen/>
      </w:r>
      <w:r w:rsidR="00B54B6D">
        <w:t>221 and 190222</w:t>
      </w:r>
      <w:r w:rsidR="002450FC">
        <w:t xml:space="preserve"> change from </w:t>
      </w:r>
      <w:r w:rsidR="00B47EE5">
        <w:t>the “</w:t>
      </w:r>
      <w:r w:rsidR="002450FC">
        <w:t>Labor</w:t>
      </w:r>
      <w:r w:rsidR="00B47EE5">
        <w:t>” function</w:t>
      </w:r>
      <w:r w:rsidR="002450FC">
        <w:t xml:space="preserve"> to </w:t>
      </w:r>
      <w:r w:rsidR="00B47EE5">
        <w:t>the “</w:t>
      </w:r>
      <w:r w:rsidR="00B54B6D">
        <w:t>Other</w:t>
      </w:r>
      <w:r w:rsidR="00B47EE5">
        <w:t>” function</w:t>
      </w:r>
      <w:r w:rsidR="00B54B6D">
        <w:t>?</w:t>
      </w:r>
      <w:r>
        <w:t xml:space="preserve"> </w:t>
      </w:r>
    </w:p>
    <w:p w:rsidR="00051200" w:rsidRDefault="00D92576" w:rsidP="00051200">
      <w:pPr>
        <w:pStyle w:val="ListParagraph"/>
        <w:numPr>
          <w:ilvl w:val="1"/>
          <w:numId w:val="1"/>
        </w:numPr>
      </w:pPr>
      <w:r>
        <w:t xml:space="preserve">Entergy Response: </w:t>
      </w:r>
      <w:r w:rsidR="00B54B6D">
        <w:t xml:space="preserve">That change was inadvertent </w:t>
      </w:r>
      <w:r w:rsidR="00B47EE5">
        <w:t>and incorrect with regard to ETI’s</w:t>
      </w:r>
      <w:r w:rsidR="00B54B6D">
        <w:t xml:space="preserve"> filed template.  </w:t>
      </w:r>
      <w:r w:rsidR="0009660B">
        <w:t xml:space="preserve">However, ETI’s filed template is inconsistent with the Attachment O settlement and </w:t>
      </w:r>
      <w:r w:rsidR="00B47EE5">
        <w:t xml:space="preserve">with </w:t>
      </w:r>
      <w:r w:rsidR="0009660B">
        <w:t>the other Entergy operating companies’ Attachment O templates.  En</w:t>
      </w:r>
      <w:r w:rsidR="00B54B6D">
        <w:t xml:space="preserve">tergy </w:t>
      </w:r>
      <w:r w:rsidR="00B47EE5">
        <w:t>will correct the ETI template in a FERC filing.</w:t>
      </w:r>
      <w:r w:rsidR="00B54B6D">
        <w:t xml:space="preserve"> </w:t>
      </w:r>
    </w:p>
    <w:p w:rsidR="001B0DDF" w:rsidRDefault="0009660B" w:rsidP="0009660B">
      <w:pPr>
        <w:pStyle w:val="ListParagraph"/>
        <w:tabs>
          <w:tab w:val="left" w:pos="5705"/>
        </w:tabs>
        <w:ind w:left="360" w:firstLine="0"/>
      </w:pPr>
      <w:r>
        <w:tab/>
      </w:r>
    </w:p>
    <w:p w:rsidR="00D23014" w:rsidRDefault="00D23014" w:rsidP="00D23014">
      <w:pPr>
        <w:pStyle w:val="ListParagraph"/>
        <w:ind w:left="360" w:firstLine="0"/>
      </w:pPr>
    </w:p>
    <w:p w:rsidR="006C7F6C" w:rsidRDefault="006C7F6C" w:rsidP="006C7F6C">
      <w:pPr>
        <w:pStyle w:val="ListParagraph"/>
        <w:ind w:left="360" w:firstLine="0"/>
      </w:pPr>
    </w:p>
    <w:sectPr w:rsidR="006C7F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B2" w:rsidRDefault="004724B2" w:rsidP="004724B2">
      <w:pPr>
        <w:spacing w:line="240" w:lineRule="auto"/>
      </w:pPr>
      <w:r>
        <w:separator/>
      </w:r>
    </w:p>
  </w:endnote>
  <w:endnote w:type="continuationSeparator" w:id="0">
    <w:p w:rsidR="004724B2" w:rsidRDefault="004724B2" w:rsidP="00472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B2" w:rsidRDefault="004724B2">
    <w:pPr>
      <w:pStyle w:val="Footer"/>
      <w:jc w:val="right"/>
    </w:pPr>
    <w:r>
      <w:t xml:space="preserve"> Page </w:t>
    </w:r>
    <w:sdt>
      <w:sdtPr>
        <w:id w:val="15345413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B5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724B2" w:rsidRDefault="00472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B2" w:rsidRDefault="004724B2" w:rsidP="004724B2">
      <w:pPr>
        <w:spacing w:line="240" w:lineRule="auto"/>
      </w:pPr>
      <w:r>
        <w:separator/>
      </w:r>
    </w:p>
  </w:footnote>
  <w:footnote w:type="continuationSeparator" w:id="0">
    <w:p w:rsidR="004724B2" w:rsidRDefault="004724B2" w:rsidP="004724B2">
      <w:pPr>
        <w:spacing w:line="240" w:lineRule="auto"/>
      </w:pPr>
      <w:r>
        <w:continuationSeparator/>
      </w:r>
    </w:p>
  </w:footnote>
  <w:footnote w:id="1">
    <w:p w:rsidR="00D8461D" w:rsidRDefault="00D8461D" w:rsidP="00AC7D0A">
      <w:pPr>
        <w:autoSpaceDE w:val="0"/>
        <w:autoSpaceDN w:val="0"/>
        <w:adjustRightInd w:val="0"/>
        <w:spacing w:line="240" w:lineRule="auto"/>
        <w:ind w:left="1080" w:hanging="180"/>
      </w:pPr>
      <w:r>
        <w:rPr>
          <w:rStyle w:val="FootnoteReference"/>
        </w:rPr>
        <w:footnoteRef/>
      </w:r>
      <w:r w:rsidR="008508D8">
        <w:t xml:space="preserve"> </w:t>
      </w:r>
      <w:r>
        <w:t xml:space="preserve">FERC Accounting Release 15, January 1, 1997 for General Plant Accounts 391-398.  </w:t>
      </w:r>
      <w:r w:rsidRPr="00AC7D0A">
        <w:rPr>
          <w:rFonts w:cstheme="minorHAnsi"/>
        </w:rPr>
        <w:t xml:space="preserve">It </w:t>
      </w:r>
      <w:r w:rsidR="00AC7D0A" w:rsidRPr="00AC7D0A">
        <w:rPr>
          <w:rFonts w:cstheme="minorHAnsi"/>
        </w:rPr>
        <w:t>is a</w:t>
      </w:r>
      <w:r w:rsidRPr="00D8461D">
        <w:rPr>
          <w:rFonts w:cstheme="minorHAnsi"/>
        </w:rPr>
        <w:t xml:space="preserve"> simplified method of accounting for general plant</w:t>
      </w:r>
      <w:r w:rsidRPr="00AC7D0A">
        <w:rPr>
          <w:rFonts w:cstheme="minorHAnsi"/>
        </w:rPr>
        <w:t xml:space="preserve"> assets, exclud</w:t>
      </w:r>
      <w:r w:rsidR="008508D8">
        <w:rPr>
          <w:rFonts w:cstheme="minorHAnsi"/>
        </w:rPr>
        <w:t xml:space="preserve">ing structures and </w:t>
      </w:r>
      <w:proofErr w:type="gramStart"/>
      <w:r w:rsidR="008508D8">
        <w:rPr>
          <w:rFonts w:cstheme="minorHAnsi"/>
        </w:rPr>
        <w:t xml:space="preserve">improvements, </w:t>
      </w:r>
      <w:r w:rsidR="00AC7D0A" w:rsidRPr="00AC7D0A">
        <w:rPr>
          <w:rFonts w:cstheme="minorHAnsi"/>
        </w:rPr>
        <w:t xml:space="preserve">which </w:t>
      </w:r>
      <w:r w:rsidRPr="00AC7D0A">
        <w:rPr>
          <w:rFonts w:cstheme="minorHAnsi"/>
        </w:rPr>
        <w:t>allows</w:t>
      </w:r>
      <w:proofErr w:type="gramEnd"/>
      <w:r w:rsidRPr="00AC7D0A">
        <w:rPr>
          <w:rFonts w:cstheme="minorHAnsi"/>
        </w:rPr>
        <w:t xml:space="preserve"> high volume, low</w:t>
      </w:r>
      <w:r w:rsidRPr="00D8461D">
        <w:rPr>
          <w:rFonts w:cstheme="minorHAnsi"/>
        </w:rPr>
        <w:t xml:space="preserve"> cost assets to be amortized over their associated useful life, eliminated the need to track individual assets, and allowed a retirement to be booked at the end of the depreciable life.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B2" w:rsidRPr="004724B2" w:rsidRDefault="004724B2" w:rsidP="004724B2">
    <w:pPr>
      <w:ind w:left="0"/>
      <w:jc w:val="center"/>
    </w:pPr>
    <w:r w:rsidRPr="004724B2">
      <w:t>Entergy 2016 Attachment O Annual Meeting Notes</w:t>
    </w:r>
  </w:p>
  <w:p w:rsidR="004724B2" w:rsidRPr="004724B2" w:rsidRDefault="004724B2" w:rsidP="004724B2">
    <w:pPr>
      <w:ind w:left="0"/>
      <w:jc w:val="center"/>
    </w:pPr>
    <w:r w:rsidRPr="004724B2">
      <w:t>August 4, 2016</w:t>
    </w:r>
  </w:p>
  <w:p w:rsidR="004724B2" w:rsidRDefault="00472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C1"/>
    <w:multiLevelType w:val="hybridMultilevel"/>
    <w:tmpl w:val="2420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6C"/>
    <w:rsid w:val="00051200"/>
    <w:rsid w:val="0009660B"/>
    <w:rsid w:val="000A71ED"/>
    <w:rsid w:val="00174069"/>
    <w:rsid w:val="001B0DDF"/>
    <w:rsid w:val="001E6CCD"/>
    <w:rsid w:val="0023424C"/>
    <w:rsid w:val="002450FC"/>
    <w:rsid w:val="004724B2"/>
    <w:rsid w:val="00493AD2"/>
    <w:rsid w:val="00501B94"/>
    <w:rsid w:val="00586E1F"/>
    <w:rsid w:val="00614BD1"/>
    <w:rsid w:val="006267E1"/>
    <w:rsid w:val="00627804"/>
    <w:rsid w:val="00662E97"/>
    <w:rsid w:val="006C7F6C"/>
    <w:rsid w:val="006E76B3"/>
    <w:rsid w:val="008508D8"/>
    <w:rsid w:val="00897350"/>
    <w:rsid w:val="008E0A9E"/>
    <w:rsid w:val="008E6205"/>
    <w:rsid w:val="009B04CB"/>
    <w:rsid w:val="009E41AD"/>
    <w:rsid w:val="00A664B5"/>
    <w:rsid w:val="00A83E44"/>
    <w:rsid w:val="00A85BE5"/>
    <w:rsid w:val="00AC7D0A"/>
    <w:rsid w:val="00B47EE5"/>
    <w:rsid w:val="00B54B6D"/>
    <w:rsid w:val="00D23014"/>
    <w:rsid w:val="00D3497F"/>
    <w:rsid w:val="00D71A27"/>
    <w:rsid w:val="00D8461D"/>
    <w:rsid w:val="00D8751B"/>
    <w:rsid w:val="00D92576"/>
    <w:rsid w:val="00E0154D"/>
    <w:rsid w:val="00F73EE6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6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B2"/>
  </w:style>
  <w:style w:type="paragraph" w:styleId="Footer">
    <w:name w:val="footer"/>
    <w:basedOn w:val="Normal"/>
    <w:link w:val="FooterChar"/>
    <w:uiPriority w:val="99"/>
    <w:unhideWhenUsed/>
    <w:rsid w:val="00472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B2"/>
  </w:style>
  <w:style w:type="character" w:customStyle="1" w:styleId="Heading1Char">
    <w:name w:val="Heading 1 Char"/>
    <w:basedOn w:val="DefaultParagraphFont"/>
    <w:link w:val="Heading1"/>
    <w:uiPriority w:val="9"/>
    <w:rsid w:val="00D8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6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6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B2"/>
  </w:style>
  <w:style w:type="paragraph" w:styleId="Footer">
    <w:name w:val="footer"/>
    <w:basedOn w:val="Normal"/>
    <w:link w:val="FooterChar"/>
    <w:uiPriority w:val="99"/>
    <w:unhideWhenUsed/>
    <w:rsid w:val="00472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B2"/>
  </w:style>
  <w:style w:type="character" w:customStyle="1" w:styleId="Heading1Char">
    <w:name w:val="Heading 1 Char"/>
    <w:basedOn w:val="DefaultParagraphFont"/>
    <w:link w:val="Heading1"/>
    <w:uiPriority w:val="9"/>
    <w:rsid w:val="00D84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6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6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vestor.shareholder.com/entergy/events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vestor.shareholder.com/entergy/sec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6ACA-7622-4A30-AFDF-F4696A42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lsande2</dc:creator>
  <cp:lastModifiedBy>lsande2</cp:lastModifiedBy>
  <cp:revision>13</cp:revision>
  <cp:lastPrinted>2016-08-04T18:58:00Z</cp:lastPrinted>
  <dcterms:created xsi:type="dcterms:W3CDTF">2016-08-04T17:08:00Z</dcterms:created>
  <dcterms:modified xsi:type="dcterms:W3CDTF">2016-08-18T14:16:00Z</dcterms:modified>
</cp:coreProperties>
</file>