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r>
        <w:t>MISO TOs Annual Rate Update</w:t>
      </w:r>
    </w:p>
    <w:p w:rsidR="00DB78BD" w:rsidRDefault="00DB78BD" w:rsidP="00DB78BD">
      <w:pPr>
        <w:jc w:val="center"/>
      </w:pPr>
      <w:r>
        <w:t>Accounting Changes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515AB5">
            <w:r>
              <w:t>Entergy Services filing on behalf of EAI,</w:t>
            </w:r>
            <w:bookmarkStart w:id="0" w:name="_GoBack"/>
            <w:bookmarkEnd w:id="0"/>
            <w:r>
              <w:t xml:space="preserve">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DB78BD" w:rsidRDefault="006C37D1" w:rsidP="00DB78BD">
            <w:r>
              <w:t>December 2016</w:t>
            </w:r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II.D.8</w:t>
      </w:r>
      <w:r>
        <w:rPr>
          <w:szCs w:val="24"/>
        </w:rPr>
        <w:t>.</w:t>
      </w:r>
      <w:r>
        <w:rPr>
          <w:szCs w:val="24"/>
        </w:rPr>
        <w:tab/>
        <w:t>With respect to any change in accounting that affects inputs to the formula rate or the resulting charges billed under the formula rate (“Accounting Change”):</w:t>
      </w:r>
    </w:p>
    <w:p w:rsidR="00DB78BD" w:rsidRDefault="004666CE" w:rsidP="004666CE">
      <w:pPr>
        <w:ind w:left="630"/>
      </w:pPr>
      <w:r>
        <w:rPr>
          <w:szCs w:val="24"/>
        </w:rPr>
        <w:t>a.</w:t>
      </w:r>
      <w:r>
        <w:rPr>
          <w:szCs w:val="24"/>
        </w:rPr>
        <w:tab/>
        <w:t>Identify any Accounting Changes, including</w:t>
      </w:r>
    </w:p>
    <w:p w:rsidR="00DB78BD" w:rsidRDefault="00DB78BD" w:rsidP="00DB78BD"/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666CE" w:rsidTr="00471EC9">
        <w:tc>
          <w:tcPr>
            <w:tcW w:w="741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The initial implementation of an accounting standard or policy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Pr="00867A80" w:rsidRDefault="00D450C4" w:rsidP="0013666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4666CE" w:rsidRPr="00783AB0" w:rsidTr="00471EC9">
        <w:tc>
          <w:tcPr>
            <w:tcW w:w="741" w:type="dxa"/>
            <w:shd w:val="clear" w:color="auto" w:fill="D9D9D9" w:themeFill="background1" w:themeFillShade="D9"/>
          </w:tcPr>
          <w:p w:rsidR="004666CE" w:rsidRPr="00783AB0" w:rsidRDefault="00783AB0" w:rsidP="00DB78BD">
            <w:pPr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Pr="00783AB0" w:rsidRDefault="00783AB0" w:rsidP="00783AB0">
            <w:pPr>
              <w:rPr>
                <w:szCs w:val="24"/>
              </w:rPr>
            </w:pPr>
            <w:r>
              <w:rPr>
                <w:szCs w:val="24"/>
              </w:rPr>
              <w:t>The initial implementation of accounting practices for unusual or unconventional items where FERC has not provided specific accounting direction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426A13" w:rsidRPr="00783AB0" w:rsidRDefault="00D450C4" w:rsidP="0015048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4666CE" w:rsidTr="00471EC9">
        <w:tc>
          <w:tcPr>
            <w:tcW w:w="741" w:type="dxa"/>
            <w:shd w:val="clear" w:color="auto" w:fill="D9D9D9" w:themeFill="background1" w:themeFillShade="D9"/>
          </w:tcPr>
          <w:p w:rsidR="004666CE" w:rsidRDefault="00783AB0" w:rsidP="00DB78BD">
            <w:r>
              <w:t>iii.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Correction of errors and prior period adjustments that impact the revenue requirement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D450C4" w:rsidRPr="00822EA5" w:rsidRDefault="00D450C4" w:rsidP="00822EA5">
            <w:pPr>
              <w:pStyle w:val="ListParagraph"/>
              <w:numPr>
                <w:ilvl w:val="0"/>
                <w:numId w:val="1"/>
              </w:numPr>
            </w:pPr>
            <w:r w:rsidRPr="00822EA5">
              <w:t xml:space="preserve">In 2016, the allocation of an outside contractor cost for the CCS system was corrected.  EMI was charged 100% of the costs that should have been allocated to EAI, ELL, EMI, and ENOI.  </w:t>
            </w:r>
          </w:p>
          <w:p w:rsidR="00783AB0" w:rsidRPr="00FC6D82" w:rsidRDefault="00783AB0" w:rsidP="006C37D1">
            <w:pPr>
              <w:pStyle w:val="ListParagraph"/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shd w:val="clear" w:color="auto" w:fill="D9D9D9" w:themeFill="background1" w:themeFillShade="D9"/>
          </w:tcPr>
          <w:p w:rsidR="00783AB0" w:rsidRDefault="002D0E3C" w:rsidP="00DB78BD">
            <w:r>
              <w:t>iv.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783AB0" w:rsidRDefault="00783AB0" w:rsidP="00783AB0">
            <w:pPr>
              <w:rPr>
                <w:szCs w:val="24"/>
              </w:rPr>
            </w:pPr>
            <w:r>
              <w:rPr>
                <w:szCs w:val="24"/>
              </w:rPr>
              <w:t>The implementation of new estimation methods or policies that change prior estimates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6C37D1" w:rsidRDefault="00D450C4" w:rsidP="006C37D1">
            <w:pPr>
              <w:numPr>
                <w:ilvl w:val="0"/>
                <w:numId w:val="1"/>
              </w:numPr>
            </w:pPr>
            <w:r>
              <w:t>None</w:t>
            </w:r>
          </w:p>
          <w:p w:rsidR="00CB40E6" w:rsidRPr="006C37D1" w:rsidRDefault="00CB40E6" w:rsidP="006C37D1">
            <w:pPr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shd w:val="clear" w:color="auto" w:fill="D9D9D9" w:themeFill="background1" w:themeFillShade="D9"/>
          </w:tcPr>
          <w:p w:rsidR="00783AB0" w:rsidRDefault="00783AB0" w:rsidP="00DB78BD">
            <w:r>
              <w:t>v.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783AB0" w:rsidRDefault="00471EC9" w:rsidP="00DB78BD">
            <w:pPr>
              <w:rPr>
                <w:szCs w:val="24"/>
              </w:rPr>
            </w:pPr>
            <w:r>
              <w:rPr>
                <w:szCs w:val="24"/>
              </w:rPr>
              <w:t>Changes to income tax elections</w:t>
            </w:r>
          </w:p>
        </w:tc>
      </w:tr>
      <w:tr w:rsidR="00783AB0" w:rsidTr="00471EC9">
        <w:tc>
          <w:tcPr>
            <w:tcW w:w="741" w:type="dxa"/>
          </w:tcPr>
          <w:p w:rsidR="00783AB0" w:rsidRDefault="00783AB0" w:rsidP="00DB78BD"/>
        </w:tc>
        <w:tc>
          <w:tcPr>
            <w:tcW w:w="7269" w:type="dxa"/>
          </w:tcPr>
          <w:p w:rsidR="00783AB0" w:rsidRPr="00822EA5" w:rsidRDefault="00F459D6" w:rsidP="00822EA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22EA5">
              <w:rPr>
                <w:szCs w:val="24"/>
              </w:rPr>
              <w:t>Elected Mark to Market for Entergy Louisiana effective 2016 return</w:t>
            </w:r>
          </w:p>
        </w:tc>
      </w:tr>
    </w:tbl>
    <w:p w:rsidR="00DB78BD" w:rsidRDefault="00DB78BD" w:rsidP="00DB78BD"/>
    <w:p w:rsidR="00471EC9" w:rsidRDefault="00DB78BD" w:rsidP="00471EC9">
      <w:pPr>
        <w:ind w:left="1440" w:hanging="81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Identify items included in the formula rate at an amount other than on a historic cost basis (e.g., fair value adjustments)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471EC9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471EC9" w:rsidRDefault="00F459D6" w:rsidP="000155D8">
            <w:r>
              <w:t>N/A</w:t>
            </w:r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471EC9" w:rsidRDefault="00DB78BD" w:rsidP="00471EC9">
      <w:pPr>
        <w:ind w:left="1440" w:hanging="81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Identify any reorganization or merger transaction during the previous year and explain the effect of the accounting for such transaction(s) on inputs to the formula rate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0155D8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471EC9" w:rsidRDefault="00F459D6" w:rsidP="006C37D1">
            <w:pPr>
              <w:pStyle w:val="ListParagraph"/>
            </w:pPr>
            <w:r>
              <w:t>N/A</w:t>
            </w:r>
          </w:p>
        </w:tc>
      </w:tr>
    </w:tbl>
    <w:p w:rsidR="00D82B4E" w:rsidRDefault="00D82B4E" w:rsidP="00471EC9">
      <w:pPr>
        <w:ind w:left="1440" w:hanging="810"/>
        <w:rPr>
          <w:szCs w:val="24"/>
        </w:rPr>
      </w:pPr>
    </w:p>
    <w:p w:rsidR="00D82B4E" w:rsidRDefault="00D82B4E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471EC9" w:rsidRDefault="00471EC9" w:rsidP="00471EC9">
      <w:pPr>
        <w:ind w:left="1440" w:hanging="810"/>
        <w:rPr>
          <w:szCs w:val="24"/>
        </w:rPr>
      </w:pPr>
    </w:p>
    <w:p w:rsidR="00DB78BD" w:rsidRDefault="00DB78BD" w:rsidP="00471EC9">
      <w:pPr>
        <w:ind w:left="1440" w:hanging="810"/>
        <w:rPr>
          <w:szCs w:val="24"/>
        </w:rPr>
      </w:pPr>
      <w:r>
        <w:rPr>
          <w:szCs w:val="24"/>
        </w:rPr>
        <w:t>d.</w:t>
      </w:r>
      <w:r w:rsidR="00471EC9">
        <w:rPr>
          <w:szCs w:val="24"/>
        </w:rPr>
        <w:tab/>
      </w:r>
      <w:r>
        <w:rPr>
          <w:szCs w:val="24"/>
        </w:rPr>
        <w:t>Provide, for each item identified pursuant to items II.D.8.a - II.D.8.c of these protocols, a narrative explanation of the individual impact of such changes on charges billed under the formula rate.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0155D8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822EA5" w:rsidRPr="00D82B4E" w:rsidRDefault="00822EA5" w:rsidP="00D82B4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D82B4E">
              <w:rPr>
                <w:szCs w:val="24"/>
              </w:rPr>
              <w:t>The prior period adjustment identified in item II.D.8.a.</w:t>
            </w:r>
            <w:r w:rsidR="00D82B4E">
              <w:rPr>
                <w:szCs w:val="24"/>
              </w:rPr>
              <w:t>iii</w:t>
            </w:r>
            <w:r w:rsidRPr="00D82B4E">
              <w:rPr>
                <w:szCs w:val="24"/>
              </w:rPr>
              <w:t>:</w:t>
            </w:r>
          </w:p>
          <w:p w:rsidR="00822EA5" w:rsidRPr="00D82B4E" w:rsidRDefault="00822EA5" w:rsidP="00822EA5">
            <w:pPr>
              <w:pStyle w:val="ListParagraph"/>
              <w:rPr>
                <w:szCs w:val="24"/>
              </w:rPr>
            </w:pPr>
            <w:r w:rsidRPr="00D82B4E">
              <w:rPr>
                <w:szCs w:val="24"/>
              </w:rPr>
              <w:t>EAI $396,678 to account 923</w:t>
            </w:r>
          </w:p>
          <w:p w:rsidR="00822EA5" w:rsidRPr="00D82B4E" w:rsidRDefault="00822EA5" w:rsidP="00822EA5">
            <w:pPr>
              <w:pStyle w:val="ListParagraph"/>
              <w:rPr>
                <w:szCs w:val="24"/>
              </w:rPr>
            </w:pPr>
            <w:r w:rsidRPr="00D82B4E">
              <w:rPr>
                <w:szCs w:val="24"/>
              </w:rPr>
              <w:t>ELL $544,764 to account 923</w:t>
            </w:r>
          </w:p>
          <w:p w:rsidR="00822EA5" w:rsidRPr="00D82B4E" w:rsidRDefault="00822EA5" w:rsidP="00822EA5">
            <w:pPr>
              <w:pStyle w:val="ListParagraph"/>
              <w:rPr>
                <w:szCs w:val="24"/>
              </w:rPr>
            </w:pPr>
            <w:r w:rsidRPr="00D82B4E">
              <w:rPr>
                <w:szCs w:val="24"/>
              </w:rPr>
              <w:t>ENOI $159,708 to account 923</w:t>
            </w:r>
          </w:p>
          <w:p w:rsidR="00822EA5" w:rsidRDefault="00822EA5" w:rsidP="00822EA5">
            <w:pPr>
              <w:pStyle w:val="ListParagraph"/>
              <w:rPr>
                <w:szCs w:val="24"/>
              </w:rPr>
            </w:pPr>
            <w:r w:rsidRPr="00D82B4E">
              <w:rPr>
                <w:szCs w:val="24"/>
              </w:rPr>
              <w:t>EMI ($1,212,150) to account 923</w:t>
            </w:r>
          </w:p>
          <w:p w:rsidR="00822EA5" w:rsidRDefault="00822EA5" w:rsidP="00822EA5">
            <w:pPr>
              <w:pStyle w:val="ListParagraph"/>
              <w:rPr>
                <w:szCs w:val="24"/>
              </w:rPr>
            </w:pPr>
          </w:p>
          <w:p w:rsidR="00D82B4E" w:rsidRPr="00D82B4E" w:rsidRDefault="00D82B4E" w:rsidP="00D82B4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D82B4E">
              <w:rPr>
                <w:szCs w:val="24"/>
              </w:rPr>
              <w:t>The prior period adjustment identified in item II.D.8.a.v:</w:t>
            </w:r>
          </w:p>
          <w:p w:rsidR="00EE6CA1" w:rsidRPr="00D82B4E" w:rsidRDefault="00F459D6" w:rsidP="00D82B4E">
            <w:pPr>
              <w:ind w:left="771"/>
              <w:rPr>
                <w:szCs w:val="24"/>
              </w:rPr>
            </w:pPr>
            <w:r w:rsidRPr="00D82B4E">
              <w:rPr>
                <w:szCs w:val="24"/>
              </w:rPr>
              <w:t>For tax year 2016 and forward, Entergy Louisiana will employ for tax purposes an adjustment for mark-to-market on energy contracts.  This will either increase or decrease current taxes payable each year with an off</w:t>
            </w:r>
            <w:r w:rsidR="002D0E3C" w:rsidRPr="00D82B4E">
              <w:rPr>
                <w:szCs w:val="24"/>
              </w:rPr>
              <w:t xml:space="preserve">-setting </w:t>
            </w:r>
            <w:r w:rsidRPr="00D82B4E">
              <w:rPr>
                <w:szCs w:val="24"/>
              </w:rPr>
              <w:t>ADIT balance being recorded.  The initial effect on current tax payable will be a decrease for 2016.</w:t>
            </w:r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62534E" w:rsidRDefault="0062534E"/>
    <w:sectPr w:rsidR="0062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0C2"/>
    <w:multiLevelType w:val="hybridMultilevel"/>
    <w:tmpl w:val="DF4CF7DC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92783"/>
    <w:multiLevelType w:val="hybridMultilevel"/>
    <w:tmpl w:val="132E4D5A"/>
    <w:lvl w:ilvl="0" w:tplc="EFECBB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106A17"/>
    <w:rsid w:val="0013666E"/>
    <w:rsid w:val="0015048D"/>
    <w:rsid w:val="00181C40"/>
    <w:rsid w:val="0021166B"/>
    <w:rsid w:val="00296535"/>
    <w:rsid w:val="002D0E3C"/>
    <w:rsid w:val="002E216D"/>
    <w:rsid w:val="003B4900"/>
    <w:rsid w:val="003B6D5B"/>
    <w:rsid w:val="004250DA"/>
    <w:rsid w:val="004268C2"/>
    <w:rsid w:val="00426A13"/>
    <w:rsid w:val="004666CE"/>
    <w:rsid w:val="00471EC9"/>
    <w:rsid w:val="00486D7D"/>
    <w:rsid w:val="004F494B"/>
    <w:rsid w:val="00515AB5"/>
    <w:rsid w:val="00545C36"/>
    <w:rsid w:val="0062534E"/>
    <w:rsid w:val="006612C4"/>
    <w:rsid w:val="006A69AF"/>
    <w:rsid w:val="006C37D1"/>
    <w:rsid w:val="007174C2"/>
    <w:rsid w:val="00783AB0"/>
    <w:rsid w:val="0079421D"/>
    <w:rsid w:val="007E08B5"/>
    <w:rsid w:val="00822EA5"/>
    <w:rsid w:val="00831F56"/>
    <w:rsid w:val="00867A80"/>
    <w:rsid w:val="008930C7"/>
    <w:rsid w:val="00945C40"/>
    <w:rsid w:val="00996189"/>
    <w:rsid w:val="00A17203"/>
    <w:rsid w:val="00A24D51"/>
    <w:rsid w:val="00A47EC1"/>
    <w:rsid w:val="00A52DDE"/>
    <w:rsid w:val="00A767CF"/>
    <w:rsid w:val="00AD4E48"/>
    <w:rsid w:val="00B56D49"/>
    <w:rsid w:val="00B704CF"/>
    <w:rsid w:val="00BD412E"/>
    <w:rsid w:val="00C069A3"/>
    <w:rsid w:val="00C2752B"/>
    <w:rsid w:val="00CA3DBA"/>
    <w:rsid w:val="00CB40E6"/>
    <w:rsid w:val="00D01A75"/>
    <w:rsid w:val="00D450C4"/>
    <w:rsid w:val="00D653B1"/>
    <w:rsid w:val="00D82B4E"/>
    <w:rsid w:val="00DB78BD"/>
    <w:rsid w:val="00DC7282"/>
    <w:rsid w:val="00EE6CA1"/>
    <w:rsid w:val="00F459D6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Entergy User</dc:creator>
  <cp:lastModifiedBy>lsande2</cp:lastModifiedBy>
  <cp:revision>5</cp:revision>
  <cp:lastPrinted>2014-05-29T13:20:00Z</cp:lastPrinted>
  <dcterms:created xsi:type="dcterms:W3CDTF">2017-04-10T14:00:00Z</dcterms:created>
  <dcterms:modified xsi:type="dcterms:W3CDTF">2017-06-08T23:06:00Z</dcterms:modified>
</cp:coreProperties>
</file>