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0" w:rsidRDefault="003663E0" w:rsidP="003663E0">
      <w:pPr>
        <w:jc w:val="center"/>
        <w:rPr>
          <w:sz w:val="24"/>
          <w:szCs w:val="24"/>
        </w:rPr>
      </w:pPr>
      <w:bookmarkStart w:id="0" w:name="_GoBack"/>
      <w:bookmarkEnd w:id="0"/>
      <w:r w:rsidRPr="003663E0">
        <w:rPr>
          <w:sz w:val="24"/>
          <w:szCs w:val="24"/>
          <w:u w:val="single"/>
        </w:rPr>
        <w:t xml:space="preserve">Supplemental Response to </w:t>
      </w:r>
      <w:proofErr w:type="gramStart"/>
      <w:r w:rsidRPr="003663E0">
        <w:rPr>
          <w:sz w:val="24"/>
          <w:szCs w:val="24"/>
          <w:u w:val="single"/>
        </w:rPr>
        <w:t>Missouri Cities</w:t>
      </w:r>
      <w:proofErr w:type="gramEnd"/>
      <w:r w:rsidRPr="003663E0">
        <w:rPr>
          <w:sz w:val="24"/>
          <w:szCs w:val="24"/>
          <w:u w:val="single"/>
        </w:rPr>
        <w:t xml:space="preserve"> TFR Question # 13d</w:t>
      </w:r>
    </w:p>
    <w:p w:rsidR="00E140CC" w:rsidRDefault="00E140CC" w:rsidP="003663E0">
      <w:pPr>
        <w:rPr>
          <w:sz w:val="24"/>
          <w:szCs w:val="24"/>
        </w:rPr>
      </w:pPr>
    </w:p>
    <w:p w:rsidR="003663E0" w:rsidRDefault="003663E0" w:rsidP="003663E0">
      <w:pPr>
        <w:rPr>
          <w:sz w:val="24"/>
          <w:szCs w:val="24"/>
        </w:rPr>
      </w:pPr>
      <w:r w:rsidRPr="00E140CC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 An explanation as to why the “Plum Point Transmission Credits” of $37,319.64 have not been included as a revenue credit in the 2015 Update.</w:t>
      </w:r>
    </w:p>
    <w:p w:rsidR="00C049E4" w:rsidRDefault="003663E0" w:rsidP="003663E0">
      <w:pPr>
        <w:rPr>
          <w:sz w:val="24"/>
          <w:szCs w:val="24"/>
        </w:rPr>
      </w:pPr>
      <w:r w:rsidRPr="00E140CC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The Plum Point credits are associated with additional credits Empire has/will receive that are related to the Intangible Investment in the Plum Point Switchyard (Lines 3, 3a, and 3b of Attachment 10A of the TFR).  Since a portion of the Plant in Service and the Amortization of this Intangible </w:t>
      </w:r>
      <w:r w:rsidR="009B20D3">
        <w:rPr>
          <w:sz w:val="24"/>
          <w:szCs w:val="24"/>
        </w:rPr>
        <w:t>I</w:t>
      </w:r>
      <w:r>
        <w:rPr>
          <w:sz w:val="24"/>
          <w:szCs w:val="24"/>
        </w:rPr>
        <w:t>nvestment is included in the TFR expenses, Empire concurs that a portion of the “Plum Point Credits” should be credited back to the TFR customers.</w:t>
      </w:r>
    </w:p>
    <w:p w:rsidR="00C049E4" w:rsidRDefault="00C049E4" w:rsidP="003663E0">
      <w:pPr>
        <w:rPr>
          <w:sz w:val="24"/>
          <w:szCs w:val="24"/>
        </w:rPr>
      </w:pPr>
      <w:r>
        <w:rPr>
          <w:sz w:val="24"/>
          <w:szCs w:val="24"/>
        </w:rPr>
        <w:t xml:space="preserve">For the 2015 Annual Update (based on 2014 Data), the allocated percentage </w:t>
      </w:r>
      <w:r w:rsidR="00611840">
        <w:rPr>
          <w:sz w:val="24"/>
          <w:szCs w:val="24"/>
        </w:rPr>
        <w:t xml:space="preserve">to the TFR </w:t>
      </w:r>
      <w:r>
        <w:rPr>
          <w:sz w:val="24"/>
          <w:szCs w:val="24"/>
        </w:rPr>
        <w:t xml:space="preserve">of this Intangible Investment is 7.7760%, using the </w:t>
      </w:r>
      <w:r w:rsidR="00E140CC">
        <w:rPr>
          <w:sz w:val="24"/>
          <w:szCs w:val="24"/>
        </w:rPr>
        <w:t xml:space="preserve">2014 </w:t>
      </w:r>
      <w:r>
        <w:rPr>
          <w:sz w:val="24"/>
          <w:szCs w:val="24"/>
        </w:rPr>
        <w:t>Wage/Salary allocator (see Lines 24, 32, and 71 of the Appendix A in the TFR).  The</w:t>
      </w:r>
      <w:r w:rsidR="00611840">
        <w:rPr>
          <w:sz w:val="24"/>
          <w:szCs w:val="24"/>
        </w:rPr>
        <w:t>refore the</w:t>
      </w:r>
      <w:r>
        <w:rPr>
          <w:sz w:val="24"/>
          <w:szCs w:val="24"/>
        </w:rPr>
        <w:t xml:space="preserve"> portion of the </w:t>
      </w:r>
      <w:r w:rsidR="00611840">
        <w:rPr>
          <w:sz w:val="24"/>
          <w:szCs w:val="24"/>
        </w:rPr>
        <w:t>“</w:t>
      </w:r>
      <w:r>
        <w:rPr>
          <w:sz w:val="24"/>
          <w:szCs w:val="24"/>
        </w:rPr>
        <w:t>Plum Point Credit</w:t>
      </w:r>
      <w:r w:rsidR="00611840">
        <w:rPr>
          <w:sz w:val="24"/>
          <w:szCs w:val="24"/>
        </w:rPr>
        <w:t>s”</w:t>
      </w:r>
      <w:r>
        <w:rPr>
          <w:sz w:val="24"/>
          <w:szCs w:val="24"/>
        </w:rPr>
        <w:t xml:space="preserve"> allocated to the TFR </w:t>
      </w:r>
      <w:r w:rsidR="00611840">
        <w:rPr>
          <w:sz w:val="24"/>
          <w:szCs w:val="24"/>
        </w:rPr>
        <w:t>should be</w:t>
      </w:r>
      <w:r w:rsidR="00FA4FEB">
        <w:rPr>
          <w:sz w:val="24"/>
          <w:szCs w:val="24"/>
        </w:rPr>
        <w:t xml:space="preserve"> 7.7760% of $37,</w:t>
      </w:r>
      <w:r>
        <w:rPr>
          <w:sz w:val="24"/>
          <w:szCs w:val="24"/>
        </w:rPr>
        <w:t>3</w:t>
      </w:r>
      <w:r w:rsidR="00AD7C81">
        <w:rPr>
          <w:sz w:val="24"/>
          <w:szCs w:val="24"/>
        </w:rPr>
        <w:t>20</w:t>
      </w:r>
      <w:r>
        <w:rPr>
          <w:sz w:val="24"/>
          <w:szCs w:val="24"/>
        </w:rPr>
        <w:t xml:space="preserve"> = $2,902 (which </w:t>
      </w:r>
      <w:r w:rsidR="00611840">
        <w:rPr>
          <w:sz w:val="24"/>
          <w:szCs w:val="24"/>
        </w:rPr>
        <w:t>should</w:t>
      </w:r>
      <w:r w:rsidR="009B20D3">
        <w:rPr>
          <w:sz w:val="24"/>
          <w:szCs w:val="24"/>
        </w:rPr>
        <w:t xml:space="preserve"> have </w:t>
      </w:r>
      <w:r>
        <w:rPr>
          <w:sz w:val="24"/>
          <w:szCs w:val="24"/>
        </w:rPr>
        <w:t>be</w:t>
      </w:r>
      <w:r w:rsidR="009B20D3">
        <w:rPr>
          <w:sz w:val="24"/>
          <w:szCs w:val="24"/>
        </w:rPr>
        <w:t>en</w:t>
      </w:r>
      <w:r>
        <w:rPr>
          <w:sz w:val="24"/>
          <w:szCs w:val="24"/>
        </w:rPr>
        <w:t xml:space="preserve"> credited on Line 19, Page 3 of the Inputs worksheet in the TFR).</w:t>
      </w:r>
    </w:p>
    <w:p w:rsidR="00FA4FEB" w:rsidRDefault="00C049E4" w:rsidP="003663E0">
      <w:pPr>
        <w:rPr>
          <w:sz w:val="24"/>
          <w:szCs w:val="24"/>
        </w:rPr>
      </w:pPr>
      <w:r>
        <w:rPr>
          <w:sz w:val="24"/>
          <w:szCs w:val="24"/>
        </w:rPr>
        <w:t xml:space="preserve">Similar calculations and adjustments to the </w:t>
      </w:r>
      <w:r w:rsidR="00334075">
        <w:rPr>
          <w:sz w:val="24"/>
          <w:szCs w:val="24"/>
        </w:rPr>
        <w:t xml:space="preserve">2012, </w:t>
      </w:r>
      <w:r>
        <w:rPr>
          <w:sz w:val="24"/>
          <w:szCs w:val="24"/>
        </w:rPr>
        <w:t>2013</w:t>
      </w:r>
      <w:r w:rsidR="00334075">
        <w:rPr>
          <w:sz w:val="24"/>
          <w:szCs w:val="24"/>
        </w:rPr>
        <w:t>,</w:t>
      </w:r>
      <w:r>
        <w:rPr>
          <w:sz w:val="24"/>
          <w:szCs w:val="24"/>
        </w:rPr>
        <w:t xml:space="preserve"> and 2014 TFR Annual Updates</w:t>
      </w:r>
      <w:r w:rsidR="00611840">
        <w:rPr>
          <w:sz w:val="24"/>
          <w:szCs w:val="24"/>
        </w:rPr>
        <w:t xml:space="preserve"> (based on </w:t>
      </w:r>
      <w:r w:rsidR="00334075">
        <w:rPr>
          <w:sz w:val="24"/>
          <w:szCs w:val="24"/>
        </w:rPr>
        <w:t xml:space="preserve">2011, </w:t>
      </w:r>
      <w:r w:rsidR="00611840">
        <w:rPr>
          <w:sz w:val="24"/>
          <w:szCs w:val="24"/>
        </w:rPr>
        <w:t>2012 and 2013 data)</w:t>
      </w:r>
      <w:r>
        <w:rPr>
          <w:sz w:val="24"/>
          <w:szCs w:val="24"/>
        </w:rPr>
        <w:t xml:space="preserve"> should also be made.  </w:t>
      </w:r>
      <w:r w:rsidR="00334075">
        <w:rPr>
          <w:sz w:val="24"/>
          <w:szCs w:val="24"/>
        </w:rPr>
        <w:t>Because the 2015 Annual Update has already been submitted to SPP, a</w:t>
      </w:r>
      <w:r>
        <w:rPr>
          <w:sz w:val="24"/>
          <w:szCs w:val="24"/>
        </w:rPr>
        <w:t xml:space="preserve">ll </w:t>
      </w:r>
      <w:r w:rsidR="00334075">
        <w:rPr>
          <w:sz w:val="24"/>
          <w:szCs w:val="24"/>
        </w:rPr>
        <w:t xml:space="preserve">four </w:t>
      </w:r>
      <w:r>
        <w:rPr>
          <w:sz w:val="24"/>
          <w:szCs w:val="24"/>
        </w:rPr>
        <w:t>years</w:t>
      </w:r>
      <w:r w:rsidR="00611840">
        <w:rPr>
          <w:sz w:val="24"/>
          <w:szCs w:val="24"/>
        </w:rPr>
        <w:t>’</w:t>
      </w:r>
      <w:r>
        <w:rPr>
          <w:sz w:val="24"/>
          <w:szCs w:val="24"/>
        </w:rPr>
        <w:t xml:space="preserve"> worth of adjustments (including Interest at the FERC-approved rates) will appear</w:t>
      </w:r>
      <w:r w:rsidR="00611840">
        <w:rPr>
          <w:sz w:val="24"/>
          <w:szCs w:val="24"/>
        </w:rPr>
        <w:t xml:space="preserve"> as a “refund”</w:t>
      </w:r>
      <w:r>
        <w:rPr>
          <w:sz w:val="24"/>
          <w:szCs w:val="24"/>
        </w:rPr>
        <w:t xml:space="preserve"> in the 2016 </w:t>
      </w:r>
      <w:r w:rsidR="00611840">
        <w:rPr>
          <w:sz w:val="24"/>
          <w:szCs w:val="24"/>
        </w:rPr>
        <w:t xml:space="preserve">TFR </w:t>
      </w:r>
      <w:r>
        <w:rPr>
          <w:sz w:val="24"/>
          <w:szCs w:val="24"/>
        </w:rPr>
        <w:t>Annual Update</w:t>
      </w:r>
      <w:r w:rsidR="00611840">
        <w:rPr>
          <w:sz w:val="24"/>
          <w:szCs w:val="24"/>
        </w:rPr>
        <w:t xml:space="preserve"> on Page 2 of Attachment 11.</w:t>
      </w:r>
    </w:p>
    <w:p w:rsidR="00FA4FEB" w:rsidRDefault="00FA4FEB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2014 Annual Update </w:t>
      </w:r>
      <w:r w:rsidR="009B20D3">
        <w:rPr>
          <w:sz w:val="24"/>
          <w:szCs w:val="24"/>
        </w:rPr>
        <w:t xml:space="preserve">adjustment calculation </w:t>
      </w:r>
      <w:r>
        <w:rPr>
          <w:sz w:val="24"/>
          <w:szCs w:val="24"/>
        </w:rPr>
        <w:t>(based on 2013 data) is as follows:</w:t>
      </w:r>
    </w:p>
    <w:p w:rsidR="00FA4FEB" w:rsidRDefault="00FA4FEB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>$37,320 credit</w:t>
      </w:r>
      <w:r w:rsidR="00F921BE">
        <w:rPr>
          <w:sz w:val="24"/>
          <w:szCs w:val="24"/>
        </w:rPr>
        <w:t>s</w:t>
      </w:r>
      <w:r>
        <w:rPr>
          <w:sz w:val="24"/>
          <w:szCs w:val="24"/>
        </w:rPr>
        <w:t xml:space="preserve"> x</w:t>
      </w:r>
      <w:r w:rsidR="00F921BE">
        <w:rPr>
          <w:sz w:val="24"/>
          <w:szCs w:val="24"/>
        </w:rPr>
        <w:t xml:space="preserve"> 6.9065% = $2,578 (+ FERC Interest)</w:t>
      </w:r>
      <w:r w:rsidR="00334075">
        <w:rPr>
          <w:sz w:val="24"/>
          <w:szCs w:val="24"/>
        </w:rPr>
        <w:t>.</w:t>
      </w:r>
    </w:p>
    <w:p w:rsidR="00334075" w:rsidRDefault="00334075" w:rsidP="00F921BE">
      <w:pPr>
        <w:spacing w:after="0"/>
        <w:rPr>
          <w:sz w:val="24"/>
          <w:szCs w:val="24"/>
        </w:rPr>
      </w:pPr>
    </w:p>
    <w:p w:rsidR="00334075" w:rsidRDefault="00334075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2013 Annual Update</w:t>
      </w:r>
      <w:r w:rsidR="009B20D3" w:rsidRPr="009B20D3">
        <w:rPr>
          <w:sz w:val="24"/>
          <w:szCs w:val="24"/>
        </w:rPr>
        <w:t xml:space="preserve"> </w:t>
      </w:r>
      <w:r w:rsidR="009B20D3">
        <w:rPr>
          <w:sz w:val="24"/>
          <w:szCs w:val="24"/>
        </w:rPr>
        <w:t>adjustment calculation</w:t>
      </w:r>
      <w:r>
        <w:rPr>
          <w:sz w:val="24"/>
          <w:szCs w:val="24"/>
        </w:rPr>
        <w:t xml:space="preserve"> (based on 2012 data) is as follows:</w:t>
      </w:r>
    </w:p>
    <w:p w:rsidR="00334075" w:rsidRDefault="00334075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>$37,320 credits x 6.4816% = $2419 (+ FERC Interest).</w:t>
      </w:r>
    </w:p>
    <w:p w:rsidR="00720750" w:rsidRDefault="00720750" w:rsidP="00F921BE">
      <w:pPr>
        <w:spacing w:after="0"/>
        <w:rPr>
          <w:sz w:val="24"/>
          <w:szCs w:val="24"/>
        </w:rPr>
      </w:pPr>
    </w:p>
    <w:p w:rsidR="00334075" w:rsidRDefault="00334075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2012 Annual Update</w:t>
      </w:r>
      <w:r w:rsidR="00720750" w:rsidRPr="00720750">
        <w:t xml:space="preserve"> </w:t>
      </w:r>
      <w:r w:rsidR="00720750" w:rsidRPr="00720750">
        <w:rPr>
          <w:sz w:val="24"/>
          <w:szCs w:val="24"/>
        </w:rPr>
        <w:t xml:space="preserve">adjustment calculation </w:t>
      </w:r>
      <w:r>
        <w:rPr>
          <w:sz w:val="24"/>
          <w:szCs w:val="24"/>
        </w:rPr>
        <w:t>(based on 2011 data) is as follows:</w:t>
      </w:r>
    </w:p>
    <w:p w:rsidR="008E6FAA" w:rsidRDefault="00334075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>$96,233 credits</w:t>
      </w:r>
      <w:r w:rsidR="008E6FAA">
        <w:rPr>
          <w:sz w:val="24"/>
          <w:szCs w:val="24"/>
        </w:rPr>
        <w:t xml:space="preserve"> x 6.2411% = $6006 x 0.5* = $3003 (</w:t>
      </w:r>
      <w:r w:rsidR="00EF25F6">
        <w:rPr>
          <w:sz w:val="24"/>
          <w:szCs w:val="24"/>
        </w:rPr>
        <w:t>+</w:t>
      </w:r>
      <w:r w:rsidR="008E6FAA">
        <w:rPr>
          <w:sz w:val="24"/>
          <w:szCs w:val="24"/>
        </w:rPr>
        <w:t xml:space="preserve">FERC Interest) </w:t>
      </w:r>
    </w:p>
    <w:p w:rsidR="00334075" w:rsidRPr="008E6FAA" w:rsidRDefault="008E6FAA" w:rsidP="00F921BE">
      <w:pPr>
        <w:spacing w:after="0"/>
        <w:rPr>
          <w:sz w:val="20"/>
          <w:szCs w:val="20"/>
        </w:rPr>
      </w:pPr>
      <w:r>
        <w:t>*</w:t>
      </w:r>
      <w:r w:rsidRPr="008E6FAA">
        <w:t>2012 Version did not become effective until 1/1/2013</w:t>
      </w:r>
      <w:r>
        <w:t>, was only in effect for ½ year until 7/1/13.</w:t>
      </w:r>
    </w:p>
    <w:p w:rsidR="00FA4FEB" w:rsidRDefault="00FA4FEB" w:rsidP="00F921BE">
      <w:pPr>
        <w:spacing w:after="0"/>
        <w:rPr>
          <w:sz w:val="24"/>
          <w:szCs w:val="24"/>
        </w:rPr>
      </w:pPr>
    </w:p>
    <w:p w:rsidR="003663E0" w:rsidRPr="003663E0" w:rsidRDefault="00C049E4" w:rsidP="00F92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3E0">
        <w:rPr>
          <w:sz w:val="24"/>
          <w:szCs w:val="24"/>
        </w:rPr>
        <w:t xml:space="preserve">  </w:t>
      </w:r>
    </w:p>
    <w:sectPr w:rsidR="003663E0" w:rsidRPr="003663E0" w:rsidSect="008E6FA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9"/>
    <w:rsid w:val="00334075"/>
    <w:rsid w:val="003663E0"/>
    <w:rsid w:val="004B43B8"/>
    <w:rsid w:val="00611840"/>
    <w:rsid w:val="00720750"/>
    <w:rsid w:val="007C4D59"/>
    <w:rsid w:val="007F6BAA"/>
    <w:rsid w:val="008E6FAA"/>
    <w:rsid w:val="009B20D3"/>
    <w:rsid w:val="00A368BB"/>
    <w:rsid w:val="00AD7C81"/>
    <w:rsid w:val="00C049E4"/>
    <w:rsid w:val="00E140CC"/>
    <w:rsid w:val="00EF25F6"/>
    <w:rsid w:val="00F921BE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District Electric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Eichman</dc:creator>
  <cp:lastModifiedBy>Melinda H. Campbell</cp:lastModifiedBy>
  <cp:revision>2</cp:revision>
  <dcterms:created xsi:type="dcterms:W3CDTF">2015-08-06T21:31:00Z</dcterms:created>
  <dcterms:modified xsi:type="dcterms:W3CDTF">2015-08-06T21:31:00Z</dcterms:modified>
</cp:coreProperties>
</file>