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9544F" w14:textId="6E7CD88C" w:rsidR="009A7839" w:rsidRPr="004500B9" w:rsidRDefault="004500B9" w:rsidP="004500B9">
      <w:pPr>
        <w:pStyle w:val="ListParagraph"/>
        <w:numPr>
          <w:ilvl w:val="0"/>
          <w:numId w:val="15"/>
        </w:numPr>
        <w:tabs>
          <w:tab w:val="left" w:pos="810"/>
        </w:tabs>
        <w:jc w:val="both"/>
        <w:rPr>
          <w:rFonts w:ascii="Times New Roman" w:eastAsia="Times New Roman" w:hAnsi="Times New Roman" w:cs="Times New Roman"/>
        </w:rPr>
      </w:pPr>
      <w:r>
        <w:rPr>
          <w:rFonts w:ascii="Times New Roman" w:eastAsia="Times New Roman" w:hAnsi="Times New Roman" w:cs="Times New Roman"/>
        </w:rPr>
        <w:t xml:space="preserve"> </w:t>
      </w:r>
      <w:r w:rsidR="000F1AA7" w:rsidRPr="004500B9">
        <w:rPr>
          <w:rFonts w:ascii="Times New Roman" w:eastAsia="Times New Roman" w:hAnsi="Times New Roman" w:cs="Times New Roman"/>
        </w:rPr>
        <w:t xml:space="preserve">FERC Form 1 page 302, line 9, shows and ending </w:t>
      </w:r>
      <w:r w:rsidR="00A0588D" w:rsidRPr="004500B9">
        <w:rPr>
          <w:rFonts w:ascii="Times New Roman" w:eastAsia="Times New Roman" w:hAnsi="Times New Roman" w:cs="Times New Roman"/>
        </w:rPr>
        <w:t>balances</w:t>
      </w:r>
      <w:r w:rsidR="000F1AA7" w:rsidRPr="004500B9">
        <w:rPr>
          <w:rFonts w:ascii="Times New Roman" w:eastAsia="Times New Roman" w:hAnsi="Times New Roman" w:cs="Times New Roman"/>
        </w:rPr>
        <w:t xml:space="preserve"> of $6,680,496 </w:t>
      </w:r>
      <w:r w:rsidR="00A0588D" w:rsidRPr="004500B9">
        <w:rPr>
          <w:rFonts w:ascii="Times New Roman" w:eastAsia="Times New Roman" w:hAnsi="Times New Roman" w:cs="Times New Roman"/>
        </w:rPr>
        <w:t>associated</w:t>
      </w:r>
      <w:r w:rsidR="000F1AA7" w:rsidRPr="004500B9">
        <w:rPr>
          <w:rFonts w:ascii="Times New Roman" w:eastAsia="Times New Roman" w:hAnsi="Times New Roman" w:cs="Times New Roman"/>
        </w:rPr>
        <w:t xml:space="preserve"> with the funding of network up</w:t>
      </w:r>
      <w:r w:rsidR="00A0588D" w:rsidRPr="004500B9">
        <w:rPr>
          <w:rFonts w:ascii="Times New Roman" w:eastAsia="Times New Roman" w:hAnsi="Times New Roman" w:cs="Times New Roman"/>
        </w:rPr>
        <w:t>grades</w:t>
      </w:r>
      <w:r w:rsidR="000F1AA7" w:rsidRPr="004500B9">
        <w:rPr>
          <w:rFonts w:ascii="Times New Roman" w:eastAsia="Times New Roman" w:hAnsi="Times New Roman" w:cs="Times New Roman"/>
        </w:rPr>
        <w:t xml:space="preserve">.  Please provide an </w:t>
      </w:r>
      <w:r w:rsidR="00A0588D" w:rsidRPr="004500B9">
        <w:rPr>
          <w:rFonts w:ascii="Times New Roman" w:eastAsia="Times New Roman" w:hAnsi="Times New Roman" w:cs="Times New Roman"/>
        </w:rPr>
        <w:t>explanation</w:t>
      </w:r>
      <w:r w:rsidR="000F1AA7" w:rsidRPr="004500B9">
        <w:rPr>
          <w:rFonts w:ascii="Times New Roman" w:eastAsia="Times New Roman" w:hAnsi="Times New Roman" w:cs="Times New Roman"/>
        </w:rPr>
        <w:t xml:space="preserve"> as to why this amount is diffe</w:t>
      </w:r>
      <w:r w:rsidR="00A0588D" w:rsidRPr="004500B9">
        <w:rPr>
          <w:rFonts w:ascii="Times New Roman" w:eastAsia="Times New Roman" w:hAnsi="Times New Roman" w:cs="Times New Roman"/>
        </w:rPr>
        <w:t>rent t</w:t>
      </w:r>
      <w:r w:rsidR="000F1AA7" w:rsidRPr="004500B9">
        <w:rPr>
          <w:rFonts w:ascii="Times New Roman" w:eastAsia="Times New Roman" w:hAnsi="Times New Roman" w:cs="Times New Roman"/>
        </w:rPr>
        <w:t xml:space="preserve">han the amount shown for the SPP network upgrades revenue requirement of $5,400,433 (see line 124 of Appendix A to the 2015 Update).   </w:t>
      </w:r>
    </w:p>
    <w:p w14:paraId="419D903D" w14:textId="77777777" w:rsidR="009A7839" w:rsidRDefault="009A7839" w:rsidP="009A7839">
      <w:pPr>
        <w:pStyle w:val="ListParagraph"/>
        <w:tabs>
          <w:tab w:val="left" w:pos="810"/>
        </w:tabs>
        <w:jc w:val="both"/>
        <w:rPr>
          <w:rFonts w:ascii="Times New Roman" w:eastAsia="Times New Roman" w:hAnsi="Times New Roman" w:cs="Times New Roman"/>
        </w:rPr>
      </w:pPr>
    </w:p>
    <w:p w14:paraId="237BF77B" w14:textId="7C3CD653" w:rsidR="00E0192D" w:rsidRDefault="009A7839" w:rsidP="00235A05">
      <w:pPr>
        <w:pStyle w:val="ListParagraph"/>
        <w:jc w:val="both"/>
        <w:rPr>
          <w:rFonts w:ascii="Times New Roman" w:hAnsi="Times New Roman"/>
          <w:i/>
          <w:iCs/>
        </w:rPr>
      </w:pPr>
      <w:r w:rsidRPr="00235A05">
        <w:rPr>
          <w:rFonts w:ascii="Times New Roman" w:hAnsi="Times New Roman"/>
          <w:i/>
          <w:iCs/>
        </w:rPr>
        <w:t>Response:</w:t>
      </w:r>
      <w:r w:rsidR="00235A05" w:rsidRPr="00235A05">
        <w:rPr>
          <w:rFonts w:ascii="Times New Roman" w:hAnsi="Times New Roman"/>
          <w:i/>
          <w:iCs/>
        </w:rPr>
        <w:t xml:space="preserve"> Line 124 of the 2015 Annual Update is based on the investment and expenses for the Regional Upgrades constructed and maintained in 2014 and earlier years.  The detailed calculations of each such upgrade are displayed on Pages 3 through 13 of Attachment 12 (ATT-12); and summarized on Page 1 of ATT-12.  </w:t>
      </w:r>
      <w:r w:rsidR="00133147">
        <w:rPr>
          <w:rFonts w:ascii="Times New Roman" w:hAnsi="Times New Roman"/>
          <w:i/>
          <w:iCs/>
        </w:rPr>
        <w:t>T</w:t>
      </w:r>
      <w:r w:rsidR="00133147" w:rsidRPr="00235A05">
        <w:rPr>
          <w:rFonts w:ascii="Times New Roman" w:hAnsi="Times New Roman"/>
          <w:i/>
          <w:iCs/>
        </w:rPr>
        <w:t xml:space="preserve">he $5,400,433 amount in the 2015 Annual Update represents the Annual Revenue Requirement </w:t>
      </w:r>
      <w:r w:rsidR="00133147" w:rsidRPr="00133147">
        <w:rPr>
          <w:rFonts w:ascii="Times New Roman" w:hAnsi="Times New Roman"/>
          <w:i/>
          <w:iCs/>
          <w:u w:val="single"/>
        </w:rPr>
        <w:t>going forward</w:t>
      </w:r>
      <w:r w:rsidR="00133147" w:rsidRPr="00235A05">
        <w:rPr>
          <w:rFonts w:ascii="Times New Roman" w:hAnsi="Times New Roman"/>
          <w:i/>
          <w:iCs/>
        </w:rPr>
        <w:t xml:space="preserve"> for the </w:t>
      </w:r>
      <w:r w:rsidR="00133147">
        <w:rPr>
          <w:rFonts w:ascii="Times New Roman" w:hAnsi="Times New Roman"/>
          <w:i/>
          <w:iCs/>
        </w:rPr>
        <w:t>n</w:t>
      </w:r>
      <w:r w:rsidR="00133147" w:rsidRPr="00235A05">
        <w:rPr>
          <w:rFonts w:ascii="Times New Roman" w:hAnsi="Times New Roman"/>
          <w:i/>
          <w:iCs/>
        </w:rPr>
        <w:t>ext year (which will be reported in the 2015 and 2016 FERC Form 1’s).</w:t>
      </w:r>
      <w:r w:rsidR="00133147">
        <w:rPr>
          <w:rFonts w:ascii="Times New Roman" w:hAnsi="Times New Roman"/>
          <w:i/>
          <w:iCs/>
        </w:rPr>
        <w:t xml:space="preserve">  </w:t>
      </w:r>
      <w:r w:rsidR="00235A05" w:rsidRPr="00235A05">
        <w:rPr>
          <w:rFonts w:ascii="Times New Roman" w:hAnsi="Times New Roman"/>
          <w:i/>
          <w:iCs/>
        </w:rPr>
        <w:t xml:space="preserve">The revenues displayed on Page 302, line 9 of the 2014 FERC Form 1 represent revenues established in </w:t>
      </w:r>
      <w:r w:rsidR="00235A05" w:rsidRPr="00133147">
        <w:rPr>
          <w:rFonts w:ascii="Times New Roman" w:hAnsi="Times New Roman"/>
          <w:i/>
          <w:iCs/>
          <w:u w:val="single"/>
        </w:rPr>
        <w:t>prior</w:t>
      </w:r>
      <w:r w:rsidR="00235A05" w:rsidRPr="00235A05">
        <w:rPr>
          <w:rFonts w:ascii="Times New Roman" w:hAnsi="Times New Roman"/>
          <w:i/>
          <w:iCs/>
        </w:rPr>
        <w:t xml:space="preserve"> years Annual Updates.  The 2014 </w:t>
      </w:r>
      <w:bookmarkStart w:id="0" w:name="_GoBack"/>
      <w:bookmarkEnd w:id="0"/>
      <w:r w:rsidR="00235A05" w:rsidRPr="00235A05">
        <w:rPr>
          <w:rFonts w:ascii="Times New Roman" w:hAnsi="Times New Roman"/>
          <w:i/>
          <w:iCs/>
        </w:rPr>
        <w:t>Annual Update (using 2013 FF1 data) derived an Annual Revenue Requirement of $5,851,073 (approximately 5/12 of which was generated in the latter part of 2014).  The 2013 Annual Update (using 2012 FF1 data) derived an Annual Revenue Requirement of $6,129,459 (approximately 7/12 of which was generated in the first part of 2014).  It should be noted that there is a one month lag in the SPP billing of the SPP Regional Upgrade Revenues; which results in the 7 month/5 month “split” of the “booked” revenues, rather than the expected 6 month/6 month split.  We have submitted a request to SPP to explain the additional $650,000 to $700,000 that appears to be credited to this account</w:t>
      </w:r>
      <w:r w:rsidR="00133147">
        <w:rPr>
          <w:rFonts w:ascii="Times New Roman" w:hAnsi="Times New Roman"/>
          <w:i/>
          <w:iCs/>
        </w:rPr>
        <w:t>, and will provide supplemental information to this question as it becomes available</w:t>
      </w:r>
      <w:r w:rsidR="00235A05" w:rsidRPr="00235A05">
        <w:rPr>
          <w:rFonts w:ascii="Times New Roman" w:hAnsi="Times New Roman"/>
          <w:i/>
          <w:iCs/>
        </w:rPr>
        <w:t xml:space="preserve">.  </w:t>
      </w:r>
    </w:p>
    <w:p w14:paraId="0F8A2F13" w14:textId="77777777" w:rsidR="00235A05" w:rsidRDefault="00235A05" w:rsidP="00235A05">
      <w:pPr>
        <w:pStyle w:val="ListParagraph"/>
        <w:jc w:val="both"/>
        <w:rPr>
          <w:rFonts w:ascii="Times New Roman" w:hAnsi="Times New Roman"/>
          <w:i/>
          <w:iCs/>
        </w:rPr>
      </w:pPr>
    </w:p>
    <w:p w14:paraId="15383DC9" w14:textId="2F2E37D0" w:rsidR="004500B9" w:rsidRDefault="004500B9" w:rsidP="00235A05">
      <w:pPr>
        <w:pStyle w:val="ListParagraph"/>
        <w:jc w:val="both"/>
        <w:rPr>
          <w:rFonts w:ascii="Times New Roman" w:hAnsi="Times New Roman"/>
          <w:i/>
          <w:iCs/>
        </w:rPr>
      </w:pPr>
      <w:r>
        <w:rPr>
          <w:rFonts w:ascii="Times New Roman" w:hAnsi="Times New Roman"/>
          <w:i/>
          <w:iCs/>
        </w:rPr>
        <w:t xml:space="preserve">Supplemental Response:  The SPP Schedule 11 revenues listed on FF1, Page 302, </w:t>
      </w:r>
      <w:proofErr w:type="gramStart"/>
      <w:r>
        <w:rPr>
          <w:rFonts w:ascii="Times New Roman" w:hAnsi="Times New Roman"/>
          <w:i/>
          <w:iCs/>
        </w:rPr>
        <w:t>Line</w:t>
      </w:r>
      <w:proofErr w:type="gramEnd"/>
      <w:r>
        <w:rPr>
          <w:rFonts w:ascii="Times New Roman" w:hAnsi="Times New Roman"/>
          <w:i/>
          <w:iCs/>
        </w:rPr>
        <w:t xml:space="preserve"> 9 represent two revenues from 2 sources.  The primary source is derived from the Schedule 11 </w:t>
      </w:r>
      <w:r w:rsidR="005101AF">
        <w:rPr>
          <w:rFonts w:ascii="Times New Roman" w:hAnsi="Times New Roman"/>
          <w:i/>
          <w:iCs/>
        </w:rPr>
        <w:t xml:space="preserve">NITS </w:t>
      </w:r>
      <w:r>
        <w:rPr>
          <w:rFonts w:ascii="Times New Roman" w:hAnsi="Times New Roman"/>
          <w:i/>
          <w:iCs/>
        </w:rPr>
        <w:t>revenue requirement calculated on ATT-12 of the TFR Annual Update each year, as described in our initial response. The ACTUAL amount derived from this source in 2014 was $5,923,627 (recorded in EDE Account</w:t>
      </w:r>
      <w:r w:rsidR="00EB0FA8">
        <w:rPr>
          <w:rFonts w:ascii="Times New Roman" w:hAnsi="Times New Roman"/>
          <w:i/>
          <w:iCs/>
        </w:rPr>
        <w:t>s</w:t>
      </w:r>
      <w:r>
        <w:rPr>
          <w:rFonts w:ascii="Times New Roman" w:hAnsi="Times New Roman"/>
          <w:i/>
          <w:iCs/>
        </w:rPr>
        <w:t xml:space="preserve"> </w:t>
      </w:r>
      <w:r w:rsidR="005101AF">
        <w:rPr>
          <w:rFonts w:ascii="Times New Roman" w:hAnsi="Times New Roman"/>
          <w:i/>
          <w:iCs/>
        </w:rPr>
        <w:t>457.141</w:t>
      </w:r>
      <w:r w:rsidR="00EB0FA8">
        <w:rPr>
          <w:rFonts w:ascii="Times New Roman" w:hAnsi="Times New Roman"/>
          <w:i/>
          <w:iCs/>
        </w:rPr>
        <w:t>, 457.149; 457.150 457.151; 457.153; and 457.154</w:t>
      </w:r>
      <w:r w:rsidR="005101AF">
        <w:rPr>
          <w:rFonts w:ascii="Times New Roman" w:hAnsi="Times New Roman"/>
          <w:i/>
          <w:iCs/>
        </w:rPr>
        <w:t>), which roughly correlates with the sum of the two partial year amounts expected from Line 124 of the 2014 and 2013 annual updates.</w:t>
      </w:r>
    </w:p>
    <w:p w14:paraId="30AB3A0A" w14:textId="77777777" w:rsidR="005101AF" w:rsidRDefault="005101AF" w:rsidP="00235A05">
      <w:pPr>
        <w:pStyle w:val="ListParagraph"/>
        <w:jc w:val="both"/>
        <w:rPr>
          <w:rFonts w:ascii="Times New Roman" w:hAnsi="Times New Roman"/>
          <w:i/>
          <w:iCs/>
        </w:rPr>
      </w:pPr>
    </w:p>
    <w:p w14:paraId="7785CA59" w14:textId="383B3737" w:rsidR="005101AF" w:rsidRPr="00235A05" w:rsidRDefault="005101AF" w:rsidP="00235A05">
      <w:pPr>
        <w:pStyle w:val="ListParagraph"/>
        <w:jc w:val="both"/>
        <w:rPr>
          <w:rFonts w:ascii="Times New Roman" w:hAnsi="Times New Roman"/>
          <w:i/>
          <w:iCs/>
        </w:rPr>
      </w:pPr>
      <w:r>
        <w:rPr>
          <w:rFonts w:ascii="Times New Roman" w:hAnsi="Times New Roman"/>
          <w:i/>
          <w:iCs/>
        </w:rPr>
        <w:t>A secondary source of SPP Schedule 11 Revenues is associated with the Point-to-Point use of SPP’s system.  These are additional revenues received above and beyond the NITS revenues.  These revenues are unpredictable from year to year.  For 2014, the amount of Schedule 11 Point-To-Point revenues totaled $756,870</w:t>
      </w:r>
      <w:r w:rsidR="00EB0FA8">
        <w:rPr>
          <w:rFonts w:ascii="Times New Roman" w:hAnsi="Times New Roman"/>
          <w:i/>
          <w:iCs/>
        </w:rPr>
        <w:t xml:space="preserve"> (recorded in EDE Account 457.142)</w:t>
      </w:r>
      <w:r>
        <w:rPr>
          <w:rFonts w:ascii="Times New Roman" w:hAnsi="Times New Roman"/>
          <w:i/>
          <w:iCs/>
        </w:rPr>
        <w:t xml:space="preserve">.  Empire concurs that these secondary revenues should be credited back against the gross transmission revenue requirement in the TFR Template.  </w:t>
      </w:r>
    </w:p>
    <w:sectPr w:rsidR="005101AF" w:rsidRPr="00235A0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6FAE3" w14:textId="77777777" w:rsidR="00D07B1E" w:rsidRDefault="00D07B1E" w:rsidP="00F4576D">
      <w:pPr>
        <w:spacing w:after="0" w:line="240" w:lineRule="auto"/>
      </w:pPr>
      <w:r>
        <w:separator/>
      </w:r>
    </w:p>
  </w:endnote>
  <w:endnote w:type="continuationSeparator" w:id="0">
    <w:p w14:paraId="08270F15" w14:textId="77777777" w:rsidR="00D07B1E" w:rsidRDefault="00D07B1E" w:rsidP="00F4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653065"/>
      <w:docPartObj>
        <w:docPartGallery w:val="Page Numbers (Bottom of Page)"/>
        <w:docPartUnique/>
      </w:docPartObj>
    </w:sdtPr>
    <w:sdtEndPr>
      <w:rPr>
        <w:noProof/>
      </w:rPr>
    </w:sdtEndPr>
    <w:sdtContent>
      <w:p w14:paraId="574E1535" w14:textId="68A5F750" w:rsidR="00261E89" w:rsidRDefault="00261E89">
        <w:pPr>
          <w:pStyle w:val="Footer"/>
          <w:jc w:val="center"/>
        </w:pPr>
        <w:r>
          <w:fldChar w:fldCharType="begin"/>
        </w:r>
        <w:r>
          <w:instrText xml:space="preserve"> PAGE   \* MERGEFORMAT </w:instrText>
        </w:r>
        <w:r>
          <w:fldChar w:fldCharType="separate"/>
        </w:r>
        <w:r w:rsidR="00EB0FA8">
          <w:rPr>
            <w:noProof/>
          </w:rPr>
          <w:t>1</w:t>
        </w:r>
        <w:r>
          <w:rPr>
            <w:noProof/>
          </w:rPr>
          <w:fldChar w:fldCharType="end"/>
        </w:r>
      </w:p>
    </w:sdtContent>
  </w:sdt>
  <w:p w14:paraId="0C93A1E5" w14:textId="77777777" w:rsidR="00D07B1E" w:rsidRDefault="00D07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342E1" w14:textId="77777777" w:rsidR="00D07B1E" w:rsidRDefault="00D07B1E" w:rsidP="00F4576D">
      <w:pPr>
        <w:spacing w:after="0" w:line="240" w:lineRule="auto"/>
      </w:pPr>
      <w:r>
        <w:separator/>
      </w:r>
    </w:p>
  </w:footnote>
  <w:footnote w:type="continuationSeparator" w:id="0">
    <w:p w14:paraId="380863ED" w14:textId="77777777" w:rsidR="00D07B1E" w:rsidRDefault="00D07B1E" w:rsidP="00F45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3D65" w14:textId="6BD3F94E" w:rsidR="00D07B1E" w:rsidRDefault="00DD39C6" w:rsidP="00F4576D">
    <w:pPr>
      <w:spacing w:after="0"/>
      <w:jc w:val="center"/>
    </w:pPr>
    <w:r>
      <w:t>Missouri Cities</w:t>
    </w:r>
  </w:p>
  <w:p w14:paraId="39BDA890" w14:textId="2EC8823E" w:rsidR="00D07B1E" w:rsidRPr="00F4576D" w:rsidRDefault="00D07B1E" w:rsidP="00F4576D">
    <w:pPr>
      <w:spacing w:after="0"/>
      <w:jc w:val="center"/>
      <w:rPr>
        <w:u w:val="single"/>
      </w:rPr>
    </w:pPr>
    <w:r>
      <w:rPr>
        <w:u w:val="single"/>
      </w:rPr>
      <w:t>T</w:t>
    </w:r>
    <w:r w:rsidRPr="00F4576D">
      <w:rPr>
        <w:u w:val="single"/>
      </w:rPr>
      <w:t>FR Questions Concerning 2015 Update</w:t>
    </w:r>
  </w:p>
  <w:p w14:paraId="3BF87B66" w14:textId="167630B6" w:rsidR="00D07B1E" w:rsidRPr="00F4576D" w:rsidRDefault="00D07B1E" w:rsidP="00271C93">
    <w:pPr>
      <w:tabs>
        <w:tab w:val="left" w:pos="3330"/>
        <w:tab w:val="center" w:pos="4680"/>
      </w:tabs>
      <w:spacing w:after="0"/>
    </w:pPr>
    <w:r>
      <w:tab/>
    </w:r>
    <w:r>
      <w:tab/>
    </w:r>
    <w:r w:rsidR="00261E89">
      <w:t>2</w:t>
    </w:r>
    <w:r w:rsidR="00261E89" w:rsidRPr="00261E89">
      <w:rPr>
        <w:vertAlign w:val="superscript"/>
      </w:rPr>
      <w:t>nd</w:t>
    </w:r>
    <w:r w:rsidR="00261E89">
      <w:t xml:space="preserve"> Set of Questions - </w:t>
    </w:r>
    <w:r w:rsidR="001F7E22">
      <w:t xml:space="preserve">(June </w:t>
    </w:r>
    <w:r w:rsidR="005120E3">
      <w:t>26</w:t>
    </w:r>
    <w:r w:rsidRPr="00F4576D">
      <w:t>, 2015</w:t>
    </w:r>
    <w:r>
      <w:t>)</w:t>
    </w:r>
  </w:p>
  <w:p w14:paraId="7F1D1630" w14:textId="77777777" w:rsidR="00D07B1E" w:rsidRDefault="00D07B1E" w:rsidP="00F4576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C1684"/>
    <w:multiLevelType w:val="hybridMultilevel"/>
    <w:tmpl w:val="112C06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D1E41B0"/>
    <w:multiLevelType w:val="hybridMultilevel"/>
    <w:tmpl w:val="744618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5683387"/>
    <w:multiLevelType w:val="hybridMultilevel"/>
    <w:tmpl w:val="EDA6A7F4"/>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7CD2B7C"/>
    <w:multiLevelType w:val="hybridMultilevel"/>
    <w:tmpl w:val="7DAE159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B4D2613"/>
    <w:multiLevelType w:val="hybridMultilevel"/>
    <w:tmpl w:val="01EE45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EF21291"/>
    <w:multiLevelType w:val="hybridMultilevel"/>
    <w:tmpl w:val="01EE45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2850F62"/>
    <w:multiLevelType w:val="hybridMultilevel"/>
    <w:tmpl w:val="D89C815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A54097"/>
    <w:multiLevelType w:val="hybridMultilevel"/>
    <w:tmpl w:val="2C3ED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582AE2"/>
    <w:multiLevelType w:val="hybridMultilevel"/>
    <w:tmpl w:val="103AC61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6676735"/>
    <w:multiLevelType w:val="hybridMultilevel"/>
    <w:tmpl w:val="5E4022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B7F606E"/>
    <w:multiLevelType w:val="hybridMultilevel"/>
    <w:tmpl w:val="5D38C952"/>
    <w:lvl w:ilvl="0" w:tplc="FD042A9E">
      <w:start w:val="13"/>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63992897"/>
    <w:multiLevelType w:val="hybridMultilevel"/>
    <w:tmpl w:val="E506A0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1F1124"/>
    <w:multiLevelType w:val="hybridMultilevel"/>
    <w:tmpl w:val="27BA83E4"/>
    <w:lvl w:ilvl="0" w:tplc="DBD2B458">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65763D"/>
    <w:multiLevelType w:val="hybridMultilevel"/>
    <w:tmpl w:val="81900B6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D394BEB"/>
    <w:multiLevelType w:val="hybridMultilevel"/>
    <w:tmpl w:val="51582B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2"/>
  </w:num>
  <w:num w:numId="3">
    <w:abstractNumId w:val="13"/>
  </w:num>
  <w:num w:numId="4">
    <w:abstractNumId w:val="11"/>
  </w:num>
  <w:num w:numId="5">
    <w:abstractNumId w:val="7"/>
  </w:num>
  <w:num w:numId="6">
    <w:abstractNumId w:val="5"/>
  </w:num>
  <w:num w:numId="7">
    <w:abstractNumId w:val="3"/>
  </w:num>
  <w:num w:numId="8">
    <w:abstractNumId w:val="1"/>
  </w:num>
  <w:num w:numId="9">
    <w:abstractNumId w:val="8"/>
  </w:num>
  <w:num w:numId="10">
    <w:abstractNumId w:val="0"/>
  </w:num>
  <w:num w:numId="11">
    <w:abstractNumId w:val="2"/>
  </w:num>
  <w:num w:numId="12">
    <w:abstractNumId w:val="9"/>
  </w:num>
  <w:num w:numId="13">
    <w:abstractNumId w:val="14"/>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5E"/>
    <w:rsid w:val="000405CE"/>
    <w:rsid w:val="000D037E"/>
    <w:rsid w:val="000F1AA7"/>
    <w:rsid w:val="000F44DD"/>
    <w:rsid w:val="00106593"/>
    <w:rsid w:val="00133147"/>
    <w:rsid w:val="00134CED"/>
    <w:rsid w:val="0015189A"/>
    <w:rsid w:val="001756CA"/>
    <w:rsid w:val="00182E57"/>
    <w:rsid w:val="00183337"/>
    <w:rsid w:val="00196E5C"/>
    <w:rsid w:val="001B2FF9"/>
    <w:rsid w:val="001B7FC1"/>
    <w:rsid w:val="001F7E22"/>
    <w:rsid w:val="00235A05"/>
    <w:rsid w:val="002521B7"/>
    <w:rsid w:val="00261E89"/>
    <w:rsid w:val="00271C93"/>
    <w:rsid w:val="002B0E98"/>
    <w:rsid w:val="002D71C5"/>
    <w:rsid w:val="003010F9"/>
    <w:rsid w:val="00321088"/>
    <w:rsid w:val="00326D1D"/>
    <w:rsid w:val="00330077"/>
    <w:rsid w:val="00333D78"/>
    <w:rsid w:val="003426C9"/>
    <w:rsid w:val="00350AAF"/>
    <w:rsid w:val="00356559"/>
    <w:rsid w:val="00386B97"/>
    <w:rsid w:val="00397A83"/>
    <w:rsid w:val="003C46D6"/>
    <w:rsid w:val="00416A79"/>
    <w:rsid w:val="00437BC0"/>
    <w:rsid w:val="004500B9"/>
    <w:rsid w:val="004A169C"/>
    <w:rsid w:val="005101AF"/>
    <w:rsid w:val="005120E3"/>
    <w:rsid w:val="00530C26"/>
    <w:rsid w:val="0054747F"/>
    <w:rsid w:val="00585D0C"/>
    <w:rsid w:val="0059302A"/>
    <w:rsid w:val="00593DB2"/>
    <w:rsid w:val="005B6EEE"/>
    <w:rsid w:val="005C33A4"/>
    <w:rsid w:val="005D50F6"/>
    <w:rsid w:val="005E145B"/>
    <w:rsid w:val="006458C9"/>
    <w:rsid w:val="00651E9B"/>
    <w:rsid w:val="00656FA4"/>
    <w:rsid w:val="00693196"/>
    <w:rsid w:val="006F43F8"/>
    <w:rsid w:val="006F5E70"/>
    <w:rsid w:val="00706081"/>
    <w:rsid w:val="00724340"/>
    <w:rsid w:val="00761AED"/>
    <w:rsid w:val="0078232D"/>
    <w:rsid w:val="00787803"/>
    <w:rsid w:val="007878E3"/>
    <w:rsid w:val="007A6BBD"/>
    <w:rsid w:val="007D6548"/>
    <w:rsid w:val="0085789C"/>
    <w:rsid w:val="008605D3"/>
    <w:rsid w:val="008E672A"/>
    <w:rsid w:val="0090127E"/>
    <w:rsid w:val="00903484"/>
    <w:rsid w:val="009046B0"/>
    <w:rsid w:val="00933E9F"/>
    <w:rsid w:val="009356A5"/>
    <w:rsid w:val="0094117B"/>
    <w:rsid w:val="0095576D"/>
    <w:rsid w:val="00970B21"/>
    <w:rsid w:val="00993796"/>
    <w:rsid w:val="00995D93"/>
    <w:rsid w:val="009973F4"/>
    <w:rsid w:val="009A7839"/>
    <w:rsid w:val="009D6528"/>
    <w:rsid w:val="00A0588D"/>
    <w:rsid w:val="00A613A3"/>
    <w:rsid w:val="00A91F6D"/>
    <w:rsid w:val="00A92B35"/>
    <w:rsid w:val="00AF7AB2"/>
    <w:rsid w:val="00B13015"/>
    <w:rsid w:val="00B63165"/>
    <w:rsid w:val="00BC2952"/>
    <w:rsid w:val="00C418E3"/>
    <w:rsid w:val="00C573A9"/>
    <w:rsid w:val="00C57906"/>
    <w:rsid w:val="00C9627F"/>
    <w:rsid w:val="00CB1AD0"/>
    <w:rsid w:val="00CE27CE"/>
    <w:rsid w:val="00D017FC"/>
    <w:rsid w:val="00D07B1E"/>
    <w:rsid w:val="00D4615E"/>
    <w:rsid w:val="00D4636F"/>
    <w:rsid w:val="00D73DF5"/>
    <w:rsid w:val="00DC5B21"/>
    <w:rsid w:val="00DD22D1"/>
    <w:rsid w:val="00DD39C6"/>
    <w:rsid w:val="00DE3D21"/>
    <w:rsid w:val="00DE7BD2"/>
    <w:rsid w:val="00DF7246"/>
    <w:rsid w:val="00E0192D"/>
    <w:rsid w:val="00E507D5"/>
    <w:rsid w:val="00E6715A"/>
    <w:rsid w:val="00E9580D"/>
    <w:rsid w:val="00EB0E6A"/>
    <w:rsid w:val="00EB0FA8"/>
    <w:rsid w:val="00F216EB"/>
    <w:rsid w:val="00F3300A"/>
    <w:rsid w:val="00F416D1"/>
    <w:rsid w:val="00F4576D"/>
    <w:rsid w:val="00FA3E3E"/>
    <w:rsid w:val="00FB77CB"/>
    <w:rsid w:val="00FC2983"/>
    <w:rsid w:val="00FD190C"/>
    <w:rsid w:val="00FD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1AF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E57"/>
    <w:pPr>
      <w:ind w:left="720"/>
      <w:contextualSpacing/>
    </w:pPr>
  </w:style>
  <w:style w:type="paragraph" w:styleId="Header">
    <w:name w:val="header"/>
    <w:basedOn w:val="Normal"/>
    <w:link w:val="HeaderChar"/>
    <w:uiPriority w:val="99"/>
    <w:unhideWhenUsed/>
    <w:rsid w:val="00F45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76D"/>
  </w:style>
  <w:style w:type="paragraph" w:styleId="Footer">
    <w:name w:val="footer"/>
    <w:basedOn w:val="Normal"/>
    <w:link w:val="FooterChar"/>
    <w:uiPriority w:val="99"/>
    <w:unhideWhenUsed/>
    <w:rsid w:val="00F45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76D"/>
  </w:style>
  <w:style w:type="paragraph" w:styleId="BalloonText">
    <w:name w:val="Balloon Text"/>
    <w:basedOn w:val="Normal"/>
    <w:link w:val="BalloonTextChar"/>
    <w:uiPriority w:val="99"/>
    <w:semiHidden/>
    <w:unhideWhenUsed/>
    <w:rsid w:val="0033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E57"/>
    <w:pPr>
      <w:ind w:left="720"/>
      <w:contextualSpacing/>
    </w:pPr>
  </w:style>
  <w:style w:type="paragraph" w:styleId="Header">
    <w:name w:val="header"/>
    <w:basedOn w:val="Normal"/>
    <w:link w:val="HeaderChar"/>
    <w:uiPriority w:val="99"/>
    <w:unhideWhenUsed/>
    <w:rsid w:val="00F45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76D"/>
  </w:style>
  <w:style w:type="paragraph" w:styleId="Footer">
    <w:name w:val="footer"/>
    <w:basedOn w:val="Normal"/>
    <w:link w:val="FooterChar"/>
    <w:uiPriority w:val="99"/>
    <w:unhideWhenUsed/>
    <w:rsid w:val="00F45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76D"/>
  </w:style>
  <w:style w:type="paragraph" w:styleId="BalloonText">
    <w:name w:val="Balloon Text"/>
    <w:basedOn w:val="Normal"/>
    <w:link w:val="BalloonTextChar"/>
    <w:uiPriority w:val="99"/>
    <w:semiHidden/>
    <w:unhideWhenUsed/>
    <w:rsid w:val="0033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937">
      <w:bodyDiv w:val="1"/>
      <w:marLeft w:val="0"/>
      <w:marRight w:val="0"/>
      <w:marTop w:val="0"/>
      <w:marBottom w:val="0"/>
      <w:divBdr>
        <w:top w:val="none" w:sz="0" w:space="0" w:color="auto"/>
        <w:left w:val="none" w:sz="0" w:space="0" w:color="auto"/>
        <w:bottom w:val="none" w:sz="0" w:space="0" w:color="auto"/>
        <w:right w:val="none" w:sz="0" w:space="0" w:color="auto"/>
      </w:divBdr>
    </w:div>
    <w:div w:id="78909067">
      <w:bodyDiv w:val="1"/>
      <w:marLeft w:val="0"/>
      <w:marRight w:val="0"/>
      <w:marTop w:val="0"/>
      <w:marBottom w:val="0"/>
      <w:divBdr>
        <w:top w:val="none" w:sz="0" w:space="0" w:color="auto"/>
        <w:left w:val="none" w:sz="0" w:space="0" w:color="auto"/>
        <w:bottom w:val="none" w:sz="0" w:space="0" w:color="auto"/>
        <w:right w:val="none" w:sz="0" w:space="0" w:color="auto"/>
      </w:divBdr>
    </w:div>
    <w:div w:id="187764620">
      <w:bodyDiv w:val="1"/>
      <w:marLeft w:val="0"/>
      <w:marRight w:val="0"/>
      <w:marTop w:val="0"/>
      <w:marBottom w:val="0"/>
      <w:divBdr>
        <w:top w:val="none" w:sz="0" w:space="0" w:color="auto"/>
        <w:left w:val="none" w:sz="0" w:space="0" w:color="auto"/>
        <w:bottom w:val="none" w:sz="0" w:space="0" w:color="auto"/>
        <w:right w:val="none" w:sz="0" w:space="0" w:color="auto"/>
      </w:divBdr>
    </w:div>
    <w:div w:id="286855603">
      <w:bodyDiv w:val="1"/>
      <w:marLeft w:val="0"/>
      <w:marRight w:val="0"/>
      <w:marTop w:val="0"/>
      <w:marBottom w:val="0"/>
      <w:divBdr>
        <w:top w:val="none" w:sz="0" w:space="0" w:color="auto"/>
        <w:left w:val="none" w:sz="0" w:space="0" w:color="auto"/>
        <w:bottom w:val="none" w:sz="0" w:space="0" w:color="auto"/>
        <w:right w:val="none" w:sz="0" w:space="0" w:color="auto"/>
      </w:divBdr>
    </w:div>
    <w:div w:id="381909298">
      <w:bodyDiv w:val="1"/>
      <w:marLeft w:val="0"/>
      <w:marRight w:val="0"/>
      <w:marTop w:val="0"/>
      <w:marBottom w:val="0"/>
      <w:divBdr>
        <w:top w:val="none" w:sz="0" w:space="0" w:color="auto"/>
        <w:left w:val="none" w:sz="0" w:space="0" w:color="auto"/>
        <w:bottom w:val="none" w:sz="0" w:space="0" w:color="auto"/>
        <w:right w:val="none" w:sz="0" w:space="0" w:color="auto"/>
      </w:divBdr>
    </w:div>
    <w:div w:id="508787817">
      <w:bodyDiv w:val="1"/>
      <w:marLeft w:val="0"/>
      <w:marRight w:val="0"/>
      <w:marTop w:val="0"/>
      <w:marBottom w:val="0"/>
      <w:divBdr>
        <w:top w:val="none" w:sz="0" w:space="0" w:color="auto"/>
        <w:left w:val="none" w:sz="0" w:space="0" w:color="auto"/>
        <w:bottom w:val="none" w:sz="0" w:space="0" w:color="auto"/>
        <w:right w:val="none" w:sz="0" w:space="0" w:color="auto"/>
      </w:divBdr>
    </w:div>
    <w:div w:id="529218613">
      <w:bodyDiv w:val="1"/>
      <w:marLeft w:val="0"/>
      <w:marRight w:val="0"/>
      <w:marTop w:val="0"/>
      <w:marBottom w:val="0"/>
      <w:divBdr>
        <w:top w:val="none" w:sz="0" w:space="0" w:color="auto"/>
        <w:left w:val="none" w:sz="0" w:space="0" w:color="auto"/>
        <w:bottom w:val="none" w:sz="0" w:space="0" w:color="auto"/>
        <w:right w:val="none" w:sz="0" w:space="0" w:color="auto"/>
      </w:divBdr>
    </w:div>
    <w:div w:id="827667724">
      <w:bodyDiv w:val="1"/>
      <w:marLeft w:val="0"/>
      <w:marRight w:val="0"/>
      <w:marTop w:val="0"/>
      <w:marBottom w:val="0"/>
      <w:divBdr>
        <w:top w:val="none" w:sz="0" w:space="0" w:color="auto"/>
        <w:left w:val="none" w:sz="0" w:space="0" w:color="auto"/>
        <w:bottom w:val="none" w:sz="0" w:space="0" w:color="auto"/>
        <w:right w:val="none" w:sz="0" w:space="0" w:color="auto"/>
      </w:divBdr>
    </w:div>
    <w:div w:id="857238290">
      <w:bodyDiv w:val="1"/>
      <w:marLeft w:val="0"/>
      <w:marRight w:val="0"/>
      <w:marTop w:val="0"/>
      <w:marBottom w:val="0"/>
      <w:divBdr>
        <w:top w:val="none" w:sz="0" w:space="0" w:color="auto"/>
        <w:left w:val="none" w:sz="0" w:space="0" w:color="auto"/>
        <w:bottom w:val="none" w:sz="0" w:space="0" w:color="auto"/>
        <w:right w:val="none" w:sz="0" w:space="0" w:color="auto"/>
      </w:divBdr>
    </w:div>
    <w:div w:id="904266846">
      <w:bodyDiv w:val="1"/>
      <w:marLeft w:val="0"/>
      <w:marRight w:val="0"/>
      <w:marTop w:val="0"/>
      <w:marBottom w:val="0"/>
      <w:divBdr>
        <w:top w:val="none" w:sz="0" w:space="0" w:color="auto"/>
        <w:left w:val="none" w:sz="0" w:space="0" w:color="auto"/>
        <w:bottom w:val="none" w:sz="0" w:space="0" w:color="auto"/>
        <w:right w:val="none" w:sz="0" w:space="0" w:color="auto"/>
      </w:divBdr>
    </w:div>
    <w:div w:id="1052465256">
      <w:bodyDiv w:val="1"/>
      <w:marLeft w:val="0"/>
      <w:marRight w:val="0"/>
      <w:marTop w:val="0"/>
      <w:marBottom w:val="0"/>
      <w:divBdr>
        <w:top w:val="none" w:sz="0" w:space="0" w:color="auto"/>
        <w:left w:val="none" w:sz="0" w:space="0" w:color="auto"/>
        <w:bottom w:val="none" w:sz="0" w:space="0" w:color="auto"/>
        <w:right w:val="none" w:sz="0" w:space="0" w:color="auto"/>
      </w:divBdr>
    </w:div>
    <w:div w:id="1090199636">
      <w:bodyDiv w:val="1"/>
      <w:marLeft w:val="0"/>
      <w:marRight w:val="0"/>
      <w:marTop w:val="0"/>
      <w:marBottom w:val="0"/>
      <w:divBdr>
        <w:top w:val="none" w:sz="0" w:space="0" w:color="auto"/>
        <w:left w:val="none" w:sz="0" w:space="0" w:color="auto"/>
        <w:bottom w:val="none" w:sz="0" w:space="0" w:color="auto"/>
        <w:right w:val="none" w:sz="0" w:space="0" w:color="auto"/>
      </w:divBdr>
    </w:div>
    <w:div w:id="1112475094">
      <w:bodyDiv w:val="1"/>
      <w:marLeft w:val="0"/>
      <w:marRight w:val="0"/>
      <w:marTop w:val="0"/>
      <w:marBottom w:val="0"/>
      <w:divBdr>
        <w:top w:val="none" w:sz="0" w:space="0" w:color="auto"/>
        <w:left w:val="none" w:sz="0" w:space="0" w:color="auto"/>
        <w:bottom w:val="none" w:sz="0" w:space="0" w:color="auto"/>
        <w:right w:val="none" w:sz="0" w:space="0" w:color="auto"/>
      </w:divBdr>
    </w:div>
    <w:div w:id="1227717896">
      <w:bodyDiv w:val="1"/>
      <w:marLeft w:val="0"/>
      <w:marRight w:val="0"/>
      <w:marTop w:val="0"/>
      <w:marBottom w:val="0"/>
      <w:divBdr>
        <w:top w:val="none" w:sz="0" w:space="0" w:color="auto"/>
        <w:left w:val="none" w:sz="0" w:space="0" w:color="auto"/>
        <w:bottom w:val="none" w:sz="0" w:space="0" w:color="auto"/>
        <w:right w:val="none" w:sz="0" w:space="0" w:color="auto"/>
      </w:divBdr>
    </w:div>
    <w:div w:id="1328631738">
      <w:bodyDiv w:val="1"/>
      <w:marLeft w:val="0"/>
      <w:marRight w:val="0"/>
      <w:marTop w:val="0"/>
      <w:marBottom w:val="0"/>
      <w:divBdr>
        <w:top w:val="none" w:sz="0" w:space="0" w:color="auto"/>
        <w:left w:val="none" w:sz="0" w:space="0" w:color="auto"/>
        <w:bottom w:val="none" w:sz="0" w:space="0" w:color="auto"/>
        <w:right w:val="none" w:sz="0" w:space="0" w:color="auto"/>
      </w:divBdr>
    </w:div>
    <w:div w:id="1334651194">
      <w:bodyDiv w:val="1"/>
      <w:marLeft w:val="0"/>
      <w:marRight w:val="0"/>
      <w:marTop w:val="0"/>
      <w:marBottom w:val="0"/>
      <w:divBdr>
        <w:top w:val="none" w:sz="0" w:space="0" w:color="auto"/>
        <w:left w:val="none" w:sz="0" w:space="0" w:color="auto"/>
        <w:bottom w:val="none" w:sz="0" w:space="0" w:color="auto"/>
        <w:right w:val="none" w:sz="0" w:space="0" w:color="auto"/>
      </w:divBdr>
    </w:div>
    <w:div w:id="1456100210">
      <w:bodyDiv w:val="1"/>
      <w:marLeft w:val="0"/>
      <w:marRight w:val="0"/>
      <w:marTop w:val="0"/>
      <w:marBottom w:val="0"/>
      <w:divBdr>
        <w:top w:val="none" w:sz="0" w:space="0" w:color="auto"/>
        <w:left w:val="none" w:sz="0" w:space="0" w:color="auto"/>
        <w:bottom w:val="none" w:sz="0" w:space="0" w:color="auto"/>
        <w:right w:val="none" w:sz="0" w:space="0" w:color="auto"/>
      </w:divBdr>
    </w:div>
    <w:div w:id="1531529172">
      <w:bodyDiv w:val="1"/>
      <w:marLeft w:val="0"/>
      <w:marRight w:val="0"/>
      <w:marTop w:val="0"/>
      <w:marBottom w:val="0"/>
      <w:divBdr>
        <w:top w:val="none" w:sz="0" w:space="0" w:color="auto"/>
        <w:left w:val="none" w:sz="0" w:space="0" w:color="auto"/>
        <w:bottom w:val="none" w:sz="0" w:space="0" w:color="auto"/>
        <w:right w:val="none" w:sz="0" w:space="0" w:color="auto"/>
      </w:divBdr>
    </w:div>
    <w:div w:id="1537154719">
      <w:bodyDiv w:val="1"/>
      <w:marLeft w:val="0"/>
      <w:marRight w:val="0"/>
      <w:marTop w:val="0"/>
      <w:marBottom w:val="0"/>
      <w:divBdr>
        <w:top w:val="none" w:sz="0" w:space="0" w:color="auto"/>
        <w:left w:val="none" w:sz="0" w:space="0" w:color="auto"/>
        <w:bottom w:val="none" w:sz="0" w:space="0" w:color="auto"/>
        <w:right w:val="none" w:sz="0" w:space="0" w:color="auto"/>
      </w:divBdr>
    </w:div>
    <w:div w:id="1569420535">
      <w:bodyDiv w:val="1"/>
      <w:marLeft w:val="0"/>
      <w:marRight w:val="0"/>
      <w:marTop w:val="0"/>
      <w:marBottom w:val="0"/>
      <w:divBdr>
        <w:top w:val="none" w:sz="0" w:space="0" w:color="auto"/>
        <w:left w:val="none" w:sz="0" w:space="0" w:color="auto"/>
        <w:bottom w:val="none" w:sz="0" w:space="0" w:color="auto"/>
        <w:right w:val="none" w:sz="0" w:space="0" w:color="auto"/>
      </w:divBdr>
    </w:div>
    <w:div w:id="1908418168">
      <w:bodyDiv w:val="1"/>
      <w:marLeft w:val="0"/>
      <w:marRight w:val="0"/>
      <w:marTop w:val="0"/>
      <w:marBottom w:val="0"/>
      <w:divBdr>
        <w:top w:val="none" w:sz="0" w:space="0" w:color="auto"/>
        <w:left w:val="none" w:sz="0" w:space="0" w:color="auto"/>
        <w:bottom w:val="none" w:sz="0" w:space="0" w:color="auto"/>
        <w:right w:val="none" w:sz="0" w:space="0" w:color="auto"/>
      </w:divBdr>
    </w:div>
    <w:div w:id="1919559350">
      <w:bodyDiv w:val="1"/>
      <w:marLeft w:val="0"/>
      <w:marRight w:val="0"/>
      <w:marTop w:val="0"/>
      <w:marBottom w:val="0"/>
      <w:divBdr>
        <w:top w:val="none" w:sz="0" w:space="0" w:color="auto"/>
        <w:left w:val="none" w:sz="0" w:space="0" w:color="auto"/>
        <w:bottom w:val="none" w:sz="0" w:space="0" w:color="auto"/>
        <w:right w:val="none" w:sz="0" w:space="0" w:color="auto"/>
      </w:divBdr>
    </w:div>
    <w:div w:id="1932813435">
      <w:bodyDiv w:val="1"/>
      <w:marLeft w:val="0"/>
      <w:marRight w:val="0"/>
      <w:marTop w:val="0"/>
      <w:marBottom w:val="0"/>
      <w:divBdr>
        <w:top w:val="none" w:sz="0" w:space="0" w:color="auto"/>
        <w:left w:val="none" w:sz="0" w:space="0" w:color="auto"/>
        <w:bottom w:val="none" w:sz="0" w:space="0" w:color="auto"/>
        <w:right w:val="none" w:sz="0" w:space="0" w:color="auto"/>
      </w:divBdr>
    </w:div>
    <w:div w:id="2012249246">
      <w:bodyDiv w:val="1"/>
      <w:marLeft w:val="0"/>
      <w:marRight w:val="0"/>
      <w:marTop w:val="0"/>
      <w:marBottom w:val="0"/>
      <w:divBdr>
        <w:top w:val="none" w:sz="0" w:space="0" w:color="auto"/>
        <w:left w:val="none" w:sz="0" w:space="0" w:color="auto"/>
        <w:bottom w:val="none" w:sz="0" w:space="0" w:color="auto"/>
        <w:right w:val="none" w:sz="0" w:space="0" w:color="auto"/>
      </w:divBdr>
    </w:div>
    <w:div w:id="2044743544">
      <w:bodyDiv w:val="1"/>
      <w:marLeft w:val="0"/>
      <w:marRight w:val="0"/>
      <w:marTop w:val="0"/>
      <w:marBottom w:val="0"/>
      <w:divBdr>
        <w:top w:val="none" w:sz="0" w:space="0" w:color="auto"/>
        <w:left w:val="none" w:sz="0" w:space="0" w:color="auto"/>
        <w:bottom w:val="none" w:sz="0" w:space="0" w:color="auto"/>
        <w:right w:val="none" w:sz="0" w:space="0" w:color="auto"/>
      </w:divBdr>
    </w:div>
    <w:div w:id="2114858177">
      <w:bodyDiv w:val="1"/>
      <w:marLeft w:val="0"/>
      <w:marRight w:val="0"/>
      <w:marTop w:val="0"/>
      <w:marBottom w:val="0"/>
      <w:divBdr>
        <w:top w:val="none" w:sz="0" w:space="0" w:color="auto"/>
        <w:left w:val="none" w:sz="0" w:space="0" w:color="auto"/>
        <w:bottom w:val="none" w:sz="0" w:space="0" w:color="auto"/>
        <w:right w:val="none" w:sz="0" w:space="0" w:color="auto"/>
      </w:divBdr>
    </w:div>
    <w:div w:id="212291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1690AE1689FA42BC26B5CD96E43519" ma:contentTypeVersion="0" ma:contentTypeDescription="Create a new document." ma:contentTypeScope="" ma:versionID="aea6e69111be2eebfda56e7d48b6a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8FBAB-1BDE-4DF3-836A-CA29D04449CA}">
  <ds:schemaRefs>
    <ds:schemaRef ds:uri="http://schemas.microsoft.com/sharepoint/v3/contenttype/forms"/>
  </ds:schemaRefs>
</ds:datastoreItem>
</file>

<file path=customXml/itemProps2.xml><?xml version="1.0" encoding="utf-8"?>
<ds:datastoreItem xmlns:ds="http://schemas.openxmlformats.org/officeDocument/2006/customXml" ds:itemID="{CE9FA608-8ACF-458F-A51A-94917DC53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DB7ECA-9BAA-4E34-ACA5-89093522E735}">
  <ds:schemaRef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A3C4D3EF-61A1-45F8-8A03-1B9ED1F1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Empire District Electric</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Stein</dc:creator>
  <cp:lastModifiedBy>Bill Eichman</cp:lastModifiedBy>
  <cp:revision>7</cp:revision>
  <cp:lastPrinted>2015-07-10T12:58:00Z</cp:lastPrinted>
  <dcterms:created xsi:type="dcterms:W3CDTF">2015-08-24T19:24:00Z</dcterms:created>
  <dcterms:modified xsi:type="dcterms:W3CDTF">2015-09-09T20:58:00Z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0x010100131690AE1689FA42BC26B5CD96E43519</vt:lpwstr>
  </property>
</Properties>
</file>