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98E56" w14:textId="77777777" w:rsidR="00A470BE" w:rsidRPr="00A470BE" w:rsidRDefault="00A470BE" w:rsidP="00A470BE">
      <w:pPr>
        <w:pStyle w:val="ListParagraph"/>
        <w:spacing w:after="0" w:line="240" w:lineRule="auto"/>
        <w:ind w:left="1080"/>
        <w:jc w:val="both"/>
        <w:rPr>
          <w:i/>
          <w:color w:val="000000"/>
        </w:rPr>
      </w:pPr>
    </w:p>
    <w:p w14:paraId="13D64453" w14:textId="6F38A8DD" w:rsidR="00A470BE" w:rsidRPr="00C835C4" w:rsidRDefault="00A470BE" w:rsidP="00C007B2">
      <w:pPr>
        <w:pStyle w:val="ListParagraph"/>
        <w:numPr>
          <w:ilvl w:val="0"/>
          <w:numId w:val="6"/>
        </w:numPr>
        <w:spacing w:after="0" w:line="240" w:lineRule="auto"/>
        <w:ind w:left="1080"/>
        <w:jc w:val="both"/>
        <w:rPr>
          <w:i/>
          <w:color w:val="000000"/>
        </w:rPr>
      </w:pPr>
      <w:r>
        <w:rPr>
          <w:b/>
          <w:color w:val="000000"/>
          <w:u w:val="single"/>
        </w:rPr>
        <w:t xml:space="preserve">Intangible </w:t>
      </w:r>
      <w:r w:rsidR="006E5F7D">
        <w:rPr>
          <w:b/>
          <w:color w:val="000000"/>
          <w:u w:val="single"/>
        </w:rPr>
        <w:t xml:space="preserve">and General </w:t>
      </w:r>
      <w:r>
        <w:rPr>
          <w:b/>
          <w:color w:val="000000"/>
          <w:u w:val="single"/>
        </w:rPr>
        <w:t>Plant:</w:t>
      </w:r>
      <w:r w:rsidRPr="00480431">
        <w:rPr>
          <w:b/>
          <w:color w:val="000000"/>
        </w:rPr>
        <w:t xml:space="preserve">  </w:t>
      </w:r>
      <w:r w:rsidRPr="00B03394">
        <w:rPr>
          <w:color w:val="000000"/>
        </w:rPr>
        <w:t>Intangible Plant</w:t>
      </w:r>
      <w:r w:rsidR="00C205F8" w:rsidRPr="00B03394">
        <w:rPr>
          <w:color w:val="000000"/>
        </w:rPr>
        <w:t xml:space="preserve"> and General Plant</w:t>
      </w:r>
      <w:r w:rsidRPr="00B03394">
        <w:rPr>
          <w:color w:val="000000"/>
        </w:rPr>
        <w:t xml:space="preserve"> reflected in the 201</w:t>
      </w:r>
      <w:r w:rsidR="00E00A8A" w:rsidRPr="00B03394">
        <w:rPr>
          <w:color w:val="000000"/>
        </w:rPr>
        <w:t>6</w:t>
      </w:r>
      <w:r w:rsidRPr="00B03394">
        <w:rPr>
          <w:color w:val="000000"/>
        </w:rPr>
        <w:t xml:space="preserve"> </w:t>
      </w:r>
      <w:proofErr w:type="spellStart"/>
      <w:r w:rsidRPr="00B03394">
        <w:rPr>
          <w:color w:val="000000"/>
        </w:rPr>
        <w:t>GFR</w:t>
      </w:r>
      <w:proofErr w:type="spellEnd"/>
      <w:r w:rsidRPr="00B03394">
        <w:rPr>
          <w:color w:val="000000"/>
        </w:rPr>
        <w:t xml:space="preserve"> Update includes certain costs associated with energy management</w:t>
      </w:r>
      <w:r w:rsidR="00E05D23" w:rsidRPr="00B03394">
        <w:rPr>
          <w:color w:val="000000"/>
        </w:rPr>
        <w:t xml:space="preserve"> systems</w:t>
      </w:r>
      <w:r w:rsidRPr="00B03394">
        <w:rPr>
          <w:color w:val="000000"/>
        </w:rPr>
        <w:t xml:space="preserve"> </w:t>
      </w:r>
      <w:r w:rsidR="00E05D23" w:rsidRPr="00B03394">
        <w:rPr>
          <w:color w:val="000000"/>
        </w:rPr>
        <w:t>and related equipment</w:t>
      </w:r>
      <w:r w:rsidR="00B03394">
        <w:rPr>
          <w:color w:val="000000"/>
        </w:rPr>
        <w:t>.  E</w:t>
      </w:r>
      <w:r w:rsidRPr="00B03394">
        <w:rPr>
          <w:color w:val="000000"/>
        </w:rPr>
        <w:t>nergy management systems</w:t>
      </w:r>
      <w:r w:rsidR="00E05D23" w:rsidRPr="00B03394">
        <w:rPr>
          <w:color w:val="000000"/>
        </w:rPr>
        <w:t xml:space="preserve"> and related equipment</w:t>
      </w:r>
      <w:r w:rsidRPr="00B03394">
        <w:rPr>
          <w:color w:val="000000"/>
        </w:rPr>
        <w:t xml:space="preserve"> (EMS)</w:t>
      </w:r>
      <w:r w:rsidR="00B03394">
        <w:rPr>
          <w:color w:val="000000"/>
        </w:rPr>
        <w:t xml:space="preserve"> are</w:t>
      </w:r>
      <w:r w:rsidR="00A241FD" w:rsidRPr="00B03394">
        <w:rPr>
          <w:color w:val="000000"/>
        </w:rPr>
        <w:t xml:space="preserve"> typically implemented to directly and/or indirectly reduce the demand and energy requireme</w:t>
      </w:r>
      <w:r w:rsidR="00B03394">
        <w:rPr>
          <w:color w:val="000000"/>
        </w:rPr>
        <w:t>nts</w:t>
      </w:r>
      <w:r w:rsidR="00A241FD" w:rsidRPr="00B03394">
        <w:rPr>
          <w:color w:val="000000"/>
        </w:rPr>
        <w:t xml:space="preserve"> of</w:t>
      </w:r>
      <w:r w:rsidRPr="00B03394">
        <w:rPr>
          <w:color w:val="000000"/>
        </w:rPr>
        <w:t xml:space="preserve"> retail customers</w:t>
      </w:r>
      <w:r w:rsidR="00B03394">
        <w:rPr>
          <w:color w:val="000000"/>
        </w:rPr>
        <w:t xml:space="preserve"> thereby benefiting retail customers</w:t>
      </w:r>
      <w:r w:rsidR="00C205F8" w:rsidRPr="00B03394">
        <w:rPr>
          <w:color w:val="000000"/>
        </w:rPr>
        <w:t xml:space="preserve"> and</w:t>
      </w:r>
      <w:r w:rsidR="00A241FD" w:rsidRPr="00B03394">
        <w:rPr>
          <w:color w:val="000000"/>
        </w:rPr>
        <w:t xml:space="preserve"> </w:t>
      </w:r>
      <w:r w:rsidR="00C205F8" w:rsidRPr="00B03394">
        <w:rPr>
          <w:color w:val="000000"/>
        </w:rPr>
        <w:t>not</w:t>
      </w:r>
      <w:r w:rsidR="00A241FD" w:rsidRPr="00B03394">
        <w:rPr>
          <w:color w:val="000000"/>
        </w:rPr>
        <w:t xml:space="preserve"> </w:t>
      </w:r>
      <w:r w:rsidR="00C205F8" w:rsidRPr="00B03394">
        <w:rPr>
          <w:color w:val="000000"/>
        </w:rPr>
        <w:t xml:space="preserve">wholesale </w:t>
      </w:r>
      <w:r w:rsidR="001C33AC">
        <w:rPr>
          <w:color w:val="000000"/>
        </w:rPr>
        <w:t xml:space="preserve">transmission </w:t>
      </w:r>
      <w:r w:rsidR="00C205F8" w:rsidRPr="00B03394">
        <w:rPr>
          <w:color w:val="000000"/>
        </w:rPr>
        <w:t>customers</w:t>
      </w:r>
      <w:r w:rsidR="00A241FD" w:rsidRPr="00B03394">
        <w:rPr>
          <w:color w:val="000000"/>
        </w:rPr>
        <w:t>.</w:t>
      </w:r>
      <w:r w:rsidRPr="00B03394">
        <w:rPr>
          <w:color w:val="000000"/>
        </w:rPr>
        <w:t xml:space="preserve"> </w:t>
      </w:r>
      <w:r w:rsidR="00B03394" w:rsidRPr="00B03394">
        <w:rPr>
          <w:color w:val="000000"/>
        </w:rPr>
        <w:t xml:space="preserve"> As a result, the Missouri Cities believe that </w:t>
      </w:r>
      <w:r w:rsidRPr="00B03394">
        <w:rPr>
          <w:color w:val="000000"/>
        </w:rPr>
        <w:t>these costs should b</w:t>
      </w:r>
      <w:r w:rsidR="00C205F8" w:rsidRPr="00B03394">
        <w:rPr>
          <w:color w:val="000000"/>
        </w:rPr>
        <w:t xml:space="preserve">e excluded from Intangible and General Plant balances, </w:t>
      </w:r>
      <w:r w:rsidRPr="00B03394">
        <w:rPr>
          <w:color w:val="000000"/>
        </w:rPr>
        <w:t>Intangible</w:t>
      </w:r>
      <w:r w:rsidR="00C205F8" w:rsidRPr="00B03394">
        <w:rPr>
          <w:color w:val="000000"/>
        </w:rPr>
        <w:t xml:space="preserve"> and General Plant</w:t>
      </w:r>
      <w:r w:rsidRPr="00B03394">
        <w:rPr>
          <w:color w:val="000000"/>
        </w:rPr>
        <w:t xml:space="preserve"> Depreciation Reserve</w:t>
      </w:r>
      <w:r w:rsidR="00C205F8" w:rsidRPr="00B03394">
        <w:rPr>
          <w:color w:val="000000"/>
        </w:rPr>
        <w:t xml:space="preserve"> balances</w:t>
      </w:r>
      <w:r w:rsidRPr="00B03394">
        <w:rPr>
          <w:color w:val="000000"/>
        </w:rPr>
        <w:t xml:space="preserve"> and Intangible </w:t>
      </w:r>
      <w:r w:rsidR="00C205F8" w:rsidRPr="00B03394">
        <w:rPr>
          <w:color w:val="000000"/>
        </w:rPr>
        <w:t xml:space="preserve">and General </w:t>
      </w:r>
      <w:r w:rsidRPr="00B03394">
        <w:rPr>
          <w:color w:val="000000"/>
        </w:rPr>
        <w:t>Plant Depreciation Expense</w:t>
      </w:r>
      <w:r w:rsidR="00C205F8" w:rsidRPr="00B03394">
        <w:rPr>
          <w:color w:val="000000"/>
        </w:rPr>
        <w:t>s</w:t>
      </w:r>
      <w:r w:rsidRPr="00B03394">
        <w:rPr>
          <w:color w:val="000000"/>
        </w:rPr>
        <w:t xml:space="preserve">.  The </w:t>
      </w:r>
      <w:r w:rsidR="00C205F8" w:rsidRPr="00B03394">
        <w:rPr>
          <w:color w:val="000000"/>
        </w:rPr>
        <w:t xml:space="preserve">EMS amount to be excluded from Intangible </w:t>
      </w:r>
      <w:r w:rsidR="00E00A8A" w:rsidRPr="00B03394">
        <w:rPr>
          <w:color w:val="000000"/>
        </w:rPr>
        <w:t xml:space="preserve">and General </w:t>
      </w:r>
      <w:r w:rsidR="00C205F8" w:rsidRPr="00B03394">
        <w:rPr>
          <w:color w:val="000000"/>
        </w:rPr>
        <w:t xml:space="preserve">Plant </w:t>
      </w:r>
      <w:r w:rsidR="00BB47D1">
        <w:rPr>
          <w:color w:val="000000"/>
        </w:rPr>
        <w:t xml:space="preserve">in the </w:t>
      </w:r>
      <w:r w:rsidR="00C205F8" w:rsidRPr="00B03394">
        <w:rPr>
          <w:color w:val="000000"/>
        </w:rPr>
        <w:t>201</w:t>
      </w:r>
      <w:r w:rsidR="00E00A8A" w:rsidRPr="00B03394">
        <w:rPr>
          <w:color w:val="000000"/>
        </w:rPr>
        <w:t>6</w:t>
      </w:r>
      <w:r w:rsidR="00BB47D1">
        <w:rPr>
          <w:color w:val="000000"/>
        </w:rPr>
        <w:t xml:space="preserve"> </w:t>
      </w:r>
      <w:proofErr w:type="spellStart"/>
      <w:r w:rsidR="00BB47D1">
        <w:rPr>
          <w:color w:val="000000"/>
        </w:rPr>
        <w:t>GFR</w:t>
      </w:r>
      <w:proofErr w:type="spellEnd"/>
      <w:r w:rsidR="00BB47D1">
        <w:rPr>
          <w:color w:val="000000"/>
        </w:rPr>
        <w:t xml:space="preserve"> Update</w:t>
      </w:r>
      <w:r w:rsidR="00C205F8" w:rsidRPr="00B03394">
        <w:rPr>
          <w:color w:val="000000"/>
        </w:rPr>
        <w:t xml:space="preserve"> total</w:t>
      </w:r>
      <w:r w:rsidR="00E00A8A" w:rsidRPr="00B03394">
        <w:rPr>
          <w:color w:val="000000"/>
        </w:rPr>
        <w:t>s</w:t>
      </w:r>
      <w:r w:rsidR="00C205F8" w:rsidRPr="00B03394">
        <w:rPr>
          <w:color w:val="000000"/>
        </w:rPr>
        <w:t xml:space="preserve"> </w:t>
      </w:r>
      <w:r w:rsidR="00E00A8A" w:rsidRPr="00B03394">
        <w:rPr>
          <w:color w:val="000000"/>
        </w:rPr>
        <w:t>$1,455,388</w:t>
      </w:r>
      <w:r w:rsidR="00C205F8" w:rsidRPr="00B03394">
        <w:rPr>
          <w:color w:val="000000"/>
        </w:rPr>
        <w:t>.</w:t>
      </w:r>
      <w:r w:rsidR="00BB47D1">
        <w:rPr>
          <w:color w:val="000000"/>
        </w:rPr>
        <w:t xml:space="preserve">  The corresponding EMS amounts </w:t>
      </w:r>
      <w:r w:rsidR="002A5636">
        <w:rPr>
          <w:color w:val="000000"/>
        </w:rPr>
        <w:t xml:space="preserve">for </w:t>
      </w:r>
      <w:r w:rsidR="00BB47D1" w:rsidRPr="00B03394">
        <w:rPr>
          <w:color w:val="000000"/>
        </w:rPr>
        <w:t>Intangible and General Plant Depreciation Reserve balances and Intangible and General Plant Depreciation Expenses</w:t>
      </w:r>
      <w:r w:rsidR="002A5636">
        <w:rPr>
          <w:color w:val="000000"/>
        </w:rPr>
        <w:t xml:space="preserve"> should also be excluded from the 2016 </w:t>
      </w:r>
      <w:proofErr w:type="spellStart"/>
      <w:r w:rsidR="001C33AC">
        <w:rPr>
          <w:color w:val="000000"/>
        </w:rPr>
        <w:t>T</w:t>
      </w:r>
      <w:r w:rsidR="002A5636">
        <w:rPr>
          <w:color w:val="000000"/>
        </w:rPr>
        <w:t>F</w:t>
      </w:r>
      <w:r w:rsidR="001C33AC">
        <w:rPr>
          <w:color w:val="000000"/>
        </w:rPr>
        <w:t>R</w:t>
      </w:r>
      <w:proofErr w:type="spellEnd"/>
      <w:r w:rsidR="002A5636">
        <w:rPr>
          <w:color w:val="000000"/>
        </w:rPr>
        <w:t xml:space="preserve"> Update.</w:t>
      </w:r>
      <w:r w:rsidR="00BB47D1">
        <w:rPr>
          <w:color w:val="000000"/>
        </w:rPr>
        <w:t xml:space="preserve"> </w:t>
      </w:r>
      <w:r w:rsidR="00C205F8" w:rsidRPr="00B03394">
        <w:rPr>
          <w:color w:val="000000"/>
        </w:rPr>
        <w:t xml:space="preserve">  </w:t>
      </w:r>
    </w:p>
    <w:p w14:paraId="13937C41" w14:textId="77777777" w:rsidR="00C835C4" w:rsidRDefault="00C835C4" w:rsidP="00C835C4">
      <w:pPr>
        <w:pStyle w:val="ListParagraph"/>
        <w:spacing w:after="0" w:line="240" w:lineRule="auto"/>
        <w:ind w:left="1080"/>
        <w:jc w:val="both"/>
        <w:rPr>
          <w:b/>
          <w:color w:val="000000"/>
          <w:u w:val="single"/>
        </w:rPr>
      </w:pPr>
    </w:p>
    <w:p w14:paraId="7E21A07B" w14:textId="5A7D34D8" w:rsidR="007F2FC8" w:rsidRPr="007F2FC8" w:rsidRDefault="007F2FC8" w:rsidP="007F2FC8">
      <w:pPr>
        <w:pStyle w:val="ListParagraph"/>
        <w:spacing w:after="0" w:line="240" w:lineRule="auto"/>
        <w:ind w:left="1080"/>
        <w:jc w:val="both"/>
        <w:rPr>
          <w:b/>
          <w:i/>
          <w:color w:val="000000"/>
        </w:rPr>
      </w:pPr>
      <w:r>
        <w:rPr>
          <w:b/>
          <w:i/>
          <w:color w:val="000000"/>
        </w:rPr>
        <w:t xml:space="preserve">Response provided by Bill Eichman, Aaron Doll and Fred Meyer - </w:t>
      </w:r>
      <w:r w:rsidRPr="007F2FC8">
        <w:rPr>
          <w:b/>
          <w:i/>
          <w:color w:val="000000"/>
        </w:rPr>
        <w:t xml:space="preserve">Empire believes that there may be a misunderstanding of the function of our Energy Management System (“EMS”).  The EMS system referenced in </w:t>
      </w:r>
      <w:proofErr w:type="spellStart"/>
      <w:r w:rsidRPr="007F2FC8">
        <w:rPr>
          <w:b/>
          <w:i/>
          <w:color w:val="000000"/>
        </w:rPr>
        <w:t>TFR</w:t>
      </w:r>
      <w:proofErr w:type="spellEnd"/>
      <w:r w:rsidRPr="007F2FC8">
        <w:rPr>
          <w:b/>
          <w:i/>
          <w:color w:val="000000"/>
        </w:rPr>
        <w:t xml:space="preserve"> Information Requests </w:t>
      </w:r>
      <w:proofErr w:type="spellStart"/>
      <w:r w:rsidRPr="007F2FC8">
        <w:rPr>
          <w:b/>
          <w:i/>
          <w:color w:val="000000"/>
        </w:rPr>
        <w:t>Q2</w:t>
      </w:r>
      <w:proofErr w:type="spellEnd"/>
      <w:r w:rsidRPr="007F2FC8">
        <w:rPr>
          <w:b/>
          <w:i/>
          <w:color w:val="000000"/>
        </w:rPr>
        <w:t xml:space="preserve">, </w:t>
      </w:r>
      <w:proofErr w:type="spellStart"/>
      <w:r w:rsidRPr="007F2FC8">
        <w:rPr>
          <w:b/>
          <w:i/>
          <w:color w:val="000000"/>
        </w:rPr>
        <w:t>Q3</w:t>
      </w:r>
      <w:proofErr w:type="spellEnd"/>
      <w:r w:rsidRPr="007F2FC8">
        <w:rPr>
          <w:b/>
          <w:i/>
          <w:color w:val="000000"/>
        </w:rPr>
        <w:t xml:space="preserve">, and </w:t>
      </w:r>
      <w:proofErr w:type="spellStart"/>
      <w:r w:rsidRPr="007F2FC8">
        <w:rPr>
          <w:b/>
          <w:i/>
          <w:color w:val="000000"/>
        </w:rPr>
        <w:t>Q4</w:t>
      </w:r>
      <w:proofErr w:type="spellEnd"/>
      <w:r w:rsidRPr="007F2FC8">
        <w:rPr>
          <w:b/>
          <w:i/>
          <w:color w:val="000000"/>
        </w:rPr>
        <w:t xml:space="preserve"> refers to the computer system used by Empire to monitor the loads at multiple points on the EDE system and sum them into a single aggregated load that provides information to </w:t>
      </w:r>
      <w:proofErr w:type="spellStart"/>
      <w:r w:rsidRPr="007F2FC8">
        <w:rPr>
          <w:b/>
          <w:i/>
          <w:color w:val="000000"/>
        </w:rPr>
        <w:t>EDE’s</w:t>
      </w:r>
      <w:proofErr w:type="spellEnd"/>
      <w:r w:rsidRPr="007F2FC8">
        <w:rPr>
          <w:b/>
          <w:i/>
          <w:color w:val="000000"/>
        </w:rPr>
        <w:t xml:space="preserve"> Transmission Operators and Energy Supply Specialists. The aggregated real-time load (which includes both Wholesale and Retail loads) is used by the Energy Supply Specialists to balance the system loads with the various generation resources.   It is also used by the Transmission Operators at both Empire and Southwest Power Pool for the real-time monitoring of load flows.  Since the EMS system is an integral part of both the Transmission and Energy Supply functions, Empire disagrees that the allocated Intangible and General Plant Depreciation/Amortization Expense and Plant Balances associated with the EMS system should be excluded from the </w:t>
      </w:r>
      <w:proofErr w:type="spellStart"/>
      <w:r w:rsidRPr="007F2FC8">
        <w:rPr>
          <w:b/>
          <w:i/>
          <w:color w:val="000000"/>
        </w:rPr>
        <w:t>TFR</w:t>
      </w:r>
      <w:proofErr w:type="spellEnd"/>
      <w:r w:rsidRPr="007F2FC8">
        <w:rPr>
          <w:b/>
          <w:i/>
          <w:color w:val="000000"/>
        </w:rPr>
        <w:t xml:space="preserve"> template. </w:t>
      </w:r>
    </w:p>
    <w:p w14:paraId="16DA8B11" w14:textId="77777777" w:rsidR="006B30DE" w:rsidRPr="006B30DE" w:rsidRDefault="006B30DE" w:rsidP="006B30DE">
      <w:pPr>
        <w:pStyle w:val="ListParagraph"/>
        <w:spacing w:after="0" w:line="240" w:lineRule="auto"/>
        <w:ind w:left="1080"/>
        <w:jc w:val="both"/>
        <w:rPr>
          <w:color w:val="000000"/>
        </w:rPr>
      </w:pPr>
    </w:p>
    <w:p w14:paraId="6E3356DE" w14:textId="19F4635F" w:rsidR="009F2213" w:rsidRPr="00C835C4" w:rsidRDefault="00E7202E" w:rsidP="009F2213">
      <w:pPr>
        <w:pStyle w:val="ListParagraph"/>
        <w:numPr>
          <w:ilvl w:val="0"/>
          <w:numId w:val="6"/>
        </w:numPr>
        <w:tabs>
          <w:tab w:val="left" w:pos="1170"/>
        </w:tabs>
        <w:ind w:left="1080" w:hanging="270"/>
        <w:jc w:val="both"/>
      </w:pPr>
      <w:r>
        <w:rPr>
          <w:b/>
          <w:color w:val="000000"/>
          <w:u w:val="single"/>
        </w:rPr>
        <w:t>Injuries and Damages:</w:t>
      </w:r>
      <w:r w:rsidRPr="00E7202E">
        <w:rPr>
          <w:color w:val="000000"/>
        </w:rPr>
        <w:t xml:space="preserve">   </w:t>
      </w:r>
      <w:r w:rsidR="005F646B">
        <w:rPr>
          <w:color w:val="000000"/>
        </w:rPr>
        <w:t>It appears</w:t>
      </w:r>
      <w:r w:rsidR="00E23C4D">
        <w:rPr>
          <w:color w:val="000000"/>
        </w:rPr>
        <w:t xml:space="preserve"> that </w:t>
      </w:r>
      <w:r w:rsidR="00E23C4D">
        <w:t>d</w:t>
      </w:r>
      <w:r w:rsidR="00E23C4D" w:rsidRPr="00E23C4D">
        <w:t>uring 2014 Empire determined that it was no longer appropriate to reflect a contingent liability</w:t>
      </w:r>
      <w:r w:rsidR="00E23C4D">
        <w:t xml:space="preserve"> pertaining to certain legal actions</w:t>
      </w:r>
      <w:r w:rsidR="0081291B">
        <w:t xml:space="preserve"> in its injury and damages expenses</w:t>
      </w:r>
      <w:r w:rsidR="00E23C4D" w:rsidRPr="00E23C4D">
        <w:t xml:space="preserve">.  </w:t>
      </w:r>
      <w:r w:rsidR="007655BC">
        <w:t>Empire states that t</w:t>
      </w:r>
      <w:r w:rsidR="00E23C4D" w:rsidRPr="00E23C4D">
        <w:t xml:space="preserve">he elimination of these reserves reduced injuries and damages expense by approximately $0.4 million in 2014.  </w:t>
      </w:r>
      <w:r w:rsidR="007655BC">
        <w:t xml:space="preserve">Empire also states that </w:t>
      </w:r>
      <w:r w:rsidR="004C6464">
        <w:t>i</w:t>
      </w:r>
      <w:r w:rsidR="00E23C4D" w:rsidRPr="00E23C4D">
        <w:t>njuries and damages expense for 2015 does not contain such reserve</w:t>
      </w:r>
      <w:r w:rsidR="007655BC">
        <w:t xml:space="preserve"> adjustments.  </w:t>
      </w:r>
      <w:r w:rsidR="0081291B">
        <w:t>It appears that t</w:t>
      </w:r>
      <w:r w:rsidR="007655BC">
        <w:t>he c</w:t>
      </w:r>
      <w:r w:rsidR="005F646B">
        <w:t>ontin</w:t>
      </w:r>
      <w:r w:rsidR="007655BC">
        <w:t>ent liability reserves that were</w:t>
      </w:r>
      <w:r w:rsidRPr="00E7202E">
        <w:t xml:space="preserve"> accrued</w:t>
      </w:r>
      <w:r w:rsidR="007655BC">
        <w:t xml:space="preserve"> and included in the injuries and damages expense of $1,209,403</w:t>
      </w:r>
      <w:r w:rsidRPr="00E7202E">
        <w:t xml:space="preserve"> </w:t>
      </w:r>
      <w:r w:rsidR="007655BC">
        <w:t xml:space="preserve">in the 2016 </w:t>
      </w:r>
      <w:proofErr w:type="spellStart"/>
      <w:r w:rsidR="001C33AC">
        <w:t>TFR</w:t>
      </w:r>
      <w:proofErr w:type="spellEnd"/>
      <w:r w:rsidR="007655BC">
        <w:t xml:space="preserve"> Update </w:t>
      </w:r>
      <w:r w:rsidRPr="00E7202E">
        <w:t xml:space="preserve">have not been </w:t>
      </w:r>
      <w:r w:rsidR="007655BC">
        <w:t>reflected</w:t>
      </w:r>
      <w:r w:rsidRPr="00E7202E">
        <w:t xml:space="preserve"> in </w:t>
      </w:r>
      <w:r w:rsidR="001C33AC">
        <w:t>Attachment 4</w:t>
      </w:r>
      <w:r w:rsidR="007655BC">
        <w:t xml:space="preserve">, Non-Escrowed Funds, </w:t>
      </w:r>
      <w:proofErr w:type="gramStart"/>
      <w:r w:rsidRPr="00E7202E">
        <w:t>line</w:t>
      </w:r>
      <w:proofErr w:type="gramEnd"/>
      <w:r w:rsidRPr="00E7202E">
        <w:t xml:space="preserve"> 1</w:t>
      </w:r>
      <w:r w:rsidR="007655BC">
        <w:t>.</w:t>
      </w:r>
      <w:r w:rsidRPr="00E7202E">
        <w:t xml:space="preserve">  </w:t>
      </w:r>
      <w:r>
        <w:t xml:space="preserve">The </w:t>
      </w:r>
      <w:r w:rsidRPr="00E7202E">
        <w:t xml:space="preserve">Missouri Cities believe that the reserves should be included in </w:t>
      </w:r>
      <w:r w:rsidR="001C33AC">
        <w:t>Attachment 4</w:t>
      </w:r>
      <w:r w:rsidRPr="00E7202E">
        <w:t>.</w:t>
      </w:r>
      <w:r w:rsidR="009F2213">
        <w:t xml:space="preserve"> </w:t>
      </w:r>
    </w:p>
    <w:p w14:paraId="2CDC7C29" w14:textId="77777777" w:rsidR="00C835C4" w:rsidRDefault="00C835C4" w:rsidP="00C835C4">
      <w:pPr>
        <w:pStyle w:val="ListParagraph"/>
        <w:tabs>
          <w:tab w:val="left" w:pos="1170"/>
        </w:tabs>
        <w:ind w:left="1080"/>
        <w:jc w:val="both"/>
        <w:rPr>
          <w:b/>
          <w:color w:val="000000"/>
          <w:u w:val="single"/>
        </w:rPr>
      </w:pPr>
    </w:p>
    <w:p w14:paraId="4195C399" w14:textId="7644EAFF" w:rsidR="00FB5FF9" w:rsidRPr="00FB5FF9" w:rsidRDefault="00FB5FF9" w:rsidP="00FB5FF9">
      <w:pPr>
        <w:pStyle w:val="ListParagraph"/>
        <w:tabs>
          <w:tab w:val="left" w:pos="1170"/>
        </w:tabs>
        <w:spacing w:after="0" w:line="240" w:lineRule="auto"/>
        <w:ind w:left="1080"/>
        <w:jc w:val="both"/>
        <w:rPr>
          <w:b/>
          <w:color w:val="000000"/>
        </w:rPr>
      </w:pPr>
      <w:proofErr w:type="gramStart"/>
      <w:r w:rsidRPr="00FB5FF9">
        <w:rPr>
          <w:b/>
          <w:color w:val="000000"/>
        </w:rPr>
        <w:t xml:space="preserve">Response provided by Jeff Lee – </w:t>
      </w:r>
      <w:r w:rsidRPr="00FB5FF9">
        <w:rPr>
          <w:b/>
        </w:rPr>
        <w:t>The $1,209,403 in costs recorded in account 925 are</w:t>
      </w:r>
      <w:proofErr w:type="gramEnd"/>
      <w:r w:rsidRPr="00FB5FF9">
        <w:rPr>
          <w:b/>
        </w:rPr>
        <w:t xml:space="preserve"> not related to contingent liability reserves.  Approximately $0.8 million of the costs relate to liability insurance premiums paid.  Approximately $0.4 million of the costs relate to costs paid directly for workers’ compensation and injuries &amp; damages.  These would be an accumulation of small dollar individual claims that do not meet Empire’s accrual requirements.  The remaining amounts relate to workers’ comp and injuries and damages charges allocated to Empire for ou</w:t>
      </w:r>
      <w:r w:rsidR="00E54474">
        <w:rPr>
          <w:b/>
        </w:rPr>
        <w:t>r</w:t>
      </w:r>
      <w:r w:rsidRPr="00FB5FF9">
        <w:rPr>
          <w:b/>
        </w:rPr>
        <w:t xml:space="preserve"> </w:t>
      </w:r>
      <w:proofErr w:type="spellStart"/>
      <w:r w:rsidRPr="00FB5FF9">
        <w:rPr>
          <w:b/>
        </w:rPr>
        <w:t>Iatan</w:t>
      </w:r>
      <w:proofErr w:type="spellEnd"/>
      <w:r w:rsidRPr="00FB5FF9">
        <w:rPr>
          <w:b/>
        </w:rPr>
        <w:t xml:space="preserve"> joint venture.  All of these items were paid and expensed when incurred and a reserve was not created.  (FERC Form 1 p. 323 Line 186)</w:t>
      </w:r>
    </w:p>
    <w:p w14:paraId="42986747" w14:textId="77777777" w:rsidR="00294341" w:rsidRPr="00294341" w:rsidRDefault="00294341" w:rsidP="00294341">
      <w:pPr>
        <w:pStyle w:val="ListParagraph"/>
        <w:rPr>
          <w:i/>
          <w:color w:val="000000"/>
        </w:rPr>
      </w:pPr>
    </w:p>
    <w:p w14:paraId="6BBEE688" w14:textId="7BD35E6A" w:rsidR="00EE036B" w:rsidRPr="00474DF8" w:rsidRDefault="00E7202E" w:rsidP="009B33A0">
      <w:pPr>
        <w:pStyle w:val="ListParagraph"/>
        <w:numPr>
          <w:ilvl w:val="0"/>
          <w:numId w:val="6"/>
        </w:numPr>
        <w:tabs>
          <w:tab w:val="left" w:pos="1170"/>
        </w:tabs>
        <w:ind w:left="1080" w:hanging="270"/>
        <w:jc w:val="both"/>
      </w:pPr>
      <w:r w:rsidRPr="00E7202E">
        <w:rPr>
          <w:b/>
          <w:color w:val="000000"/>
          <w:u w:val="single"/>
        </w:rPr>
        <w:t xml:space="preserve">Merger of Empire and </w:t>
      </w:r>
      <w:proofErr w:type="spellStart"/>
      <w:r w:rsidRPr="00E7202E">
        <w:rPr>
          <w:b/>
          <w:color w:val="000000"/>
          <w:u w:val="single"/>
        </w:rPr>
        <w:t>Algonguin</w:t>
      </w:r>
      <w:proofErr w:type="spellEnd"/>
      <w:r w:rsidRPr="00E7202E">
        <w:rPr>
          <w:b/>
          <w:color w:val="000000"/>
          <w:u w:val="single"/>
        </w:rPr>
        <w:t xml:space="preserve"> Power</w:t>
      </w:r>
      <w:r w:rsidR="00347CFD">
        <w:rPr>
          <w:b/>
          <w:color w:val="000000"/>
          <w:u w:val="single"/>
        </w:rPr>
        <w:t xml:space="preserve"> and Utilities Corporation</w:t>
      </w:r>
      <w:r w:rsidRPr="00E7202E">
        <w:rPr>
          <w:b/>
          <w:color w:val="000000"/>
        </w:rPr>
        <w:t>:</w:t>
      </w:r>
      <w:r>
        <w:rPr>
          <w:b/>
          <w:color w:val="000000"/>
        </w:rPr>
        <w:t xml:space="preserve">  </w:t>
      </w:r>
      <w:r w:rsidR="00347CFD" w:rsidRPr="00347CFD">
        <w:rPr>
          <w:color w:val="000000"/>
        </w:rPr>
        <w:t>FERC</w:t>
      </w:r>
      <w:r w:rsidR="00347CFD">
        <w:rPr>
          <w:color w:val="000000"/>
        </w:rPr>
        <w:t xml:space="preserve"> approved the m</w:t>
      </w:r>
      <w:r w:rsidR="00347CFD">
        <w:t>erger between</w:t>
      </w:r>
      <w:r w:rsidR="00347CFD" w:rsidRPr="00CF7C2E">
        <w:t xml:space="preserve"> Empire and Algonquin Power and Utilities Corpor</w:t>
      </w:r>
      <w:r w:rsidR="00347CFD" w:rsidRPr="00347CFD">
        <w:rPr>
          <w:color w:val="000000"/>
        </w:rPr>
        <w:t>ation</w:t>
      </w:r>
      <w:r w:rsidR="009B33A0">
        <w:rPr>
          <w:color w:val="000000"/>
        </w:rPr>
        <w:t xml:space="preserve"> (“Algonquin”) on or about May 6, 2016</w:t>
      </w:r>
      <w:r w:rsidR="00347CFD" w:rsidRPr="00347CFD">
        <w:rPr>
          <w:color w:val="000000"/>
        </w:rPr>
        <w:t>.</w:t>
      </w:r>
      <w:r w:rsidR="009B33A0">
        <w:rPr>
          <w:color w:val="000000"/>
        </w:rPr>
        <w:t xml:space="preserve">  Applicant</w:t>
      </w:r>
      <w:r w:rsidR="0081291B">
        <w:rPr>
          <w:color w:val="000000"/>
        </w:rPr>
        <w:t xml:space="preserve">s in their FERC filing requesting approval of the merger </w:t>
      </w:r>
      <w:r w:rsidR="009B33A0">
        <w:rPr>
          <w:color w:val="000000"/>
        </w:rPr>
        <w:t>state</w:t>
      </w:r>
      <w:r w:rsidR="0081291B">
        <w:rPr>
          <w:color w:val="000000"/>
        </w:rPr>
        <w:t>d</w:t>
      </w:r>
      <w:r w:rsidR="009B33A0">
        <w:rPr>
          <w:color w:val="000000"/>
        </w:rPr>
        <w:t xml:space="preserve"> that they and their affiliates pledged to hold harmless all wholesale power</w:t>
      </w:r>
      <w:r w:rsidRPr="009B33A0">
        <w:rPr>
          <w:color w:val="000000"/>
        </w:rPr>
        <w:t xml:space="preserve"> and transmission</w:t>
      </w:r>
      <w:r w:rsidR="009B33A0">
        <w:rPr>
          <w:color w:val="000000"/>
        </w:rPr>
        <w:t xml:space="preserve"> customers from any costs associated with the proposed transaction.  FERC interpreted the applicant’s hold harm</w:t>
      </w:r>
      <w:r w:rsidR="003A1085">
        <w:rPr>
          <w:color w:val="000000"/>
        </w:rPr>
        <w:t>less</w:t>
      </w:r>
      <w:r w:rsidR="009B33A0">
        <w:rPr>
          <w:color w:val="000000"/>
        </w:rPr>
        <w:t xml:space="preserve"> commitment </w:t>
      </w:r>
      <w:r w:rsidR="003A1085">
        <w:rPr>
          <w:color w:val="000000"/>
        </w:rPr>
        <w:t>to app</w:t>
      </w:r>
      <w:r w:rsidR="009B33A0">
        <w:rPr>
          <w:color w:val="000000"/>
        </w:rPr>
        <w:t>ly to all transaction related costs</w:t>
      </w:r>
      <w:r w:rsidR="001E6C5D">
        <w:rPr>
          <w:color w:val="000000"/>
        </w:rPr>
        <w:t>,</w:t>
      </w:r>
      <w:r w:rsidR="009B33A0">
        <w:rPr>
          <w:color w:val="000000"/>
        </w:rPr>
        <w:t xml:space="preserve"> including cost</w:t>
      </w:r>
      <w:r w:rsidR="001E6C5D">
        <w:rPr>
          <w:color w:val="000000"/>
        </w:rPr>
        <w:t>s</w:t>
      </w:r>
      <w:r w:rsidR="009B33A0">
        <w:rPr>
          <w:color w:val="000000"/>
        </w:rPr>
        <w:t xml:space="preserve"> relating to consummating the proposed transaction</w:t>
      </w:r>
      <w:r w:rsidR="003A1085">
        <w:rPr>
          <w:color w:val="000000"/>
        </w:rPr>
        <w:t xml:space="preserve">  incurred prior to consummation or in the </w:t>
      </w:r>
      <w:r w:rsidRPr="009B33A0">
        <w:rPr>
          <w:color w:val="000000"/>
        </w:rPr>
        <w:t>five</w:t>
      </w:r>
      <w:r w:rsidR="001E6C5D">
        <w:rPr>
          <w:color w:val="000000"/>
        </w:rPr>
        <w:t>-</w:t>
      </w:r>
      <w:r w:rsidRPr="009B33A0">
        <w:rPr>
          <w:color w:val="000000"/>
        </w:rPr>
        <w:t xml:space="preserve">year period </w:t>
      </w:r>
      <w:r w:rsidR="003A1085">
        <w:rPr>
          <w:color w:val="000000"/>
        </w:rPr>
        <w:t>after consummation</w:t>
      </w:r>
      <w:r w:rsidRPr="009B33A0">
        <w:rPr>
          <w:color w:val="000000"/>
        </w:rPr>
        <w:t xml:space="preserve">.  </w:t>
      </w:r>
      <w:r w:rsidR="001E6C5D">
        <w:rPr>
          <w:color w:val="000000"/>
        </w:rPr>
        <w:t xml:space="preserve">Empire states in its response to </w:t>
      </w:r>
      <w:proofErr w:type="spellStart"/>
      <w:r w:rsidR="001C33AC">
        <w:rPr>
          <w:color w:val="000000"/>
        </w:rPr>
        <w:t>TFR</w:t>
      </w:r>
      <w:proofErr w:type="spellEnd"/>
      <w:r w:rsidR="001E6C5D">
        <w:rPr>
          <w:color w:val="000000"/>
        </w:rPr>
        <w:t xml:space="preserve"> </w:t>
      </w:r>
      <w:proofErr w:type="spellStart"/>
      <w:r w:rsidR="001E6C5D">
        <w:rPr>
          <w:color w:val="000000"/>
        </w:rPr>
        <w:t>Q2</w:t>
      </w:r>
      <w:r w:rsidR="001C33AC">
        <w:rPr>
          <w:color w:val="000000"/>
        </w:rPr>
        <w:t>6</w:t>
      </w:r>
      <w:proofErr w:type="spellEnd"/>
      <w:r w:rsidR="001E6C5D">
        <w:rPr>
          <w:color w:val="000000"/>
        </w:rPr>
        <w:t xml:space="preserve"> that i</w:t>
      </w:r>
      <w:r w:rsidR="00E3470B">
        <w:rPr>
          <w:color w:val="000000"/>
        </w:rPr>
        <w:t>t</w:t>
      </w:r>
      <w:r w:rsidR="001E6C5D">
        <w:rPr>
          <w:color w:val="000000"/>
        </w:rPr>
        <w:t xml:space="preserve"> incurred $</w:t>
      </w:r>
      <w:r w:rsidR="00765F92">
        <w:rPr>
          <w:color w:val="000000"/>
        </w:rPr>
        <w:t xml:space="preserve">251,341.63 </w:t>
      </w:r>
      <w:r w:rsidR="001E6C5D">
        <w:rPr>
          <w:color w:val="000000"/>
        </w:rPr>
        <w:t xml:space="preserve">associated with the merger in 2015 and that these costs were recorded in FERC Account 426.5, which is not included in the 2016 Update.  </w:t>
      </w:r>
      <w:r w:rsidR="00765F92">
        <w:rPr>
          <w:color w:val="000000"/>
        </w:rPr>
        <w:t xml:space="preserve">However, Empire has indicated that it will incur significant costs in connection with the merger </w:t>
      </w:r>
      <w:r w:rsidR="00765F92" w:rsidRPr="00975FB4">
        <w:rPr>
          <w:color w:val="000000"/>
        </w:rPr>
        <w:t xml:space="preserve">transaction </w:t>
      </w:r>
      <w:r w:rsidR="00EE036B" w:rsidRPr="00975FB4">
        <w:rPr>
          <w:color w:val="000000"/>
        </w:rPr>
        <w:t>[</w:t>
      </w:r>
      <w:r w:rsidR="00975FB4">
        <w:rPr>
          <w:color w:val="000000"/>
        </w:rPr>
        <w:t xml:space="preserve">total transaction cost estimated at </w:t>
      </w:r>
      <w:r w:rsidR="00EE036B" w:rsidRPr="00975FB4">
        <w:rPr>
          <w:color w:val="000000"/>
        </w:rPr>
        <w:t>$</w:t>
      </w:r>
      <w:r w:rsidR="00975FB4">
        <w:rPr>
          <w:color w:val="000000"/>
        </w:rPr>
        <w:t xml:space="preserve">15 to $17 </w:t>
      </w:r>
      <w:r w:rsidR="00EE036B" w:rsidRPr="00975FB4">
        <w:rPr>
          <w:color w:val="000000"/>
        </w:rPr>
        <w:t>million</w:t>
      </w:r>
      <w:r w:rsidR="00975FB4">
        <w:rPr>
          <w:color w:val="000000"/>
        </w:rPr>
        <w:t xml:space="preserve"> per the 2015 FERC From 1, page 123.52</w:t>
      </w:r>
      <w:r w:rsidR="00EE036B" w:rsidRPr="00975FB4">
        <w:rPr>
          <w:color w:val="000000"/>
        </w:rPr>
        <w:t xml:space="preserve">] </w:t>
      </w:r>
      <w:r w:rsidR="00765F92" w:rsidRPr="00975FB4">
        <w:rPr>
          <w:color w:val="000000"/>
        </w:rPr>
        <w:t xml:space="preserve">and Missouri Cities </w:t>
      </w:r>
      <w:r w:rsidR="00EE036B" w:rsidRPr="00975FB4">
        <w:rPr>
          <w:color w:val="000000"/>
        </w:rPr>
        <w:t>would like to better understand the types of costs that Empire anticipates i</w:t>
      </w:r>
      <w:r w:rsidR="00EE036B">
        <w:rPr>
          <w:color w:val="000000"/>
        </w:rPr>
        <w:t>ncurring</w:t>
      </w:r>
      <w:r w:rsidR="00983B59">
        <w:rPr>
          <w:color w:val="000000"/>
        </w:rPr>
        <w:t xml:space="preserve">, the FERC accounts to which these costs will be recorded, </w:t>
      </w:r>
      <w:r w:rsidR="00EE036B">
        <w:rPr>
          <w:color w:val="000000"/>
        </w:rPr>
        <w:t xml:space="preserve">and the estimated annual magnitude of </w:t>
      </w:r>
      <w:r w:rsidR="00983B59">
        <w:rPr>
          <w:color w:val="000000"/>
        </w:rPr>
        <w:t>its</w:t>
      </w:r>
      <w:r w:rsidR="00EE036B">
        <w:rPr>
          <w:color w:val="000000"/>
        </w:rPr>
        <w:t xml:space="preserve"> merger rela</w:t>
      </w:r>
      <w:r w:rsidR="00983B59">
        <w:rPr>
          <w:color w:val="000000"/>
        </w:rPr>
        <w:t>t</w:t>
      </w:r>
      <w:r w:rsidR="00EE036B">
        <w:rPr>
          <w:color w:val="000000"/>
        </w:rPr>
        <w:t xml:space="preserve">ed costs over the 2016-2021 </w:t>
      </w:r>
      <w:r w:rsidR="00B264D4">
        <w:rPr>
          <w:color w:val="000000"/>
        </w:rPr>
        <w:t>t</w:t>
      </w:r>
      <w:r w:rsidR="00EE036B">
        <w:rPr>
          <w:color w:val="000000"/>
        </w:rPr>
        <w:t>ime period</w:t>
      </w:r>
      <w:r w:rsidR="00983B59">
        <w:rPr>
          <w:color w:val="000000"/>
        </w:rPr>
        <w:t>.</w:t>
      </w:r>
      <w:r w:rsidR="00EE036B">
        <w:rPr>
          <w:color w:val="000000"/>
        </w:rPr>
        <w:t xml:space="preserve">  </w:t>
      </w:r>
      <w:r w:rsidR="00765F92">
        <w:rPr>
          <w:color w:val="000000"/>
        </w:rPr>
        <w:t xml:space="preserve">  </w:t>
      </w:r>
    </w:p>
    <w:p w14:paraId="159EE426" w14:textId="77777777" w:rsidR="00EE036B" w:rsidRPr="00474DF8" w:rsidRDefault="00EE036B" w:rsidP="00474DF8">
      <w:pPr>
        <w:pStyle w:val="ListParagraph"/>
        <w:tabs>
          <w:tab w:val="left" w:pos="1170"/>
        </w:tabs>
        <w:ind w:left="1080"/>
        <w:jc w:val="both"/>
      </w:pPr>
    </w:p>
    <w:p w14:paraId="0BA33949" w14:textId="128C9BE6" w:rsidR="00B264D4" w:rsidRDefault="00983B59" w:rsidP="00B264D4">
      <w:pPr>
        <w:pStyle w:val="ListParagraph"/>
        <w:tabs>
          <w:tab w:val="left" w:pos="1170"/>
        </w:tabs>
        <w:ind w:left="1080"/>
        <w:jc w:val="both"/>
        <w:rPr>
          <w:color w:val="FF0000"/>
        </w:rPr>
      </w:pPr>
      <w:r>
        <w:rPr>
          <w:color w:val="000000"/>
        </w:rPr>
        <w:t xml:space="preserve">Missouri Cities therefore request that Empire provide a detailed listing and description of its merger related costs incurred in 2014, 2015 and 2016 to date and its annual estimate of merger related costs for the remainder of 2016 and from 2017-2021.  Missouri Cities anticipate that Empire’s merger related costs could include Outside Services costs, </w:t>
      </w:r>
      <w:proofErr w:type="spellStart"/>
      <w:r>
        <w:rPr>
          <w:color w:val="000000"/>
        </w:rPr>
        <w:t>A&amp;G</w:t>
      </w:r>
      <w:proofErr w:type="spellEnd"/>
      <w:r>
        <w:rPr>
          <w:color w:val="000000"/>
        </w:rPr>
        <w:t xml:space="preserve"> salaries and wages, payroll related taxes, pension and benefits related costs</w:t>
      </w:r>
      <w:r w:rsidR="00B264D4">
        <w:rPr>
          <w:color w:val="000000"/>
        </w:rPr>
        <w:t>, office supplies and expenses, rents, costs associated with Board deliberation of the merger</w:t>
      </w:r>
      <w:r w:rsidR="00646A7A">
        <w:rPr>
          <w:color w:val="000000"/>
        </w:rPr>
        <w:t>,</w:t>
      </w:r>
      <w:r w:rsidR="00B264D4">
        <w:rPr>
          <w:color w:val="000000"/>
        </w:rPr>
        <w:t xml:space="preserve"> etc.</w:t>
      </w:r>
      <w:r w:rsidR="00486BE3">
        <w:rPr>
          <w:color w:val="000000"/>
        </w:rPr>
        <w:t xml:space="preserve"> </w:t>
      </w:r>
    </w:p>
    <w:p w14:paraId="414EEB64" w14:textId="77777777" w:rsidR="00C835C4" w:rsidRDefault="00C835C4" w:rsidP="00B264D4">
      <w:pPr>
        <w:pStyle w:val="ListParagraph"/>
        <w:tabs>
          <w:tab w:val="left" w:pos="1170"/>
        </w:tabs>
        <w:ind w:left="1080"/>
        <w:jc w:val="both"/>
        <w:rPr>
          <w:color w:val="FF0000"/>
        </w:rPr>
      </w:pPr>
    </w:p>
    <w:p w14:paraId="106BA025" w14:textId="262E886A" w:rsidR="00323D6B" w:rsidRDefault="00323D6B" w:rsidP="00323D6B">
      <w:pPr>
        <w:pStyle w:val="ListParagraph"/>
        <w:spacing w:after="0" w:line="240" w:lineRule="auto"/>
        <w:ind w:left="1080"/>
        <w:jc w:val="both"/>
        <w:rPr>
          <w:b/>
          <w:i/>
          <w:color w:val="000000"/>
        </w:rPr>
      </w:pPr>
      <w:r>
        <w:rPr>
          <w:b/>
          <w:i/>
          <w:color w:val="000000"/>
        </w:rPr>
        <w:t xml:space="preserve">Response provided by Laurie Delano - </w:t>
      </w:r>
      <w:r w:rsidRPr="00323D6B">
        <w:rPr>
          <w:b/>
          <w:i/>
          <w:color w:val="000000"/>
        </w:rPr>
        <w:t xml:space="preserve">The estimate of $15 to $17 million of transaction costs discussed in the 2015 FERC Form 1 page 123.52, primarily includes fees payable to our acquisition advisor, </w:t>
      </w:r>
      <w:proofErr w:type="spellStart"/>
      <w:r w:rsidRPr="00323D6B">
        <w:rPr>
          <w:b/>
          <w:i/>
          <w:color w:val="000000"/>
        </w:rPr>
        <w:t>Moelis</w:t>
      </w:r>
      <w:proofErr w:type="spellEnd"/>
      <w:r w:rsidRPr="00323D6B">
        <w:rPr>
          <w:b/>
          <w:i/>
          <w:color w:val="000000"/>
        </w:rPr>
        <w:t>, along with legal fees associated with the transaction.  These costs will be incurred in 2016 and 2017.  No additional acquisition costs are expected beyond 2017.   Consistent with the FERC Form 1, these costs will be recorded in account 426.5 for FERC reporting purposes.   Costs incurred to date are summarized as follows.  The detail is included in Attachment 1.</w:t>
      </w:r>
    </w:p>
    <w:p w14:paraId="0FCC2831" w14:textId="77777777" w:rsidR="00323D6B" w:rsidRPr="00323D6B" w:rsidRDefault="00323D6B" w:rsidP="00323D6B">
      <w:pPr>
        <w:pStyle w:val="ListParagraph"/>
        <w:spacing w:after="0" w:line="240" w:lineRule="auto"/>
        <w:ind w:left="1080"/>
        <w:jc w:val="both"/>
        <w:rPr>
          <w:b/>
          <w:i/>
          <w:color w:val="000000"/>
        </w:rPr>
      </w:pPr>
    </w:p>
    <w:p w14:paraId="0BEB637E" w14:textId="71C88FDC" w:rsidR="00323D6B" w:rsidRPr="00323D6B" w:rsidRDefault="00323D6B" w:rsidP="00E54474">
      <w:pPr>
        <w:pStyle w:val="ListParagraph"/>
        <w:spacing w:after="0" w:line="240" w:lineRule="auto"/>
        <w:jc w:val="center"/>
        <w:rPr>
          <w:b/>
          <w:i/>
          <w:color w:val="000000"/>
        </w:rPr>
      </w:pPr>
      <w:bookmarkStart w:id="0" w:name="_GoBack"/>
      <w:r w:rsidRPr="00323D6B">
        <w:rPr>
          <w:b/>
          <w:i/>
          <w:noProof/>
          <w:color w:val="000000"/>
        </w:rPr>
        <w:drawing>
          <wp:inline distT="0" distB="0" distL="0" distR="0" wp14:anchorId="3F6B3F63" wp14:editId="7AF706B0">
            <wp:extent cx="2961005" cy="1593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1005" cy="1593850"/>
                    </a:xfrm>
                    <a:prstGeom prst="rect">
                      <a:avLst/>
                    </a:prstGeom>
                    <a:noFill/>
                    <a:ln>
                      <a:noFill/>
                    </a:ln>
                  </pic:spPr>
                </pic:pic>
              </a:graphicData>
            </a:graphic>
          </wp:inline>
        </w:drawing>
      </w:r>
      <w:bookmarkEnd w:id="0"/>
    </w:p>
    <w:p w14:paraId="60548727" w14:textId="77777777" w:rsidR="00323D6B" w:rsidRPr="00323D6B" w:rsidRDefault="00323D6B" w:rsidP="00323D6B">
      <w:pPr>
        <w:pStyle w:val="ListParagraph"/>
        <w:spacing w:after="0" w:line="240" w:lineRule="auto"/>
        <w:rPr>
          <w:b/>
          <w:i/>
          <w:color w:val="000000"/>
        </w:rPr>
      </w:pPr>
    </w:p>
    <w:p w14:paraId="25D1CDB8" w14:textId="77777777" w:rsidR="00323D6B" w:rsidRPr="00323D6B" w:rsidRDefault="00323D6B" w:rsidP="00323D6B">
      <w:pPr>
        <w:pStyle w:val="ListParagraph"/>
        <w:spacing w:after="0" w:line="240" w:lineRule="auto"/>
        <w:rPr>
          <w:b/>
          <w:i/>
          <w:color w:val="000000"/>
        </w:rPr>
      </w:pPr>
      <w:r w:rsidRPr="00323D6B">
        <w:rPr>
          <w:b/>
          <w:i/>
          <w:color w:val="000000"/>
        </w:rPr>
        <w:t xml:space="preserve">We expect to incur an additional $7 million in </w:t>
      </w:r>
      <w:proofErr w:type="spellStart"/>
      <w:r w:rsidRPr="00323D6B">
        <w:rPr>
          <w:b/>
          <w:i/>
          <w:color w:val="000000"/>
        </w:rPr>
        <w:t>Moelis</w:t>
      </w:r>
      <w:proofErr w:type="spellEnd"/>
      <w:r w:rsidRPr="00323D6B">
        <w:rPr>
          <w:b/>
          <w:i/>
          <w:color w:val="000000"/>
        </w:rPr>
        <w:t xml:space="preserve"> fees once the transaction has closed in 2017.</w:t>
      </w:r>
    </w:p>
    <w:p w14:paraId="7DE8233A" w14:textId="26810033" w:rsidR="00C835C4" w:rsidRPr="00045194" w:rsidRDefault="00C835C4" w:rsidP="00C835C4">
      <w:pPr>
        <w:pStyle w:val="ListParagraph"/>
        <w:spacing w:after="0" w:line="240" w:lineRule="auto"/>
        <w:ind w:left="1080"/>
        <w:jc w:val="both"/>
        <w:rPr>
          <w:b/>
          <w:i/>
          <w:color w:val="000000"/>
        </w:rPr>
      </w:pPr>
      <w:r w:rsidRPr="00045194">
        <w:rPr>
          <w:b/>
          <w:i/>
          <w:color w:val="000000"/>
        </w:rPr>
        <w:lastRenderedPageBreak/>
        <w:t xml:space="preserve">   </w:t>
      </w:r>
    </w:p>
    <w:p w14:paraId="3878DCA9" w14:textId="2B6AE21B" w:rsidR="00A075A5" w:rsidRPr="00C835C4" w:rsidRDefault="00A075A5" w:rsidP="00C007B2">
      <w:pPr>
        <w:pStyle w:val="ListParagraph"/>
        <w:numPr>
          <w:ilvl w:val="0"/>
          <w:numId w:val="6"/>
        </w:numPr>
        <w:spacing w:after="0" w:line="240" w:lineRule="auto"/>
        <w:ind w:left="1080"/>
        <w:jc w:val="both"/>
        <w:rPr>
          <w:i/>
          <w:color w:val="000000"/>
        </w:rPr>
      </w:pPr>
      <w:r>
        <w:rPr>
          <w:b/>
          <w:color w:val="000000"/>
          <w:u w:val="single"/>
        </w:rPr>
        <w:t>Miscellaneous General Plant</w:t>
      </w:r>
      <w:r w:rsidRPr="00337E23">
        <w:rPr>
          <w:b/>
          <w:color w:val="000000"/>
          <w:u w:val="single"/>
        </w:rPr>
        <w:t xml:space="preserve"> Expenses</w:t>
      </w:r>
      <w:r w:rsidRPr="00337E23">
        <w:rPr>
          <w:b/>
          <w:color w:val="000000"/>
        </w:rPr>
        <w:t>:</w:t>
      </w:r>
      <w:r>
        <w:rPr>
          <w:color w:val="000000"/>
        </w:rPr>
        <w:t xml:space="preserve">  Miscellaneous g</w:t>
      </w:r>
      <w:r w:rsidRPr="000A72C8">
        <w:rPr>
          <w:color w:val="000000"/>
        </w:rPr>
        <w:t>eneral</w:t>
      </w:r>
      <w:r>
        <w:rPr>
          <w:color w:val="000000"/>
        </w:rPr>
        <w:t xml:space="preserve"> plant expenses include industry association dues </w:t>
      </w:r>
      <w:r w:rsidR="00F028CD">
        <w:rPr>
          <w:color w:val="000000"/>
        </w:rPr>
        <w:t xml:space="preserve">(e.g. </w:t>
      </w:r>
      <w:r>
        <w:rPr>
          <w:color w:val="000000"/>
        </w:rPr>
        <w:t>Edison Electric Institute dues, American Gas Association dues</w:t>
      </w:r>
      <w:r w:rsidR="00F028CD">
        <w:rPr>
          <w:color w:val="000000"/>
        </w:rPr>
        <w:t>) and</w:t>
      </w:r>
      <w:r w:rsidR="00841DB3">
        <w:rPr>
          <w:color w:val="000000"/>
        </w:rPr>
        <w:t xml:space="preserve"> </w:t>
      </w:r>
      <w:r w:rsidR="00F028CD">
        <w:rPr>
          <w:color w:val="000000"/>
        </w:rPr>
        <w:t>chamber of commerce dues</w:t>
      </w:r>
      <w:r>
        <w:rPr>
          <w:color w:val="000000"/>
        </w:rPr>
        <w:t xml:space="preserve"> </w:t>
      </w:r>
      <w:r w:rsidR="00154465">
        <w:rPr>
          <w:color w:val="000000"/>
        </w:rPr>
        <w:t>[$186,517</w:t>
      </w:r>
      <w:r w:rsidR="00F028CD">
        <w:rPr>
          <w:color w:val="000000"/>
        </w:rPr>
        <w:t xml:space="preserve"> and</w:t>
      </w:r>
      <w:r w:rsidR="00154465">
        <w:rPr>
          <w:color w:val="000000"/>
        </w:rPr>
        <w:t xml:space="preserve"> </w:t>
      </w:r>
      <w:r w:rsidR="00F028CD">
        <w:rPr>
          <w:color w:val="000000"/>
        </w:rPr>
        <w:t>$41,698</w:t>
      </w:r>
      <w:r w:rsidR="00154465">
        <w:rPr>
          <w:color w:val="000000"/>
        </w:rPr>
        <w:t>]</w:t>
      </w:r>
      <w:r w:rsidR="00F028CD">
        <w:rPr>
          <w:color w:val="000000"/>
        </w:rPr>
        <w:t>.</w:t>
      </w:r>
      <w:r>
        <w:rPr>
          <w:color w:val="000000"/>
        </w:rPr>
        <w:t xml:space="preserve"> </w:t>
      </w:r>
      <w:r w:rsidR="00EF1429">
        <w:rPr>
          <w:color w:val="000000"/>
        </w:rPr>
        <w:t xml:space="preserve"> T</w:t>
      </w:r>
      <w:r>
        <w:rPr>
          <w:color w:val="000000"/>
        </w:rPr>
        <w:t xml:space="preserve">he Missouri Cities can choose </w:t>
      </w:r>
      <w:r w:rsidR="00B264D4">
        <w:rPr>
          <w:color w:val="000000"/>
        </w:rPr>
        <w:t xml:space="preserve">whether </w:t>
      </w:r>
      <w:r>
        <w:rPr>
          <w:color w:val="000000"/>
        </w:rPr>
        <w:t>to participate in these or other similar organizations</w:t>
      </w:r>
      <w:r w:rsidR="00B264D4">
        <w:rPr>
          <w:color w:val="000000"/>
        </w:rPr>
        <w:t xml:space="preserve"> and as a result would incur their own cost of doing so</w:t>
      </w:r>
      <w:r>
        <w:rPr>
          <w:color w:val="000000"/>
        </w:rPr>
        <w:t xml:space="preserve">.  The Missouri Cities believe that these </w:t>
      </w:r>
      <w:r w:rsidRPr="00A075A5">
        <w:t xml:space="preserve">costs should be excluded from </w:t>
      </w:r>
      <w:r w:rsidR="006B71BF">
        <w:t>the 201</w:t>
      </w:r>
      <w:r w:rsidR="00FD30E1">
        <w:t>6</w:t>
      </w:r>
      <w:r w:rsidR="006B71BF">
        <w:t xml:space="preserve"> </w:t>
      </w:r>
      <w:proofErr w:type="spellStart"/>
      <w:r w:rsidR="001C33AC">
        <w:t>TFR</w:t>
      </w:r>
      <w:proofErr w:type="spellEnd"/>
      <w:r w:rsidR="006B71BF">
        <w:t xml:space="preserve"> Update </w:t>
      </w:r>
      <w:r>
        <w:t>miscellaneous administrative and general expenses</w:t>
      </w:r>
      <w:r w:rsidRPr="00A075A5">
        <w:t>.</w:t>
      </w:r>
      <w:r w:rsidR="00486BE3">
        <w:t xml:space="preserve"> </w:t>
      </w:r>
    </w:p>
    <w:p w14:paraId="4D9C5E4F" w14:textId="77777777" w:rsidR="00C835C4" w:rsidRDefault="00C835C4" w:rsidP="00C835C4">
      <w:pPr>
        <w:pStyle w:val="ListParagraph"/>
        <w:spacing w:after="0" w:line="240" w:lineRule="auto"/>
        <w:ind w:left="1080"/>
        <w:jc w:val="both"/>
        <w:rPr>
          <w:b/>
          <w:color w:val="000000"/>
          <w:u w:val="single"/>
        </w:rPr>
      </w:pPr>
    </w:p>
    <w:p w14:paraId="02DAC84E" w14:textId="726DB657" w:rsidR="00C835C4" w:rsidRPr="00045194" w:rsidRDefault="00CD29C5" w:rsidP="00C835C4">
      <w:pPr>
        <w:pStyle w:val="ListParagraph"/>
        <w:spacing w:after="0" w:line="240" w:lineRule="auto"/>
        <w:ind w:left="1080"/>
        <w:jc w:val="both"/>
        <w:rPr>
          <w:b/>
          <w:i/>
          <w:color w:val="000000"/>
        </w:rPr>
      </w:pPr>
      <w:r>
        <w:rPr>
          <w:b/>
          <w:i/>
          <w:color w:val="000000"/>
        </w:rPr>
        <w:t xml:space="preserve">Response provided by Rob Sager - </w:t>
      </w:r>
      <w:r w:rsidRPr="00CD29C5">
        <w:rPr>
          <w:b/>
          <w:i/>
          <w:color w:val="000000"/>
        </w:rPr>
        <w:t xml:space="preserve">The cities would not be able to participate as a member to </w:t>
      </w:r>
      <w:proofErr w:type="spellStart"/>
      <w:r w:rsidRPr="00CD29C5">
        <w:rPr>
          <w:b/>
          <w:i/>
          <w:color w:val="000000"/>
        </w:rPr>
        <w:t>EEI</w:t>
      </w:r>
      <w:proofErr w:type="spellEnd"/>
      <w:r w:rsidRPr="00CD29C5">
        <w:rPr>
          <w:b/>
          <w:i/>
          <w:color w:val="000000"/>
        </w:rPr>
        <w:t xml:space="preserve"> or AGA. </w:t>
      </w:r>
      <w:proofErr w:type="spellStart"/>
      <w:r w:rsidRPr="00CD29C5">
        <w:rPr>
          <w:b/>
          <w:i/>
          <w:color w:val="000000"/>
        </w:rPr>
        <w:t>EEI</w:t>
      </w:r>
      <w:proofErr w:type="spellEnd"/>
      <w:r w:rsidRPr="00CD29C5">
        <w:rPr>
          <w:b/>
          <w:i/>
          <w:color w:val="000000"/>
        </w:rPr>
        <w:t xml:space="preserve"> and AGA are advocates of the respective industries which benefits not only its members but also utility customers. Our participation with local chambers and the national </w:t>
      </w:r>
      <w:proofErr w:type="spellStart"/>
      <w:r w:rsidRPr="00CD29C5">
        <w:rPr>
          <w:b/>
          <w:i/>
          <w:color w:val="000000"/>
        </w:rPr>
        <w:t>EEI</w:t>
      </w:r>
      <w:proofErr w:type="spellEnd"/>
      <w:r w:rsidRPr="00CD29C5">
        <w:rPr>
          <w:b/>
          <w:i/>
          <w:color w:val="000000"/>
        </w:rPr>
        <w:t>/AGA associations supports one of our goals to effectively meet our customers’ expectations. The costs incurred to participate in these organizations should be shared by all customers that receive benefits from our participation in the organizations.</w:t>
      </w:r>
      <w:r w:rsidR="00C835C4" w:rsidRPr="00045194">
        <w:rPr>
          <w:b/>
          <w:i/>
          <w:color w:val="000000"/>
        </w:rPr>
        <w:t xml:space="preserve">   </w:t>
      </w:r>
    </w:p>
    <w:p w14:paraId="69C13B1A" w14:textId="0BB9B60B" w:rsidR="00404E54" w:rsidRDefault="00404E54" w:rsidP="00474DF8">
      <w:pPr>
        <w:pStyle w:val="ListParagraph"/>
        <w:spacing w:after="0" w:line="240" w:lineRule="auto"/>
        <w:ind w:left="1080"/>
        <w:jc w:val="both"/>
        <w:rPr>
          <w:i/>
          <w:color w:val="000000"/>
        </w:rPr>
      </w:pPr>
      <w:r>
        <w:rPr>
          <w:i/>
          <w:color w:val="000000"/>
        </w:rPr>
        <w:t xml:space="preserve"> </w:t>
      </w:r>
    </w:p>
    <w:p w14:paraId="25FE6FAF" w14:textId="30938B82" w:rsidR="00404E54" w:rsidRPr="00C835C4" w:rsidRDefault="00404E54" w:rsidP="00474DF8">
      <w:pPr>
        <w:pStyle w:val="ListParagraph"/>
        <w:numPr>
          <w:ilvl w:val="0"/>
          <w:numId w:val="6"/>
        </w:numPr>
        <w:ind w:left="1080"/>
        <w:jc w:val="both"/>
      </w:pPr>
      <w:r>
        <w:rPr>
          <w:b/>
          <w:color w:val="000000"/>
          <w:u w:val="single"/>
        </w:rPr>
        <w:t>Transmission Plant In-Service</w:t>
      </w:r>
      <w:r w:rsidRPr="00337E23">
        <w:rPr>
          <w:b/>
          <w:color w:val="000000"/>
        </w:rPr>
        <w:t>:</w:t>
      </w:r>
      <w:r>
        <w:rPr>
          <w:color w:val="000000"/>
        </w:rPr>
        <w:t xml:space="preserve">  </w:t>
      </w:r>
      <w:r>
        <w:t xml:space="preserve">The </w:t>
      </w:r>
      <w:proofErr w:type="spellStart"/>
      <w:r>
        <w:t>TFR</w:t>
      </w:r>
      <w:proofErr w:type="spellEnd"/>
      <w:r>
        <w:t xml:space="preserve"> 2016 Update appears to include certain transmission additions that may be “distribution” facilities as opposed to transmission facilities.  For example, the list of transmission additions provided by Empire include</w:t>
      </w:r>
      <w:r w:rsidR="00474DF8">
        <w:t>s</w:t>
      </w:r>
      <w:r>
        <w:t xml:space="preserve"> a spare 69/12 kV transformer with a total cost of $192,064 (Substation 430- Newton, MO).   Missouri Cities believe that Empire’s transmission revenue requirement recovers the costs of facilities with a voltage of 34.5 kV and higher.  Therefore, inclusion of the costs of this spare transformer that steps down the voltage to a voltage that is less than 34.5 kV in the </w:t>
      </w:r>
      <w:proofErr w:type="spellStart"/>
      <w:r>
        <w:t>TFR</w:t>
      </w:r>
      <w:proofErr w:type="spellEnd"/>
      <w:r>
        <w:t xml:space="preserve"> 2016 Update is not appropriate and these costs should be excluded from the </w:t>
      </w:r>
      <w:proofErr w:type="spellStart"/>
      <w:r>
        <w:t>TFR</w:t>
      </w:r>
      <w:proofErr w:type="spellEnd"/>
      <w:r>
        <w:t xml:space="preserve"> 2016 Update.  In addition, to the extent that Empire has included the costs of other facilities with a voltage less than 34.5 kV or step-down transformers and other related equipment with a low-side voltage of less than 34.5 kV in the </w:t>
      </w:r>
      <w:proofErr w:type="spellStart"/>
      <w:r>
        <w:t>TFR</w:t>
      </w:r>
      <w:proofErr w:type="spellEnd"/>
      <w:r>
        <w:t xml:space="preserve"> 2016 Update, such costs should be exclu</w:t>
      </w:r>
      <w:r w:rsidR="00486BE3">
        <w:t xml:space="preserve">ded from the </w:t>
      </w:r>
      <w:proofErr w:type="spellStart"/>
      <w:r w:rsidR="00486BE3">
        <w:t>TFR</w:t>
      </w:r>
      <w:proofErr w:type="spellEnd"/>
      <w:r w:rsidR="00486BE3">
        <w:t xml:space="preserve"> 2016 Update. </w:t>
      </w:r>
    </w:p>
    <w:p w14:paraId="6859CFE7" w14:textId="77777777" w:rsidR="00C835C4" w:rsidRDefault="00C835C4" w:rsidP="00C835C4">
      <w:pPr>
        <w:pStyle w:val="ListParagraph"/>
        <w:ind w:left="1080"/>
        <w:jc w:val="both"/>
        <w:rPr>
          <w:b/>
          <w:color w:val="000000"/>
          <w:u w:val="single"/>
        </w:rPr>
      </w:pPr>
    </w:p>
    <w:p w14:paraId="16EFB312" w14:textId="77777777" w:rsidR="001558FF" w:rsidRPr="001558FF" w:rsidRDefault="00C835C4" w:rsidP="001558FF">
      <w:pPr>
        <w:pStyle w:val="ListParagraph"/>
        <w:spacing w:after="0" w:line="240" w:lineRule="auto"/>
        <w:ind w:left="1080"/>
        <w:jc w:val="both"/>
        <w:rPr>
          <w:b/>
          <w:i/>
          <w:color w:val="000000"/>
        </w:rPr>
      </w:pPr>
      <w:r w:rsidRPr="00045194">
        <w:rPr>
          <w:b/>
          <w:i/>
          <w:color w:val="000000"/>
        </w:rPr>
        <w:t>Response</w:t>
      </w:r>
      <w:r w:rsidR="00045194" w:rsidRPr="00045194">
        <w:rPr>
          <w:b/>
          <w:i/>
          <w:color w:val="000000"/>
        </w:rPr>
        <w:t xml:space="preserve"> provided by Karen Heady</w:t>
      </w:r>
      <w:r w:rsidRPr="00045194">
        <w:rPr>
          <w:b/>
          <w:i/>
          <w:color w:val="000000"/>
        </w:rPr>
        <w:t>:</w:t>
      </w:r>
      <w:r w:rsidR="00045194" w:rsidRPr="00045194">
        <w:rPr>
          <w:b/>
          <w:i/>
          <w:color w:val="000000"/>
        </w:rPr>
        <w:t xml:space="preserve">  </w:t>
      </w:r>
      <w:r w:rsidR="001558FF" w:rsidRPr="001558FF">
        <w:rPr>
          <w:b/>
          <w:i/>
          <w:color w:val="000000"/>
        </w:rPr>
        <w:t>The asset identified appears to have been recorded to the incorrect account in error and should be recorded as a distribution asset as opposed to transmission.  Impact to the formula rate template as follows:</w:t>
      </w:r>
    </w:p>
    <w:p w14:paraId="58B6CFD4" w14:textId="77777777" w:rsidR="001558FF" w:rsidRDefault="001558FF" w:rsidP="001558FF">
      <w:pPr>
        <w:pStyle w:val="ListParagraph"/>
        <w:spacing w:after="0" w:line="240" w:lineRule="auto"/>
        <w:ind w:left="1080"/>
        <w:jc w:val="both"/>
        <w:rPr>
          <w:b/>
          <w:i/>
          <w:color w:val="000000"/>
        </w:rPr>
      </w:pPr>
    </w:p>
    <w:p w14:paraId="04B584D9" w14:textId="77777777" w:rsidR="001558FF" w:rsidRPr="001558FF" w:rsidRDefault="001558FF" w:rsidP="001558FF">
      <w:pPr>
        <w:pStyle w:val="ListParagraph"/>
        <w:spacing w:after="0" w:line="240" w:lineRule="auto"/>
        <w:ind w:left="1080"/>
        <w:jc w:val="both"/>
        <w:rPr>
          <w:b/>
          <w:i/>
          <w:color w:val="000000"/>
        </w:rPr>
      </w:pPr>
      <w:r w:rsidRPr="001558FF">
        <w:rPr>
          <w:b/>
          <w:i/>
          <w:color w:val="000000"/>
        </w:rPr>
        <w:t>Inputs tab, Line 33, Total Transmission Plant should be reduced by $192,064;</w:t>
      </w:r>
    </w:p>
    <w:p w14:paraId="42B61B00" w14:textId="77777777" w:rsidR="001558FF" w:rsidRPr="001558FF" w:rsidRDefault="001558FF" w:rsidP="001558FF">
      <w:pPr>
        <w:pStyle w:val="ListParagraph"/>
        <w:spacing w:after="0" w:line="240" w:lineRule="auto"/>
        <w:ind w:left="1080"/>
        <w:jc w:val="both"/>
        <w:rPr>
          <w:b/>
          <w:i/>
          <w:color w:val="000000"/>
        </w:rPr>
      </w:pPr>
      <w:r w:rsidRPr="001558FF">
        <w:rPr>
          <w:b/>
          <w:i/>
          <w:color w:val="000000"/>
        </w:rPr>
        <w:t>Inputs tab, Line 47, Transmission Accumulated Depreciation should be reduced by $3,489</w:t>
      </w:r>
    </w:p>
    <w:p w14:paraId="5F36A23E" w14:textId="77777777" w:rsidR="001558FF" w:rsidRPr="001558FF" w:rsidRDefault="001558FF" w:rsidP="001558FF">
      <w:pPr>
        <w:pStyle w:val="ListParagraph"/>
        <w:spacing w:after="0" w:line="240" w:lineRule="auto"/>
        <w:ind w:left="1080"/>
        <w:jc w:val="both"/>
        <w:rPr>
          <w:b/>
          <w:i/>
          <w:color w:val="000000"/>
        </w:rPr>
      </w:pPr>
      <w:r w:rsidRPr="001558FF">
        <w:rPr>
          <w:b/>
          <w:i/>
          <w:color w:val="000000"/>
        </w:rPr>
        <w:t>Inputs tab, Line 60, Transmission Depreciation Expense should be reduced by $3,489</w:t>
      </w:r>
    </w:p>
    <w:p w14:paraId="64769F37" w14:textId="35C6DF3E" w:rsidR="001258A7" w:rsidRDefault="001558FF" w:rsidP="001558FF">
      <w:pPr>
        <w:pStyle w:val="ListParagraph"/>
        <w:spacing w:after="0" w:line="240" w:lineRule="auto"/>
        <w:ind w:left="1080"/>
        <w:jc w:val="both"/>
        <w:rPr>
          <w:b/>
          <w:i/>
          <w:color w:val="000000"/>
        </w:rPr>
      </w:pPr>
      <w:r w:rsidRPr="001558FF">
        <w:rPr>
          <w:b/>
          <w:i/>
          <w:color w:val="000000"/>
        </w:rPr>
        <w:t>All of these inputs feed tab Appendix A</w:t>
      </w:r>
    </w:p>
    <w:p w14:paraId="2EF4E56A" w14:textId="77777777" w:rsidR="00486BE3" w:rsidRPr="00A82FCD" w:rsidRDefault="00486BE3" w:rsidP="001558FF">
      <w:pPr>
        <w:pStyle w:val="ListParagraph"/>
        <w:spacing w:after="0" w:line="240" w:lineRule="auto"/>
        <w:ind w:left="1080"/>
        <w:jc w:val="both"/>
        <w:rPr>
          <w:b/>
          <w:i/>
        </w:rPr>
      </w:pPr>
    </w:p>
    <w:p w14:paraId="6819E9C6" w14:textId="77777777" w:rsidR="00486BE3" w:rsidRPr="00A82FCD" w:rsidRDefault="00486BE3" w:rsidP="00486BE3">
      <w:pPr>
        <w:pStyle w:val="ListParagraph"/>
        <w:spacing w:after="0" w:line="240" w:lineRule="auto"/>
        <w:ind w:left="1080"/>
        <w:jc w:val="both"/>
        <w:rPr>
          <w:b/>
          <w:i/>
        </w:rPr>
      </w:pPr>
      <w:r w:rsidRPr="00A82FCD">
        <w:rPr>
          <w:b/>
          <w:i/>
        </w:rPr>
        <w:t xml:space="preserve">When the changes described above are entered into the </w:t>
      </w:r>
      <w:proofErr w:type="spellStart"/>
      <w:r w:rsidRPr="00A82FCD">
        <w:rPr>
          <w:b/>
          <w:i/>
        </w:rPr>
        <w:t>TFR</w:t>
      </w:r>
      <w:proofErr w:type="spellEnd"/>
      <w:r w:rsidRPr="00A82FCD">
        <w:rPr>
          <w:b/>
          <w:i/>
        </w:rPr>
        <w:t xml:space="preserve"> template, the Gross Revenue Requirement is reduced by $22,373.  Since the 2016 Annual Update template has already been submitted to </w:t>
      </w:r>
      <w:proofErr w:type="spellStart"/>
      <w:r w:rsidRPr="00A82FCD">
        <w:rPr>
          <w:b/>
          <w:i/>
        </w:rPr>
        <w:t>SPP</w:t>
      </w:r>
      <w:proofErr w:type="spellEnd"/>
      <w:r w:rsidRPr="00A82FCD">
        <w:rPr>
          <w:b/>
          <w:i/>
        </w:rPr>
        <w:t xml:space="preserve"> and is currently being billed by </w:t>
      </w:r>
      <w:proofErr w:type="spellStart"/>
      <w:r w:rsidRPr="00A82FCD">
        <w:rPr>
          <w:b/>
          <w:i/>
        </w:rPr>
        <w:t>SPP</w:t>
      </w:r>
      <w:proofErr w:type="spellEnd"/>
      <w:r w:rsidRPr="00A82FCD">
        <w:rPr>
          <w:b/>
          <w:i/>
        </w:rPr>
        <w:t>, an adjustment in the amount of $22,373 PLUS appropriate interest at the FERC approved rate(s) [estimated at $783] will need to be made on Page 2 of the ATT-11 tab of the 2017 Annual Update.</w:t>
      </w:r>
    </w:p>
    <w:p w14:paraId="0411E7A8" w14:textId="77777777" w:rsidR="00486BE3" w:rsidRPr="00A82FCD" w:rsidRDefault="00486BE3" w:rsidP="001558FF">
      <w:pPr>
        <w:pStyle w:val="ListParagraph"/>
        <w:spacing w:after="0" w:line="240" w:lineRule="auto"/>
        <w:ind w:left="1080"/>
        <w:jc w:val="both"/>
        <w:rPr>
          <w:b/>
          <w:i/>
        </w:rPr>
      </w:pPr>
    </w:p>
    <w:p w14:paraId="296F1455" w14:textId="77777777" w:rsidR="001258A7" w:rsidRPr="00A82FCD" w:rsidRDefault="001258A7" w:rsidP="001558FF">
      <w:pPr>
        <w:pStyle w:val="ListParagraph"/>
        <w:spacing w:after="0" w:line="240" w:lineRule="auto"/>
        <w:ind w:left="1080"/>
        <w:jc w:val="both"/>
        <w:rPr>
          <w:b/>
          <w:i/>
        </w:rPr>
      </w:pPr>
    </w:p>
    <w:p w14:paraId="2DA9D460" w14:textId="77777777" w:rsidR="001258A7" w:rsidRPr="001258A7" w:rsidRDefault="001258A7" w:rsidP="001258A7">
      <w:pPr>
        <w:pStyle w:val="ListParagraph"/>
        <w:numPr>
          <w:ilvl w:val="0"/>
          <w:numId w:val="6"/>
        </w:numPr>
        <w:ind w:left="1080"/>
        <w:jc w:val="both"/>
        <w:rPr>
          <w:color w:val="000000"/>
        </w:rPr>
      </w:pPr>
      <w:r w:rsidRPr="001258A7">
        <w:rPr>
          <w:b/>
          <w:color w:val="000000"/>
          <w:u w:val="single"/>
        </w:rPr>
        <w:t>Transmission Revenue Credits</w:t>
      </w:r>
      <w:r w:rsidRPr="001258A7">
        <w:rPr>
          <w:color w:val="000000"/>
        </w:rPr>
        <w:t xml:space="preserve">:  Missouri Cities believe that the additional miscellaneous </w:t>
      </w:r>
      <w:proofErr w:type="spellStart"/>
      <w:r w:rsidRPr="001258A7">
        <w:rPr>
          <w:color w:val="000000"/>
        </w:rPr>
        <w:t>SPP</w:t>
      </w:r>
      <w:proofErr w:type="spellEnd"/>
      <w:r w:rsidRPr="001258A7">
        <w:rPr>
          <w:color w:val="000000"/>
        </w:rPr>
        <w:t xml:space="preserve"> revenues of $117,981 identified in Empire’s response to </w:t>
      </w:r>
      <w:proofErr w:type="spellStart"/>
      <w:r w:rsidRPr="001258A7">
        <w:rPr>
          <w:color w:val="000000"/>
        </w:rPr>
        <w:t>TFR</w:t>
      </w:r>
      <w:proofErr w:type="spellEnd"/>
      <w:r w:rsidRPr="001258A7">
        <w:rPr>
          <w:color w:val="000000"/>
        </w:rPr>
        <w:t xml:space="preserve"> </w:t>
      </w:r>
      <w:proofErr w:type="spellStart"/>
      <w:r w:rsidRPr="001258A7">
        <w:rPr>
          <w:color w:val="000000"/>
        </w:rPr>
        <w:t>Q15</w:t>
      </w:r>
      <w:proofErr w:type="spellEnd"/>
      <w:r w:rsidRPr="001258A7">
        <w:rPr>
          <w:color w:val="000000"/>
        </w:rPr>
        <w:t xml:space="preserve"> should be included as </w:t>
      </w:r>
      <w:r w:rsidRPr="001258A7">
        <w:rPr>
          <w:color w:val="000000"/>
        </w:rPr>
        <w:lastRenderedPageBreak/>
        <w:t xml:space="preserve">a revenue credit in the </w:t>
      </w:r>
      <w:proofErr w:type="spellStart"/>
      <w:r w:rsidRPr="001258A7">
        <w:rPr>
          <w:color w:val="000000"/>
        </w:rPr>
        <w:t>TFR</w:t>
      </w:r>
      <w:proofErr w:type="spellEnd"/>
      <w:r w:rsidRPr="001258A7">
        <w:rPr>
          <w:color w:val="000000"/>
        </w:rPr>
        <w:t xml:space="preserve"> 2016 Update, line 9 of Attachment 3.  These revenues are additional transmission related revenues received by Empire in 2015 from </w:t>
      </w:r>
      <w:proofErr w:type="spellStart"/>
      <w:r w:rsidRPr="001258A7">
        <w:rPr>
          <w:color w:val="000000"/>
        </w:rPr>
        <w:t>SPP</w:t>
      </w:r>
      <w:proofErr w:type="spellEnd"/>
      <w:r w:rsidRPr="001258A7">
        <w:rPr>
          <w:color w:val="000000"/>
        </w:rPr>
        <w:t xml:space="preserve"> that have not been included in the </w:t>
      </w:r>
      <w:proofErr w:type="spellStart"/>
      <w:r w:rsidRPr="001258A7">
        <w:rPr>
          <w:color w:val="000000"/>
        </w:rPr>
        <w:t>TFR</w:t>
      </w:r>
      <w:proofErr w:type="spellEnd"/>
      <w:r w:rsidRPr="001258A7">
        <w:rPr>
          <w:color w:val="000000"/>
        </w:rPr>
        <w:t xml:space="preserve"> 2016 Update.  To the extent Empire received similar additional miscellaneous </w:t>
      </w:r>
      <w:proofErr w:type="spellStart"/>
      <w:r w:rsidRPr="001258A7">
        <w:rPr>
          <w:color w:val="000000"/>
        </w:rPr>
        <w:t>SPP</w:t>
      </w:r>
      <w:proofErr w:type="spellEnd"/>
      <w:r w:rsidRPr="001258A7">
        <w:rPr>
          <w:color w:val="000000"/>
        </w:rPr>
        <w:t xml:space="preserve"> revenues in prior years that were not included in prior </w:t>
      </w:r>
      <w:proofErr w:type="spellStart"/>
      <w:r w:rsidRPr="001258A7">
        <w:rPr>
          <w:color w:val="000000"/>
        </w:rPr>
        <w:t>TFR</w:t>
      </w:r>
      <w:proofErr w:type="spellEnd"/>
      <w:r w:rsidRPr="001258A7">
        <w:rPr>
          <w:color w:val="000000"/>
        </w:rPr>
        <w:t xml:space="preserve"> </w:t>
      </w:r>
      <w:proofErr w:type="gramStart"/>
      <w:r w:rsidRPr="001258A7">
        <w:rPr>
          <w:color w:val="000000"/>
        </w:rPr>
        <w:t>Updates,</w:t>
      </w:r>
      <w:proofErr w:type="gramEnd"/>
      <w:r w:rsidRPr="001258A7">
        <w:rPr>
          <w:color w:val="000000"/>
        </w:rPr>
        <w:t xml:space="preserve"> the Missouri Cities believe that these revenues should also be included as a revenue credit in the appropriate </w:t>
      </w:r>
      <w:proofErr w:type="spellStart"/>
      <w:r w:rsidRPr="001258A7">
        <w:rPr>
          <w:color w:val="000000"/>
        </w:rPr>
        <w:t>TFR</w:t>
      </w:r>
      <w:proofErr w:type="spellEnd"/>
      <w:r w:rsidRPr="001258A7">
        <w:rPr>
          <w:color w:val="000000"/>
        </w:rPr>
        <w:t xml:space="preserve"> Updates.  (See Response to </w:t>
      </w:r>
      <w:proofErr w:type="spellStart"/>
      <w:r w:rsidRPr="001258A7">
        <w:rPr>
          <w:color w:val="000000"/>
        </w:rPr>
        <w:t>TFR</w:t>
      </w:r>
      <w:proofErr w:type="spellEnd"/>
      <w:r w:rsidRPr="001258A7">
        <w:rPr>
          <w:color w:val="000000"/>
        </w:rPr>
        <w:t xml:space="preserve"> </w:t>
      </w:r>
      <w:proofErr w:type="spellStart"/>
      <w:r w:rsidRPr="001258A7">
        <w:rPr>
          <w:color w:val="000000"/>
        </w:rPr>
        <w:t>Q15</w:t>
      </w:r>
      <w:proofErr w:type="spellEnd"/>
      <w:r w:rsidRPr="001258A7">
        <w:rPr>
          <w:color w:val="000000"/>
        </w:rPr>
        <w:t>)</w:t>
      </w:r>
    </w:p>
    <w:p w14:paraId="256BCD4F" w14:textId="77777777" w:rsidR="001258A7" w:rsidRDefault="001258A7" w:rsidP="001558FF">
      <w:pPr>
        <w:pStyle w:val="ListParagraph"/>
        <w:spacing w:after="0" w:line="240" w:lineRule="auto"/>
        <w:ind w:left="1080"/>
        <w:jc w:val="both"/>
        <w:rPr>
          <w:b/>
          <w:i/>
          <w:color w:val="000000"/>
        </w:rPr>
      </w:pPr>
    </w:p>
    <w:p w14:paraId="75B17B05" w14:textId="77777777" w:rsidR="007F2FC8" w:rsidRPr="007F2FC8" w:rsidRDefault="007F2FC8" w:rsidP="007F2FC8">
      <w:pPr>
        <w:pStyle w:val="ListParagraph"/>
        <w:spacing w:after="0" w:line="240" w:lineRule="auto"/>
        <w:ind w:left="1080"/>
        <w:jc w:val="both"/>
        <w:rPr>
          <w:b/>
          <w:i/>
          <w:color w:val="000000"/>
        </w:rPr>
      </w:pPr>
      <w:r>
        <w:rPr>
          <w:b/>
          <w:i/>
          <w:color w:val="000000"/>
        </w:rPr>
        <w:t xml:space="preserve">Response provided by Bill Eichman and Aaron Doll - </w:t>
      </w:r>
      <w:r w:rsidR="001258A7" w:rsidRPr="00045194">
        <w:rPr>
          <w:b/>
          <w:i/>
          <w:color w:val="000000"/>
        </w:rPr>
        <w:t xml:space="preserve">  </w:t>
      </w:r>
      <w:r w:rsidRPr="007F2FC8">
        <w:rPr>
          <w:b/>
          <w:i/>
          <w:color w:val="000000"/>
        </w:rPr>
        <w:t xml:space="preserve">The $117,981 in excess Transmission Revenues, were received from </w:t>
      </w:r>
      <w:proofErr w:type="spellStart"/>
      <w:r w:rsidRPr="007F2FC8">
        <w:rPr>
          <w:b/>
          <w:i/>
          <w:color w:val="000000"/>
        </w:rPr>
        <w:t>SPP</w:t>
      </w:r>
      <w:proofErr w:type="spellEnd"/>
      <w:r w:rsidRPr="007F2FC8">
        <w:rPr>
          <w:b/>
          <w:i/>
          <w:color w:val="000000"/>
        </w:rPr>
        <w:t xml:space="preserve"> in 2015 for the various reasons identified in </w:t>
      </w:r>
      <w:proofErr w:type="spellStart"/>
      <w:r w:rsidRPr="007F2FC8">
        <w:rPr>
          <w:b/>
          <w:i/>
          <w:color w:val="000000"/>
        </w:rPr>
        <w:t>EDE’s</w:t>
      </w:r>
      <w:proofErr w:type="spellEnd"/>
      <w:r w:rsidRPr="007F2FC8">
        <w:rPr>
          <w:b/>
          <w:i/>
          <w:color w:val="000000"/>
        </w:rPr>
        <w:t xml:space="preserve"> supplemental response to </w:t>
      </w:r>
      <w:proofErr w:type="spellStart"/>
      <w:r w:rsidRPr="007F2FC8">
        <w:rPr>
          <w:b/>
          <w:i/>
          <w:color w:val="000000"/>
        </w:rPr>
        <w:t>TFR</w:t>
      </w:r>
      <w:proofErr w:type="spellEnd"/>
      <w:r w:rsidRPr="007F2FC8">
        <w:rPr>
          <w:b/>
          <w:i/>
          <w:color w:val="000000"/>
        </w:rPr>
        <w:t xml:space="preserve"> Information request #15.  Since these revenues are the result of loads NOT included in </w:t>
      </w:r>
      <w:proofErr w:type="spellStart"/>
      <w:r w:rsidRPr="007F2FC8">
        <w:rPr>
          <w:b/>
          <w:i/>
          <w:color w:val="000000"/>
        </w:rPr>
        <w:t>EDE’s</w:t>
      </w:r>
      <w:proofErr w:type="spellEnd"/>
      <w:r w:rsidRPr="007F2FC8">
        <w:rPr>
          <w:b/>
          <w:i/>
          <w:color w:val="000000"/>
        </w:rPr>
        <w:t xml:space="preserve"> transmission divisor, but ARE a result of </w:t>
      </w:r>
      <w:proofErr w:type="spellStart"/>
      <w:r w:rsidRPr="007F2FC8">
        <w:rPr>
          <w:b/>
          <w:i/>
          <w:color w:val="000000"/>
        </w:rPr>
        <w:t>EDE’s</w:t>
      </w:r>
      <w:proofErr w:type="spellEnd"/>
      <w:r w:rsidRPr="007F2FC8">
        <w:rPr>
          <w:b/>
          <w:i/>
          <w:color w:val="000000"/>
        </w:rPr>
        <w:t xml:space="preserve"> participation in the </w:t>
      </w:r>
      <w:proofErr w:type="spellStart"/>
      <w:r w:rsidRPr="007F2FC8">
        <w:rPr>
          <w:b/>
          <w:i/>
          <w:color w:val="000000"/>
        </w:rPr>
        <w:t>SPP</w:t>
      </w:r>
      <w:proofErr w:type="spellEnd"/>
      <w:r w:rsidRPr="007F2FC8">
        <w:rPr>
          <w:b/>
          <w:i/>
          <w:color w:val="000000"/>
        </w:rPr>
        <w:t xml:space="preserve"> </w:t>
      </w:r>
      <w:proofErr w:type="spellStart"/>
      <w:r w:rsidRPr="007F2FC8">
        <w:rPr>
          <w:b/>
          <w:i/>
          <w:color w:val="000000"/>
        </w:rPr>
        <w:t>RTO</w:t>
      </w:r>
      <w:proofErr w:type="spellEnd"/>
      <w:r w:rsidRPr="007F2FC8">
        <w:rPr>
          <w:b/>
          <w:i/>
          <w:color w:val="000000"/>
        </w:rPr>
        <w:t xml:space="preserve">, Empire concurs that these revenues should have been credited back in the </w:t>
      </w:r>
      <w:proofErr w:type="spellStart"/>
      <w:r w:rsidRPr="007F2FC8">
        <w:rPr>
          <w:b/>
          <w:i/>
          <w:color w:val="000000"/>
        </w:rPr>
        <w:t>TFR</w:t>
      </w:r>
      <w:proofErr w:type="spellEnd"/>
      <w:r w:rsidRPr="007F2FC8">
        <w:rPr>
          <w:b/>
          <w:i/>
          <w:color w:val="000000"/>
        </w:rPr>
        <w:t xml:space="preserve"> template (in the input to Line 19, Page 3, of the Inputs tab).  Since the 2016 Annual Update template has already been submitted to </w:t>
      </w:r>
      <w:proofErr w:type="spellStart"/>
      <w:r w:rsidRPr="007F2FC8">
        <w:rPr>
          <w:b/>
          <w:i/>
          <w:color w:val="000000"/>
        </w:rPr>
        <w:t>SPP</w:t>
      </w:r>
      <w:proofErr w:type="spellEnd"/>
      <w:r w:rsidRPr="007F2FC8">
        <w:rPr>
          <w:b/>
          <w:i/>
          <w:color w:val="000000"/>
        </w:rPr>
        <w:t xml:space="preserve"> and is currently being billed by </w:t>
      </w:r>
      <w:proofErr w:type="spellStart"/>
      <w:r w:rsidRPr="007F2FC8">
        <w:rPr>
          <w:b/>
          <w:i/>
          <w:color w:val="000000"/>
        </w:rPr>
        <w:t>SPP</w:t>
      </w:r>
      <w:proofErr w:type="spellEnd"/>
      <w:r w:rsidRPr="007F2FC8">
        <w:rPr>
          <w:b/>
          <w:i/>
          <w:color w:val="000000"/>
        </w:rPr>
        <w:t>, an adjustment in the amount of $117,981 PLUS appropriate interest at the FERC approved rate(s) [estimated at $4,129] will need to be made on Page 2 of the ATT-11 tab of the 2017 Annual Update.</w:t>
      </w:r>
    </w:p>
    <w:p w14:paraId="3D23E3D0" w14:textId="4051E23E" w:rsidR="001258A7" w:rsidRPr="00045194" w:rsidRDefault="001258A7" w:rsidP="001258A7">
      <w:pPr>
        <w:pStyle w:val="ListParagraph"/>
        <w:spacing w:after="0" w:line="240" w:lineRule="auto"/>
        <w:ind w:left="1080"/>
        <w:jc w:val="both"/>
        <w:rPr>
          <w:b/>
          <w:i/>
          <w:color w:val="000000"/>
        </w:rPr>
      </w:pPr>
    </w:p>
    <w:p w14:paraId="134DE2AD" w14:textId="77777777" w:rsidR="001258A7" w:rsidRPr="001558FF" w:rsidRDefault="001258A7" w:rsidP="001558FF">
      <w:pPr>
        <w:pStyle w:val="ListParagraph"/>
        <w:spacing w:after="0" w:line="240" w:lineRule="auto"/>
        <w:ind w:left="1080"/>
        <w:jc w:val="both"/>
        <w:rPr>
          <w:b/>
          <w:i/>
          <w:color w:val="000000"/>
        </w:rPr>
      </w:pPr>
    </w:p>
    <w:sectPr w:rsidR="001258A7" w:rsidRPr="001558F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BA358" w14:textId="77777777" w:rsidR="00605B7D" w:rsidRDefault="00605B7D" w:rsidP="00A06601">
      <w:pPr>
        <w:spacing w:after="0" w:line="240" w:lineRule="auto"/>
      </w:pPr>
      <w:r>
        <w:separator/>
      </w:r>
    </w:p>
  </w:endnote>
  <w:endnote w:type="continuationSeparator" w:id="0">
    <w:p w14:paraId="25ACB150" w14:textId="77777777" w:rsidR="00605B7D" w:rsidRDefault="00605B7D" w:rsidP="00A0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801748"/>
      <w:docPartObj>
        <w:docPartGallery w:val="Page Numbers (Bottom of Page)"/>
        <w:docPartUnique/>
      </w:docPartObj>
    </w:sdtPr>
    <w:sdtEndPr>
      <w:rPr>
        <w:noProof/>
      </w:rPr>
    </w:sdtEndPr>
    <w:sdtContent>
      <w:p w14:paraId="0ABF5C8A" w14:textId="7819296B" w:rsidR="003E22A5" w:rsidRDefault="003E22A5">
        <w:pPr>
          <w:pStyle w:val="Footer"/>
          <w:jc w:val="center"/>
        </w:pPr>
        <w:r>
          <w:fldChar w:fldCharType="begin"/>
        </w:r>
        <w:r>
          <w:instrText xml:space="preserve"> PAGE   \* MERGEFORMAT </w:instrText>
        </w:r>
        <w:r>
          <w:fldChar w:fldCharType="separate"/>
        </w:r>
        <w:r w:rsidR="00E54474">
          <w:rPr>
            <w:noProof/>
          </w:rPr>
          <w:t>4</w:t>
        </w:r>
        <w:r>
          <w:rPr>
            <w:noProof/>
          </w:rPr>
          <w:fldChar w:fldCharType="end"/>
        </w:r>
      </w:p>
    </w:sdtContent>
  </w:sdt>
  <w:p w14:paraId="5E044525" w14:textId="77777777" w:rsidR="003E22A5" w:rsidRDefault="003E2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1E2BD" w14:textId="77777777" w:rsidR="00605B7D" w:rsidRDefault="00605B7D" w:rsidP="00A06601">
      <w:pPr>
        <w:spacing w:after="0" w:line="240" w:lineRule="auto"/>
      </w:pPr>
      <w:r>
        <w:separator/>
      </w:r>
    </w:p>
  </w:footnote>
  <w:footnote w:type="continuationSeparator" w:id="0">
    <w:p w14:paraId="44AFA82B" w14:textId="77777777" w:rsidR="00605B7D" w:rsidRDefault="00605B7D" w:rsidP="00A06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B05D" w14:textId="77777777" w:rsidR="005E0B65" w:rsidRDefault="005E0B65" w:rsidP="00A06601">
    <w:pPr>
      <w:pStyle w:val="Header"/>
      <w:jc w:val="center"/>
    </w:pPr>
    <w:r>
      <w:t>Missouri Cities</w:t>
    </w:r>
  </w:p>
  <w:p w14:paraId="3326ADA3" w14:textId="4AA5D742" w:rsidR="005E0B65" w:rsidRDefault="001C33AC" w:rsidP="00A06601">
    <w:pPr>
      <w:pStyle w:val="Header"/>
      <w:jc w:val="center"/>
      <w:rPr>
        <w:u w:val="single"/>
      </w:rPr>
    </w:pPr>
    <w:proofErr w:type="spellStart"/>
    <w:r>
      <w:rPr>
        <w:u w:val="single"/>
      </w:rPr>
      <w:t>T</w:t>
    </w:r>
    <w:r w:rsidR="005E0B65">
      <w:rPr>
        <w:u w:val="single"/>
      </w:rPr>
      <w:t>FR</w:t>
    </w:r>
    <w:proofErr w:type="spellEnd"/>
    <w:r w:rsidR="005E0B65">
      <w:rPr>
        <w:u w:val="single"/>
      </w:rPr>
      <w:t xml:space="preserve"> 2016</w:t>
    </w:r>
    <w:r w:rsidR="005E0B65" w:rsidRPr="00A06601">
      <w:rPr>
        <w:u w:val="single"/>
      </w:rPr>
      <w:t xml:space="preserve"> Update </w:t>
    </w:r>
    <w:r w:rsidR="005E0B65">
      <w:rPr>
        <w:u w:val="single"/>
      </w:rPr>
      <w:t>–</w:t>
    </w:r>
    <w:r w:rsidR="005E0B65" w:rsidRPr="00A06601">
      <w:rPr>
        <w:u w:val="single"/>
      </w:rPr>
      <w:t xml:space="preserve"> </w:t>
    </w:r>
    <w:r w:rsidR="005E0B65">
      <w:rPr>
        <w:u w:val="single"/>
      </w:rPr>
      <w:t>Preliminary Challenge List</w:t>
    </w:r>
  </w:p>
  <w:p w14:paraId="6DE0157D" w14:textId="77777777" w:rsidR="005E0B65" w:rsidRDefault="00480431" w:rsidP="00A06601">
    <w:pPr>
      <w:pStyle w:val="Header"/>
      <w:jc w:val="center"/>
      <w:rPr>
        <w:sz w:val="20"/>
        <w:szCs w:val="20"/>
      </w:rPr>
    </w:pPr>
    <w:r>
      <w:rPr>
        <w:sz w:val="20"/>
        <w:szCs w:val="20"/>
      </w:rPr>
      <w:t>(</w:t>
    </w:r>
    <w:r w:rsidR="00F028CD">
      <w:rPr>
        <w:sz w:val="20"/>
        <w:szCs w:val="20"/>
      </w:rPr>
      <w:t xml:space="preserve">Draft of </w:t>
    </w:r>
    <w:r>
      <w:rPr>
        <w:sz w:val="20"/>
        <w:szCs w:val="20"/>
      </w:rPr>
      <w:t>November 14</w:t>
    </w:r>
    <w:r w:rsidR="005E0B65">
      <w:rPr>
        <w:sz w:val="20"/>
        <w:szCs w:val="20"/>
      </w:rPr>
      <w:t>, 2016</w:t>
    </w:r>
    <w:r w:rsidR="005E0B65" w:rsidRPr="00A06601">
      <w:rPr>
        <w:sz w:val="20"/>
        <w:szCs w:val="20"/>
      </w:rPr>
      <w:t>)</w:t>
    </w:r>
  </w:p>
  <w:p w14:paraId="3B5AE623" w14:textId="77777777" w:rsidR="00486BE3" w:rsidRPr="00A06601" w:rsidRDefault="00486BE3" w:rsidP="00A06601">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46F4"/>
    <w:multiLevelType w:val="hybridMultilevel"/>
    <w:tmpl w:val="8E74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B1FBD"/>
    <w:multiLevelType w:val="hybridMultilevel"/>
    <w:tmpl w:val="93B2A44A"/>
    <w:lvl w:ilvl="0" w:tplc="AFACCF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BE46CF"/>
    <w:multiLevelType w:val="hybridMultilevel"/>
    <w:tmpl w:val="1BBE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A5A27"/>
    <w:multiLevelType w:val="hybridMultilevel"/>
    <w:tmpl w:val="D0668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55AF5"/>
    <w:multiLevelType w:val="hybridMultilevel"/>
    <w:tmpl w:val="FF4472D4"/>
    <w:lvl w:ilvl="0" w:tplc="F6385B04">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A3D0E"/>
    <w:multiLevelType w:val="hybridMultilevel"/>
    <w:tmpl w:val="D0C81446"/>
    <w:lvl w:ilvl="0" w:tplc="F4F05336">
      <w:start w:val="21"/>
      <w:numFmt w:val="decimal"/>
      <w:lvlText w:val="%1."/>
      <w:lvlJc w:val="left"/>
      <w:pPr>
        <w:ind w:left="1080" w:hanging="360"/>
      </w:pPr>
      <w:rPr>
        <w:rFonts w:hint="default"/>
        <w:color w:val="1F497D"/>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64"/>
    <w:rsid w:val="000007E4"/>
    <w:rsid w:val="00016116"/>
    <w:rsid w:val="00045194"/>
    <w:rsid w:val="000457A7"/>
    <w:rsid w:val="000602A6"/>
    <w:rsid w:val="00072524"/>
    <w:rsid w:val="000A72C8"/>
    <w:rsid w:val="000B0B59"/>
    <w:rsid w:val="000C3BE4"/>
    <w:rsid w:val="000C3C1C"/>
    <w:rsid w:val="0011203F"/>
    <w:rsid w:val="001258A7"/>
    <w:rsid w:val="00154465"/>
    <w:rsid w:val="001558FF"/>
    <w:rsid w:val="001C33AC"/>
    <w:rsid w:val="001E14BB"/>
    <w:rsid w:val="001E6C5D"/>
    <w:rsid w:val="002736E6"/>
    <w:rsid w:val="00294341"/>
    <w:rsid w:val="002A5636"/>
    <w:rsid w:val="002D33D1"/>
    <w:rsid w:val="002F6654"/>
    <w:rsid w:val="00323D6B"/>
    <w:rsid w:val="00337E23"/>
    <w:rsid w:val="00347CFD"/>
    <w:rsid w:val="003A1085"/>
    <w:rsid w:val="003A57C8"/>
    <w:rsid w:val="003E22A5"/>
    <w:rsid w:val="003F2199"/>
    <w:rsid w:val="00404E54"/>
    <w:rsid w:val="00474DF8"/>
    <w:rsid w:val="004779D5"/>
    <w:rsid w:val="00480431"/>
    <w:rsid w:val="00486BE3"/>
    <w:rsid w:val="004C6464"/>
    <w:rsid w:val="004C7A7E"/>
    <w:rsid w:val="004D6AFB"/>
    <w:rsid w:val="00551860"/>
    <w:rsid w:val="005C53B2"/>
    <w:rsid w:val="005E0B65"/>
    <w:rsid w:val="005F646B"/>
    <w:rsid w:val="00605B7D"/>
    <w:rsid w:val="00646A7A"/>
    <w:rsid w:val="00663096"/>
    <w:rsid w:val="00664CE7"/>
    <w:rsid w:val="006962E4"/>
    <w:rsid w:val="006B30DE"/>
    <w:rsid w:val="006B71BF"/>
    <w:rsid w:val="006E5F7D"/>
    <w:rsid w:val="00713145"/>
    <w:rsid w:val="00744400"/>
    <w:rsid w:val="007655BC"/>
    <w:rsid w:val="00765F92"/>
    <w:rsid w:val="007D5C88"/>
    <w:rsid w:val="007F2FC8"/>
    <w:rsid w:val="0081291B"/>
    <w:rsid w:val="00837B98"/>
    <w:rsid w:val="00841DB3"/>
    <w:rsid w:val="0088112E"/>
    <w:rsid w:val="008A7468"/>
    <w:rsid w:val="00917EDD"/>
    <w:rsid w:val="00975FB4"/>
    <w:rsid w:val="00983B59"/>
    <w:rsid w:val="00983B8A"/>
    <w:rsid w:val="009B33A0"/>
    <w:rsid w:val="009C157F"/>
    <w:rsid w:val="009D32A0"/>
    <w:rsid w:val="009E539D"/>
    <w:rsid w:val="009F2213"/>
    <w:rsid w:val="009F2A03"/>
    <w:rsid w:val="00A039BE"/>
    <w:rsid w:val="00A06601"/>
    <w:rsid w:val="00A06BE5"/>
    <w:rsid w:val="00A075A5"/>
    <w:rsid w:val="00A11806"/>
    <w:rsid w:val="00A177BF"/>
    <w:rsid w:val="00A241FD"/>
    <w:rsid w:val="00A356E7"/>
    <w:rsid w:val="00A470BE"/>
    <w:rsid w:val="00A54056"/>
    <w:rsid w:val="00A82FCD"/>
    <w:rsid w:val="00AB4EB2"/>
    <w:rsid w:val="00AE4B2F"/>
    <w:rsid w:val="00B03394"/>
    <w:rsid w:val="00B264D4"/>
    <w:rsid w:val="00B720C5"/>
    <w:rsid w:val="00B9361E"/>
    <w:rsid w:val="00B952BD"/>
    <w:rsid w:val="00BB47D1"/>
    <w:rsid w:val="00BD7BBF"/>
    <w:rsid w:val="00BF4F2F"/>
    <w:rsid w:val="00C007B2"/>
    <w:rsid w:val="00C072D5"/>
    <w:rsid w:val="00C205F8"/>
    <w:rsid w:val="00C30FD5"/>
    <w:rsid w:val="00C35E05"/>
    <w:rsid w:val="00C54444"/>
    <w:rsid w:val="00C80547"/>
    <w:rsid w:val="00C835C4"/>
    <w:rsid w:val="00CD29C5"/>
    <w:rsid w:val="00CE6819"/>
    <w:rsid w:val="00D11F93"/>
    <w:rsid w:val="00D87231"/>
    <w:rsid w:val="00E00264"/>
    <w:rsid w:val="00E00A8A"/>
    <w:rsid w:val="00E05D23"/>
    <w:rsid w:val="00E13069"/>
    <w:rsid w:val="00E177D0"/>
    <w:rsid w:val="00E23C4D"/>
    <w:rsid w:val="00E3470B"/>
    <w:rsid w:val="00E40C3F"/>
    <w:rsid w:val="00E54474"/>
    <w:rsid w:val="00E7202E"/>
    <w:rsid w:val="00EB18BF"/>
    <w:rsid w:val="00EE036B"/>
    <w:rsid w:val="00EE7552"/>
    <w:rsid w:val="00EE7C5C"/>
    <w:rsid w:val="00EF1429"/>
    <w:rsid w:val="00F028CD"/>
    <w:rsid w:val="00F03445"/>
    <w:rsid w:val="00F8098F"/>
    <w:rsid w:val="00FA09D2"/>
    <w:rsid w:val="00FB5FF9"/>
    <w:rsid w:val="00FD2D01"/>
    <w:rsid w:val="00FD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A3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54"/>
    <w:pPr>
      <w:ind w:left="720"/>
      <w:contextualSpacing/>
    </w:pPr>
  </w:style>
  <w:style w:type="paragraph" w:styleId="Header">
    <w:name w:val="header"/>
    <w:basedOn w:val="Normal"/>
    <w:link w:val="HeaderChar"/>
    <w:uiPriority w:val="99"/>
    <w:unhideWhenUsed/>
    <w:rsid w:val="00A06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601"/>
  </w:style>
  <w:style w:type="paragraph" w:styleId="Footer">
    <w:name w:val="footer"/>
    <w:basedOn w:val="Normal"/>
    <w:link w:val="FooterChar"/>
    <w:uiPriority w:val="99"/>
    <w:unhideWhenUsed/>
    <w:rsid w:val="00A06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601"/>
  </w:style>
  <w:style w:type="paragraph" w:styleId="BalloonText">
    <w:name w:val="Balloon Text"/>
    <w:basedOn w:val="Normal"/>
    <w:link w:val="BalloonTextChar"/>
    <w:uiPriority w:val="99"/>
    <w:semiHidden/>
    <w:unhideWhenUsed/>
    <w:rsid w:val="00C80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54"/>
    <w:pPr>
      <w:ind w:left="720"/>
      <w:contextualSpacing/>
    </w:pPr>
  </w:style>
  <w:style w:type="paragraph" w:styleId="Header">
    <w:name w:val="header"/>
    <w:basedOn w:val="Normal"/>
    <w:link w:val="HeaderChar"/>
    <w:uiPriority w:val="99"/>
    <w:unhideWhenUsed/>
    <w:rsid w:val="00A06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601"/>
  </w:style>
  <w:style w:type="paragraph" w:styleId="Footer">
    <w:name w:val="footer"/>
    <w:basedOn w:val="Normal"/>
    <w:link w:val="FooterChar"/>
    <w:uiPriority w:val="99"/>
    <w:unhideWhenUsed/>
    <w:rsid w:val="00A06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601"/>
  </w:style>
  <w:style w:type="paragraph" w:styleId="BalloonText">
    <w:name w:val="Balloon Text"/>
    <w:basedOn w:val="Normal"/>
    <w:link w:val="BalloonTextChar"/>
    <w:uiPriority w:val="99"/>
    <w:semiHidden/>
    <w:unhideWhenUsed/>
    <w:rsid w:val="00C80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6796">
      <w:bodyDiv w:val="1"/>
      <w:marLeft w:val="0"/>
      <w:marRight w:val="0"/>
      <w:marTop w:val="0"/>
      <w:marBottom w:val="0"/>
      <w:divBdr>
        <w:top w:val="none" w:sz="0" w:space="0" w:color="auto"/>
        <w:left w:val="none" w:sz="0" w:space="0" w:color="auto"/>
        <w:bottom w:val="none" w:sz="0" w:space="0" w:color="auto"/>
        <w:right w:val="none" w:sz="0" w:space="0" w:color="auto"/>
      </w:divBdr>
    </w:div>
    <w:div w:id="433595025">
      <w:bodyDiv w:val="1"/>
      <w:marLeft w:val="0"/>
      <w:marRight w:val="0"/>
      <w:marTop w:val="0"/>
      <w:marBottom w:val="0"/>
      <w:divBdr>
        <w:top w:val="none" w:sz="0" w:space="0" w:color="auto"/>
        <w:left w:val="none" w:sz="0" w:space="0" w:color="auto"/>
        <w:bottom w:val="none" w:sz="0" w:space="0" w:color="auto"/>
        <w:right w:val="none" w:sz="0" w:space="0" w:color="auto"/>
      </w:divBdr>
    </w:div>
    <w:div w:id="535581974">
      <w:bodyDiv w:val="1"/>
      <w:marLeft w:val="0"/>
      <w:marRight w:val="0"/>
      <w:marTop w:val="0"/>
      <w:marBottom w:val="0"/>
      <w:divBdr>
        <w:top w:val="none" w:sz="0" w:space="0" w:color="auto"/>
        <w:left w:val="none" w:sz="0" w:space="0" w:color="auto"/>
        <w:bottom w:val="none" w:sz="0" w:space="0" w:color="auto"/>
        <w:right w:val="none" w:sz="0" w:space="0" w:color="auto"/>
      </w:divBdr>
    </w:div>
    <w:div w:id="641277612">
      <w:bodyDiv w:val="1"/>
      <w:marLeft w:val="0"/>
      <w:marRight w:val="0"/>
      <w:marTop w:val="0"/>
      <w:marBottom w:val="0"/>
      <w:divBdr>
        <w:top w:val="none" w:sz="0" w:space="0" w:color="auto"/>
        <w:left w:val="none" w:sz="0" w:space="0" w:color="auto"/>
        <w:bottom w:val="none" w:sz="0" w:space="0" w:color="auto"/>
        <w:right w:val="none" w:sz="0" w:space="0" w:color="auto"/>
      </w:divBdr>
    </w:div>
    <w:div w:id="879129146">
      <w:bodyDiv w:val="1"/>
      <w:marLeft w:val="0"/>
      <w:marRight w:val="0"/>
      <w:marTop w:val="0"/>
      <w:marBottom w:val="0"/>
      <w:divBdr>
        <w:top w:val="none" w:sz="0" w:space="0" w:color="auto"/>
        <w:left w:val="none" w:sz="0" w:space="0" w:color="auto"/>
        <w:bottom w:val="none" w:sz="0" w:space="0" w:color="auto"/>
        <w:right w:val="none" w:sz="0" w:space="0" w:color="auto"/>
      </w:divBdr>
    </w:div>
    <w:div w:id="984703493">
      <w:bodyDiv w:val="1"/>
      <w:marLeft w:val="0"/>
      <w:marRight w:val="0"/>
      <w:marTop w:val="0"/>
      <w:marBottom w:val="0"/>
      <w:divBdr>
        <w:top w:val="none" w:sz="0" w:space="0" w:color="auto"/>
        <w:left w:val="none" w:sz="0" w:space="0" w:color="auto"/>
        <w:bottom w:val="none" w:sz="0" w:space="0" w:color="auto"/>
        <w:right w:val="none" w:sz="0" w:space="0" w:color="auto"/>
      </w:divBdr>
    </w:div>
    <w:div w:id="1510219976">
      <w:bodyDiv w:val="1"/>
      <w:marLeft w:val="0"/>
      <w:marRight w:val="0"/>
      <w:marTop w:val="0"/>
      <w:marBottom w:val="0"/>
      <w:divBdr>
        <w:top w:val="none" w:sz="0" w:space="0" w:color="auto"/>
        <w:left w:val="none" w:sz="0" w:space="0" w:color="auto"/>
        <w:bottom w:val="none" w:sz="0" w:space="0" w:color="auto"/>
        <w:right w:val="none" w:sz="0" w:space="0" w:color="auto"/>
      </w:divBdr>
    </w:div>
    <w:div w:id="1647511695">
      <w:bodyDiv w:val="1"/>
      <w:marLeft w:val="0"/>
      <w:marRight w:val="0"/>
      <w:marTop w:val="0"/>
      <w:marBottom w:val="0"/>
      <w:divBdr>
        <w:top w:val="none" w:sz="0" w:space="0" w:color="auto"/>
        <w:left w:val="none" w:sz="0" w:space="0" w:color="auto"/>
        <w:bottom w:val="none" w:sz="0" w:space="0" w:color="auto"/>
        <w:right w:val="none" w:sz="0" w:space="0" w:color="auto"/>
      </w:divBdr>
    </w:div>
    <w:div w:id="1716271608">
      <w:bodyDiv w:val="1"/>
      <w:marLeft w:val="0"/>
      <w:marRight w:val="0"/>
      <w:marTop w:val="0"/>
      <w:marBottom w:val="0"/>
      <w:divBdr>
        <w:top w:val="none" w:sz="0" w:space="0" w:color="auto"/>
        <w:left w:val="none" w:sz="0" w:space="0" w:color="auto"/>
        <w:bottom w:val="none" w:sz="0" w:space="0" w:color="auto"/>
        <w:right w:val="none" w:sz="0" w:space="0" w:color="auto"/>
      </w:divBdr>
    </w:div>
    <w:div w:id="1751345483">
      <w:bodyDiv w:val="1"/>
      <w:marLeft w:val="0"/>
      <w:marRight w:val="0"/>
      <w:marTop w:val="0"/>
      <w:marBottom w:val="0"/>
      <w:divBdr>
        <w:top w:val="none" w:sz="0" w:space="0" w:color="auto"/>
        <w:left w:val="none" w:sz="0" w:space="0" w:color="auto"/>
        <w:bottom w:val="none" w:sz="0" w:space="0" w:color="auto"/>
        <w:right w:val="none" w:sz="0" w:space="0" w:color="auto"/>
      </w:divBdr>
    </w:div>
    <w:div w:id="189473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92C68014A7C4D87D8D1E90EA66500" ma:contentTypeVersion="0" ma:contentTypeDescription="Create a new document." ma:contentTypeScope="" ma:versionID="6c825887f49188166bbd060d15bd22e9">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E273D-9BF0-42B8-B5FC-6CF6198EEE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926241-B9B0-4B0C-B86D-5E657F0E97A9}">
  <ds:schemaRefs>
    <ds:schemaRef ds:uri="http://schemas.microsoft.com/sharepoint/v3/contenttype/forms"/>
  </ds:schemaRefs>
</ds:datastoreItem>
</file>

<file path=customXml/itemProps3.xml><?xml version="1.0" encoding="utf-8"?>
<ds:datastoreItem xmlns:ds="http://schemas.openxmlformats.org/officeDocument/2006/customXml" ds:itemID="{6814AF05-8DD0-4D05-BD82-50BD035F0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Empire District Electric</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Stein</dc:creator>
  <cp:lastModifiedBy>Angela Cloven</cp:lastModifiedBy>
  <cp:revision>13</cp:revision>
  <cp:lastPrinted>2016-11-15T14:03:00Z</cp:lastPrinted>
  <dcterms:created xsi:type="dcterms:W3CDTF">2016-11-15T14:03:00Z</dcterms:created>
  <dcterms:modified xsi:type="dcterms:W3CDTF">2016-12-06T16:33:00Z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0x01010035892C68014A7C4D87D8D1E90EA66500</vt:lpwstr>
  </property>
</Properties>
</file>