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6D" w:rsidRPr="008E672A" w:rsidRDefault="00F4576D" w:rsidP="00F4576D">
      <w:pPr>
        <w:pStyle w:val="ListParagraph"/>
        <w:ind w:left="0"/>
        <w:jc w:val="both"/>
      </w:pPr>
      <w:bookmarkStart w:id="0" w:name="_GoBack"/>
      <w:bookmarkEnd w:id="0"/>
      <w:r>
        <w:t>The following are our in</w:t>
      </w:r>
      <w:r w:rsidR="00271C93">
        <w:t>itia</w:t>
      </w:r>
      <w:r w:rsidR="00271C93" w:rsidRPr="008E672A">
        <w:t>l questions concerning the T</w:t>
      </w:r>
      <w:r w:rsidRPr="008E672A">
        <w:t>FR 2015 Update.  We anticipate providing additional questions</w:t>
      </w:r>
      <w:r w:rsidR="00970B21">
        <w:t xml:space="preserve"> upon the completion of our review</w:t>
      </w:r>
      <w:r w:rsidRPr="008E672A">
        <w:t>.</w:t>
      </w:r>
    </w:p>
    <w:p w:rsidR="00F4576D" w:rsidRDefault="00F4576D" w:rsidP="00F4576D">
      <w:pPr>
        <w:pStyle w:val="ListParagraph"/>
        <w:jc w:val="both"/>
        <w:rPr>
          <w:rFonts w:ascii="Calibri" w:eastAsia="Times New Roman" w:hAnsi="Calibri" w:cs="Times New Roman"/>
          <w:color w:val="000000"/>
        </w:rPr>
      </w:pPr>
    </w:p>
    <w:p w:rsidR="00CE27CE" w:rsidRPr="008E672A" w:rsidRDefault="00CE27CE" w:rsidP="00656FA4">
      <w:pPr>
        <w:pStyle w:val="ListParagraph"/>
        <w:numPr>
          <w:ilvl w:val="0"/>
          <w:numId w:val="1"/>
        </w:numPr>
        <w:jc w:val="both"/>
        <w:rPr>
          <w:rFonts w:ascii="Calibri" w:eastAsia="Times New Roman" w:hAnsi="Calibri" w:cs="Times New Roman"/>
          <w:color w:val="000000"/>
        </w:rPr>
      </w:pPr>
      <w:r w:rsidRPr="008E672A">
        <w:rPr>
          <w:rFonts w:ascii="Calibri" w:eastAsia="Times New Roman" w:hAnsi="Calibri" w:cs="Times New Roman"/>
          <w:color w:val="000000"/>
        </w:rPr>
        <w:t xml:space="preserve">With respect to the 9.5% increase in Transmission Plant, please provide a list </w:t>
      </w:r>
      <w:r w:rsidR="00134CED" w:rsidRPr="008E672A">
        <w:rPr>
          <w:rFonts w:ascii="Calibri" w:eastAsia="Times New Roman" w:hAnsi="Calibri" w:cs="Times New Roman"/>
          <w:color w:val="000000"/>
        </w:rPr>
        <w:t xml:space="preserve">(description and associated plant addition in dollars) </w:t>
      </w:r>
      <w:r w:rsidRPr="008E672A">
        <w:rPr>
          <w:rFonts w:ascii="Calibri" w:eastAsia="Times New Roman" w:hAnsi="Calibri" w:cs="Times New Roman"/>
          <w:color w:val="000000"/>
        </w:rPr>
        <w:t xml:space="preserve">of the transmission lines and substation </w:t>
      </w:r>
      <w:r w:rsidR="00134CED" w:rsidRPr="008E672A">
        <w:rPr>
          <w:rFonts w:ascii="Calibri" w:eastAsia="Times New Roman" w:hAnsi="Calibri" w:cs="Times New Roman"/>
          <w:color w:val="000000"/>
        </w:rPr>
        <w:t xml:space="preserve">additions </w:t>
      </w:r>
      <w:r w:rsidRPr="008E672A">
        <w:rPr>
          <w:rFonts w:ascii="Calibri" w:eastAsia="Times New Roman" w:hAnsi="Calibri" w:cs="Times New Roman"/>
          <w:color w:val="000000"/>
        </w:rPr>
        <w:t xml:space="preserve">that were </w:t>
      </w:r>
      <w:r w:rsidR="00134CED" w:rsidRPr="008E672A">
        <w:rPr>
          <w:rFonts w:ascii="Calibri" w:eastAsia="Times New Roman" w:hAnsi="Calibri" w:cs="Times New Roman"/>
          <w:color w:val="000000"/>
        </w:rPr>
        <w:t>included in Transmission Plant (e.g. see Page 206 of the FERC Form 1 - $26,145,789).</w:t>
      </w:r>
    </w:p>
    <w:p w:rsidR="00903484" w:rsidRDefault="00903484" w:rsidP="00196E5C">
      <w:pPr>
        <w:pStyle w:val="ListParagraph"/>
        <w:jc w:val="both"/>
      </w:pPr>
    </w:p>
    <w:p w:rsidR="00F45714" w:rsidRPr="00F62787" w:rsidRDefault="00F45714" w:rsidP="00196E5C">
      <w:pPr>
        <w:pStyle w:val="ListParagraph"/>
        <w:jc w:val="both"/>
        <w:rPr>
          <w:i/>
        </w:rPr>
      </w:pPr>
      <w:r w:rsidRPr="00F62787">
        <w:rPr>
          <w:i/>
        </w:rPr>
        <w:t>Response:</w:t>
      </w:r>
      <w:r w:rsidR="00CF336A" w:rsidRPr="00F62787">
        <w:rPr>
          <w:i/>
        </w:rPr>
        <w:t xml:space="preserve">  </w:t>
      </w:r>
      <w:r w:rsidR="00E25319" w:rsidRPr="00F62787">
        <w:rPr>
          <w:i/>
        </w:rPr>
        <w:t>See accompanying report, Transmission Plant Additions with Project Descriptions 2014, in Microsoft Excel format.</w:t>
      </w:r>
    </w:p>
    <w:p w:rsidR="00F45714" w:rsidRDefault="00F45714" w:rsidP="00196E5C">
      <w:pPr>
        <w:pStyle w:val="ListParagraph"/>
        <w:jc w:val="both"/>
      </w:pPr>
    </w:p>
    <w:p w:rsidR="00BC2952" w:rsidRPr="008E672A" w:rsidRDefault="000405CE" w:rsidP="00F4576D">
      <w:pPr>
        <w:pStyle w:val="ListParagraph"/>
        <w:numPr>
          <w:ilvl w:val="0"/>
          <w:numId w:val="1"/>
        </w:numPr>
        <w:jc w:val="both"/>
      </w:pPr>
      <w:r w:rsidRPr="008E672A">
        <w:rPr>
          <w:rFonts w:ascii="Calibri" w:eastAsia="Times New Roman" w:hAnsi="Calibri" w:cs="Times New Roman"/>
          <w:color w:val="000000"/>
        </w:rPr>
        <w:t>A comparison of year ending balances from the 2014 to 2015 Updates shows that Intangi</w:t>
      </w:r>
      <w:r w:rsidR="009356A5" w:rsidRPr="008E672A">
        <w:rPr>
          <w:rFonts w:ascii="Calibri" w:eastAsia="Times New Roman" w:hAnsi="Calibri" w:cs="Times New Roman"/>
          <w:color w:val="000000"/>
        </w:rPr>
        <w:t>b</w:t>
      </w:r>
      <w:r w:rsidRPr="008E672A">
        <w:rPr>
          <w:rFonts w:ascii="Calibri" w:eastAsia="Times New Roman" w:hAnsi="Calibri" w:cs="Times New Roman"/>
          <w:color w:val="000000"/>
        </w:rPr>
        <w:t xml:space="preserve">le Plant increased 8%.  </w:t>
      </w:r>
      <w:r w:rsidR="00F416D1" w:rsidRPr="008E672A">
        <w:rPr>
          <w:rFonts w:ascii="Calibri" w:eastAsia="Times New Roman" w:hAnsi="Calibri" w:cs="Times New Roman"/>
          <w:color w:val="000000"/>
        </w:rPr>
        <w:t>Please provide an explanation for th</w:t>
      </w:r>
      <w:r w:rsidRPr="008E672A">
        <w:rPr>
          <w:rFonts w:ascii="Calibri" w:eastAsia="Times New Roman" w:hAnsi="Calibri" w:cs="Times New Roman"/>
          <w:color w:val="000000"/>
        </w:rPr>
        <w:t>is</w:t>
      </w:r>
      <w:r w:rsidR="00F416D1" w:rsidRPr="008E672A">
        <w:rPr>
          <w:rFonts w:ascii="Calibri" w:eastAsia="Times New Roman" w:hAnsi="Calibri" w:cs="Times New Roman"/>
          <w:color w:val="000000"/>
        </w:rPr>
        <w:t xml:space="preserve"> increase</w:t>
      </w:r>
      <w:r w:rsidRPr="008E672A">
        <w:rPr>
          <w:rFonts w:ascii="Calibri" w:eastAsia="Times New Roman" w:hAnsi="Calibri" w:cs="Times New Roman"/>
          <w:color w:val="000000"/>
        </w:rPr>
        <w:t>.</w:t>
      </w:r>
    </w:p>
    <w:p w:rsidR="00F416D1" w:rsidRDefault="00F416D1" w:rsidP="00F4576D">
      <w:pPr>
        <w:pStyle w:val="ListParagraph"/>
        <w:jc w:val="both"/>
      </w:pPr>
    </w:p>
    <w:p w:rsidR="00F45714" w:rsidRPr="00F62787" w:rsidRDefault="00F45714" w:rsidP="00F4576D">
      <w:pPr>
        <w:pStyle w:val="ListParagraph"/>
        <w:jc w:val="both"/>
        <w:rPr>
          <w:i/>
        </w:rPr>
      </w:pPr>
      <w:r w:rsidRPr="00F62787">
        <w:rPr>
          <w:i/>
        </w:rPr>
        <w:t>Response:</w:t>
      </w:r>
      <w:r w:rsidR="00CF336A" w:rsidRPr="00F62787">
        <w:rPr>
          <w:i/>
        </w:rPr>
        <w:t xml:space="preserve">  Intangible additions for 2014 were generally related to continued improvements to the ERP systems and Distributed Control System software major upgrade at the SLCC facility.  See accompanying report for details.</w:t>
      </w:r>
    </w:p>
    <w:p w:rsidR="00F45714" w:rsidRDefault="00F45714" w:rsidP="00F4576D">
      <w:pPr>
        <w:pStyle w:val="ListParagraph"/>
        <w:jc w:val="both"/>
      </w:pPr>
    </w:p>
    <w:p w:rsidR="00F416D1" w:rsidRPr="008E672A" w:rsidRDefault="00970B21" w:rsidP="00F416D1">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3C46D6" w:rsidRPr="008E672A">
        <w:rPr>
          <w:rFonts w:ascii="Calibri" w:eastAsia="Times New Roman" w:hAnsi="Calibri" w:cs="Times New Roman"/>
          <w:color w:val="000000"/>
        </w:rPr>
        <w:t>comparison of year ending balances from the 2014 to 2015 Updates and FERC Form 1 data</w:t>
      </w:r>
      <w:r w:rsidR="00D017FC" w:rsidRPr="008E672A">
        <w:rPr>
          <w:rFonts w:ascii="Calibri" w:eastAsia="Times New Roman" w:hAnsi="Calibri" w:cs="Times New Roman"/>
          <w:color w:val="000000"/>
        </w:rPr>
        <w:t xml:space="preserve"> </w:t>
      </w:r>
      <w:r w:rsidR="003C46D6" w:rsidRPr="008E672A">
        <w:rPr>
          <w:rFonts w:ascii="Calibri" w:eastAsia="Times New Roman" w:hAnsi="Calibri" w:cs="Times New Roman"/>
          <w:color w:val="000000"/>
        </w:rPr>
        <w:t>shows that General Plant increased 1.4%, with plant additions of $</w:t>
      </w:r>
      <w:r w:rsidR="00D017FC" w:rsidRPr="008E672A">
        <w:rPr>
          <w:rFonts w:ascii="Calibri" w:eastAsia="Times New Roman" w:hAnsi="Calibri" w:cs="Times New Roman"/>
          <w:color w:val="000000"/>
        </w:rPr>
        <w:t>8,839,606</w:t>
      </w:r>
      <w:r w:rsidR="00BC2952" w:rsidRPr="008E672A">
        <w:rPr>
          <w:rFonts w:ascii="Calibri" w:eastAsia="Times New Roman" w:hAnsi="Calibri" w:cs="Times New Roman"/>
          <w:color w:val="000000"/>
        </w:rPr>
        <w:t xml:space="preserve"> </w:t>
      </w:r>
      <w:r w:rsidR="00A91F6D" w:rsidRPr="008E672A">
        <w:rPr>
          <w:rFonts w:ascii="Calibri" w:eastAsia="Times New Roman" w:hAnsi="Calibri" w:cs="Times New Roman"/>
          <w:color w:val="000000"/>
        </w:rPr>
        <w:t xml:space="preserve">(page 206, line 99) </w:t>
      </w:r>
      <w:r w:rsidR="003C46D6" w:rsidRPr="008E672A">
        <w:rPr>
          <w:rFonts w:ascii="Calibri" w:eastAsia="Times New Roman" w:hAnsi="Calibri" w:cs="Times New Roman"/>
          <w:color w:val="000000"/>
        </w:rPr>
        <w:t>and plant retirements of $</w:t>
      </w:r>
      <w:r w:rsidR="00A91F6D" w:rsidRPr="008E672A">
        <w:rPr>
          <w:rFonts w:ascii="Calibri" w:eastAsia="Times New Roman" w:hAnsi="Calibri" w:cs="Times New Roman"/>
          <w:color w:val="000000"/>
        </w:rPr>
        <w:t>7,731,989 (page 207, line 99)</w:t>
      </w:r>
      <w:r w:rsidR="003C46D6" w:rsidRPr="008E672A">
        <w:rPr>
          <w:rFonts w:ascii="Calibri" w:eastAsia="Times New Roman" w:hAnsi="Calibri" w:cs="Times New Roman"/>
          <w:color w:val="000000"/>
        </w:rPr>
        <w:t xml:space="preserve">.  </w:t>
      </w:r>
      <w:r w:rsidR="00F416D1" w:rsidRPr="008E672A">
        <w:rPr>
          <w:rFonts w:ascii="Calibri" w:eastAsia="Times New Roman" w:hAnsi="Calibri" w:cs="Times New Roman"/>
          <w:color w:val="000000"/>
        </w:rPr>
        <w:t>Please provide an explanation for th</w:t>
      </w:r>
      <w:r w:rsidR="003C46D6" w:rsidRPr="008E672A">
        <w:rPr>
          <w:rFonts w:ascii="Calibri" w:eastAsia="Times New Roman" w:hAnsi="Calibri" w:cs="Times New Roman"/>
          <w:color w:val="000000"/>
        </w:rPr>
        <w:t>is</w:t>
      </w:r>
      <w:r w:rsidR="00F416D1" w:rsidRPr="008E672A">
        <w:rPr>
          <w:rFonts w:ascii="Calibri" w:eastAsia="Times New Roman" w:hAnsi="Calibri" w:cs="Times New Roman"/>
          <w:color w:val="000000"/>
        </w:rPr>
        <w:t xml:space="preserve"> increase in General Plant.</w:t>
      </w:r>
    </w:p>
    <w:p w:rsidR="00BC2952" w:rsidRDefault="00BC2952" w:rsidP="00196E5C">
      <w:pPr>
        <w:pStyle w:val="ListParagraph"/>
        <w:spacing w:after="0" w:line="240" w:lineRule="auto"/>
        <w:rPr>
          <w:rFonts w:ascii="Calibri" w:eastAsia="Times New Roman" w:hAnsi="Calibri" w:cs="Times New Roman"/>
          <w:color w:val="000000"/>
        </w:rPr>
      </w:pPr>
    </w:p>
    <w:p w:rsidR="00F45714" w:rsidRPr="00F62787" w:rsidRDefault="00F45714" w:rsidP="00196E5C">
      <w:pPr>
        <w:pStyle w:val="ListParagraph"/>
        <w:spacing w:after="0" w:line="240" w:lineRule="auto"/>
        <w:rPr>
          <w:rFonts w:ascii="Calibri" w:eastAsia="Times New Roman" w:hAnsi="Calibri" w:cs="Times New Roman"/>
          <w:i/>
          <w:color w:val="000000"/>
        </w:rPr>
      </w:pPr>
      <w:r w:rsidRPr="00F62787">
        <w:rPr>
          <w:rFonts w:ascii="Calibri" w:eastAsia="Times New Roman" w:hAnsi="Calibri" w:cs="Times New Roman"/>
          <w:i/>
          <w:color w:val="000000"/>
        </w:rPr>
        <w:t>Response:</w:t>
      </w:r>
      <w:r w:rsidR="00CF336A" w:rsidRPr="00F62787">
        <w:rPr>
          <w:rFonts w:ascii="Calibri" w:eastAsia="Times New Roman" w:hAnsi="Calibri" w:cs="Times New Roman"/>
          <w:i/>
          <w:color w:val="000000"/>
        </w:rPr>
        <w:t xml:space="preserve">  </w:t>
      </w:r>
      <w:r w:rsidR="00915055" w:rsidRPr="00F62787">
        <w:rPr>
          <w:rFonts w:ascii="Calibri" w:eastAsia="Times New Roman" w:hAnsi="Calibri" w:cs="Times New Roman"/>
          <w:i/>
          <w:color w:val="000000"/>
        </w:rPr>
        <w:t>Generally speaking the change in plant is related to the replacement of utility vehicles and facilities upgrades completed in 2014.</w:t>
      </w:r>
    </w:p>
    <w:p w:rsidR="00F45714" w:rsidRDefault="00F45714" w:rsidP="00196E5C">
      <w:pPr>
        <w:pStyle w:val="ListParagraph"/>
        <w:spacing w:after="0" w:line="240" w:lineRule="auto"/>
        <w:rPr>
          <w:rFonts w:ascii="Calibri" w:eastAsia="Times New Roman" w:hAnsi="Calibri" w:cs="Times New Roman"/>
          <w:color w:val="000000"/>
        </w:rPr>
      </w:pPr>
    </w:p>
    <w:p w:rsidR="00BC2952" w:rsidRPr="008E672A" w:rsidRDefault="003C46D6" w:rsidP="00656FA4">
      <w:pPr>
        <w:pStyle w:val="ListParagraph"/>
        <w:numPr>
          <w:ilvl w:val="0"/>
          <w:numId w:val="1"/>
        </w:numPr>
        <w:spacing w:after="0" w:line="240" w:lineRule="auto"/>
        <w:jc w:val="both"/>
        <w:rPr>
          <w:rFonts w:ascii="Calibri" w:eastAsia="Times New Roman" w:hAnsi="Calibri" w:cs="Times New Roman"/>
          <w:color w:val="000000"/>
        </w:rPr>
      </w:pPr>
      <w:r w:rsidRPr="008E672A">
        <w:rPr>
          <w:rFonts w:ascii="Calibri" w:eastAsia="Times New Roman" w:hAnsi="Calibri" w:cs="Times New Roman"/>
          <w:color w:val="000000"/>
        </w:rPr>
        <w:t xml:space="preserve">A comparison of year ending balances from the 2014 to 2015 Updates </w:t>
      </w:r>
      <w:r w:rsidR="0090127E" w:rsidRPr="008E672A">
        <w:rPr>
          <w:rFonts w:ascii="Calibri" w:eastAsia="Times New Roman" w:hAnsi="Calibri" w:cs="Times New Roman"/>
          <w:color w:val="000000"/>
        </w:rPr>
        <w:t>sho</w:t>
      </w:r>
      <w:r w:rsidRPr="008E672A">
        <w:rPr>
          <w:rFonts w:ascii="Calibri" w:eastAsia="Times New Roman" w:hAnsi="Calibri" w:cs="Times New Roman"/>
          <w:color w:val="000000"/>
        </w:rPr>
        <w:t xml:space="preserve">ws that the </w:t>
      </w:r>
      <w:r w:rsidR="00FD190C" w:rsidRPr="008E672A">
        <w:rPr>
          <w:rFonts w:ascii="Calibri" w:eastAsia="Times New Roman" w:hAnsi="Calibri" w:cs="Times New Roman"/>
          <w:color w:val="000000"/>
        </w:rPr>
        <w:t xml:space="preserve">Transmission </w:t>
      </w:r>
      <w:r w:rsidRPr="008E672A">
        <w:rPr>
          <w:rFonts w:ascii="Calibri" w:eastAsia="Times New Roman" w:hAnsi="Calibri" w:cs="Times New Roman"/>
          <w:color w:val="000000"/>
        </w:rPr>
        <w:t>Accumulated Deprec</w:t>
      </w:r>
      <w:r w:rsidR="0090127E" w:rsidRPr="008E672A">
        <w:rPr>
          <w:rFonts w:ascii="Calibri" w:eastAsia="Times New Roman" w:hAnsi="Calibri" w:cs="Times New Roman"/>
          <w:color w:val="000000"/>
        </w:rPr>
        <w:t>i</w:t>
      </w:r>
      <w:r w:rsidR="00FD190C" w:rsidRPr="008E672A">
        <w:rPr>
          <w:rFonts w:ascii="Calibri" w:eastAsia="Times New Roman" w:hAnsi="Calibri" w:cs="Times New Roman"/>
          <w:color w:val="000000"/>
        </w:rPr>
        <w:t>ation Reserve increased 1.7</w:t>
      </w:r>
      <w:r w:rsidRPr="008E672A">
        <w:rPr>
          <w:rFonts w:ascii="Calibri" w:eastAsia="Times New Roman" w:hAnsi="Calibri" w:cs="Times New Roman"/>
          <w:color w:val="000000"/>
        </w:rPr>
        <w:t xml:space="preserve">%, while </w:t>
      </w:r>
      <w:r w:rsidR="00FD190C" w:rsidRPr="008E672A">
        <w:rPr>
          <w:rFonts w:ascii="Calibri" w:eastAsia="Times New Roman" w:hAnsi="Calibri" w:cs="Times New Roman"/>
          <w:color w:val="000000"/>
        </w:rPr>
        <w:t>Transmission Plant increased 9.5</w:t>
      </w:r>
      <w:r w:rsidRPr="008E672A">
        <w:rPr>
          <w:rFonts w:ascii="Calibri" w:eastAsia="Times New Roman" w:hAnsi="Calibri" w:cs="Times New Roman"/>
          <w:color w:val="000000"/>
        </w:rPr>
        <w:t xml:space="preserve">%.  </w:t>
      </w:r>
      <w:r w:rsidR="00F416D1" w:rsidRPr="008E672A">
        <w:rPr>
          <w:rFonts w:ascii="Calibri" w:eastAsia="Times New Roman" w:hAnsi="Calibri" w:cs="Times New Roman"/>
          <w:color w:val="000000"/>
        </w:rPr>
        <w:t xml:space="preserve">Please provide an explanation </w:t>
      </w:r>
      <w:r w:rsidR="00FD190C" w:rsidRPr="008E672A">
        <w:rPr>
          <w:rFonts w:ascii="Calibri" w:eastAsia="Times New Roman" w:hAnsi="Calibri" w:cs="Times New Roman"/>
          <w:color w:val="000000"/>
        </w:rPr>
        <w:t>for the large difference in these in</w:t>
      </w:r>
      <w:r w:rsidR="00F416D1" w:rsidRPr="008E672A">
        <w:rPr>
          <w:rFonts w:ascii="Calibri" w:eastAsia="Times New Roman" w:hAnsi="Calibri" w:cs="Times New Roman"/>
          <w:color w:val="000000"/>
        </w:rPr>
        <w:t>crease</w:t>
      </w:r>
      <w:r w:rsidR="00FD190C" w:rsidRPr="008E672A">
        <w:rPr>
          <w:rFonts w:ascii="Calibri" w:eastAsia="Times New Roman" w:hAnsi="Calibri" w:cs="Times New Roman"/>
          <w:color w:val="000000"/>
        </w:rPr>
        <w:t>s</w:t>
      </w:r>
      <w:r w:rsidR="00F416D1" w:rsidRPr="008E672A">
        <w:rPr>
          <w:rFonts w:ascii="Calibri" w:eastAsia="Times New Roman" w:hAnsi="Calibri" w:cs="Times New Roman"/>
          <w:color w:val="000000"/>
        </w:rPr>
        <w:t xml:space="preserve">.  </w:t>
      </w:r>
    </w:p>
    <w:p w:rsidR="00BC2952" w:rsidRDefault="00BC2952" w:rsidP="00196E5C">
      <w:pPr>
        <w:pStyle w:val="ListParagraph"/>
        <w:rPr>
          <w:rFonts w:ascii="Calibri" w:eastAsia="Times New Roman" w:hAnsi="Calibri" w:cs="Times New Roman"/>
          <w:color w:val="000000"/>
        </w:rPr>
      </w:pPr>
    </w:p>
    <w:p w:rsidR="00F45714" w:rsidRPr="00F62787" w:rsidRDefault="00F45714" w:rsidP="00196E5C">
      <w:pPr>
        <w:pStyle w:val="ListParagraph"/>
        <w:rPr>
          <w:rFonts w:ascii="Calibri" w:eastAsia="Times New Roman" w:hAnsi="Calibri" w:cs="Times New Roman"/>
          <w:i/>
          <w:color w:val="000000"/>
        </w:rPr>
      </w:pPr>
      <w:r w:rsidRPr="00F62787">
        <w:rPr>
          <w:rFonts w:ascii="Calibri" w:eastAsia="Times New Roman" w:hAnsi="Calibri" w:cs="Times New Roman"/>
          <w:i/>
          <w:color w:val="000000"/>
        </w:rPr>
        <w:t>Response:</w:t>
      </w:r>
      <w:r w:rsidR="0044250B" w:rsidRPr="00F62787">
        <w:rPr>
          <w:rFonts w:ascii="Calibri" w:eastAsia="Times New Roman" w:hAnsi="Calibri" w:cs="Times New Roman"/>
          <w:i/>
          <w:color w:val="000000"/>
        </w:rPr>
        <w:t xml:space="preserve">  </w:t>
      </w:r>
      <w:r w:rsidR="004337A9" w:rsidRPr="00F62787">
        <w:rPr>
          <w:rFonts w:ascii="Calibri" w:eastAsia="Times New Roman" w:hAnsi="Calibri" w:cs="Times New Roman"/>
          <w:i/>
          <w:color w:val="000000"/>
        </w:rPr>
        <w:t xml:space="preserve">Depreciation is calculated on all plant in a given deprecation group, not simply the balances added to plant in a given accounting period.  As noted in the company’s 2014 10K, the current weighted average depreciation rate for Transmission Plant is currently 2.4%.  Accumulated Provision for Depreciation is also offset during the course of normal </w:t>
      </w:r>
      <w:r w:rsidR="00AA661C" w:rsidRPr="00F62787">
        <w:rPr>
          <w:rFonts w:ascii="Calibri" w:eastAsia="Times New Roman" w:hAnsi="Calibri" w:cs="Times New Roman"/>
          <w:i/>
          <w:color w:val="000000"/>
        </w:rPr>
        <w:t>business by</w:t>
      </w:r>
      <w:r w:rsidR="004337A9" w:rsidRPr="00F62787">
        <w:rPr>
          <w:rFonts w:ascii="Calibri" w:eastAsia="Times New Roman" w:hAnsi="Calibri" w:cs="Times New Roman"/>
          <w:i/>
          <w:color w:val="000000"/>
        </w:rPr>
        <w:t xml:space="preserve"> retirement of plant and the closing of Cost of Removal.  </w:t>
      </w:r>
    </w:p>
    <w:p w:rsidR="00F45714" w:rsidRDefault="00F45714" w:rsidP="00196E5C">
      <w:pPr>
        <w:pStyle w:val="ListParagraph"/>
        <w:rPr>
          <w:rFonts w:ascii="Calibri" w:eastAsia="Times New Roman" w:hAnsi="Calibri" w:cs="Times New Roman"/>
          <w:color w:val="000000"/>
        </w:rPr>
      </w:pPr>
    </w:p>
    <w:p w:rsidR="00F416D1" w:rsidRPr="008E672A" w:rsidRDefault="0090127E" w:rsidP="00656FA4">
      <w:pPr>
        <w:pStyle w:val="ListParagraph"/>
        <w:numPr>
          <w:ilvl w:val="0"/>
          <w:numId w:val="1"/>
        </w:numPr>
        <w:spacing w:after="0" w:line="240" w:lineRule="auto"/>
        <w:jc w:val="both"/>
        <w:rPr>
          <w:rFonts w:ascii="Calibri" w:eastAsia="Times New Roman" w:hAnsi="Calibri" w:cs="Times New Roman"/>
          <w:color w:val="000000"/>
        </w:rPr>
      </w:pPr>
      <w:r w:rsidRPr="008E672A">
        <w:rPr>
          <w:rFonts w:ascii="Calibri" w:eastAsia="Times New Roman" w:hAnsi="Calibri" w:cs="Times New Roman"/>
          <w:color w:val="000000"/>
        </w:rPr>
        <w:t xml:space="preserve">A comparison of year ending balances from the 2014 to 2015 Updates shows that the General Plant related Accumulated Depreciation Reserve decreased 6.9%. </w:t>
      </w:r>
      <w:r w:rsidR="00F416D1" w:rsidRPr="008E672A">
        <w:rPr>
          <w:rFonts w:ascii="Calibri" w:eastAsia="Times New Roman" w:hAnsi="Calibri" w:cs="Times New Roman"/>
          <w:color w:val="000000"/>
        </w:rPr>
        <w:t>Please provide an explanation for th</w:t>
      </w:r>
      <w:r w:rsidRPr="008E672A">
        <w:rPr>
          <w:rFonts w:ascii="Calibri" w:eastAsia="Times New Roman" w:hAnsi="Calibri" w:cs="Times New Roman"/>
          <w:color w:val="000000"/>
        </w:rPr>
        <w:t>is</w:t>
      </w:r>
      <w:r w:rsidR="00F416D1" w:rsidRPr="008E672A">
        <w:rPr>
          <w:rFonts w:ascii="Calibri" w:eastAsia="Times New Roman" w:hAnsi="Calibri" w:cs="Times New Roman"/>
          <w:color w:val="000000"/>
        </w:rPr>
        <w:t xml:space="preserve"> </w:t>
      </w:r>
      <w:r w:rsidRPr="008E672A">
        <w:rPr>
          <w:rFonts w:ascii="Calibri" w:eastAsia="Times New Roman" w:hAnsi="Calibri" w:cs="Times New Roman"/>
          <w:color w:val="000000"/>
        </w:rPr>
        <w:t>decrease in</w:t>
      </w:r>
      <w:r w:rsidR="00F416D1" w:rsidRPr="008E672A">
        <w:rPr>
          <w:rFonts w:ascii="Calibri" w:eastAsia="Times New Roman" w:hAnsi="Calibri" w:cs="Times New Roman"/>
          <w:color w:val="000000"/>
        </w:rPr>
        <w:t xml:space="preserve"> </w:t>
      </w:r>
      <w:r w:rsidR="00326D1D" w:rsidRPr="008E672A">
        <w:rPr>
          <w:rFonts w:ascii="Calibri" w:eastAsia="Times New Roman" w:hAnsi="Calibri" w:cs="Times New Roman"/>
          <w:color w:val="000000"/>
        </w:rPr>
        <w:t xml:space="preserve">the General Plant </w:t>
      </w:r>
      <w:r w:rsidR="00F416D1" w:rsidRPr="008E672A">
        <w:rPr>
          <w:rFonts w:ascii="Calibri" w:eastAsia="Times New Roman" w:hAnsi="Calibri" w:cs="Times New Roman"/>
          <w:color w:val="000000"/>
        </w:rPr>
        <w:t>Accumulate</w:t>
      </w:r>
      <w:r w:rsidR="00326D1D" w:rsidRPr="008E672A">
        <w:rPr>
          <w:rFonts w:ascii="Calibri" w:eastAsia="Times New Roman" w:hAnsi="Calibri" w:cs="Times New Roman"/>
          <w:color w:val="000000"/>
        </w:rPr>
        <w:t>d Depreciation Reserve</w:t>
      </w:r>
      <w:r w:rsidR="00F416D1" w:rsidRPr="008E672A">
        <w:rPr>
          <w:rFonts w:ascii="Calibri" w:eastAsia="Times New Roman" w:hAnsi="Calibri" w:cs="Times New Roman"/>
          <w:color w:val="000000"/>
        </w:rPr>
        <w:t>.</w:t>
      </w:r>
    </w:p>
    <w:p w:rsidR="00F4576D" w:rsidRDefault="00F4576D" w:rsidP="00F4576D">
      <w:pPr>
        <w:pStyle w:val="ListParagraph"/>
        <w:jc w:val="both"/>
      </w:pPr>
    </w:p>
    <w:p w:rsidR="00F45714" w:rsidRPr="00F62787" w:rsidRDefault="00F45714" w:rsidP="00F4576D">
      <w:pPr>
        <w:pStyle w:val="ListParagraph"/>
        <w:jc w:val="both"/>
        <w:rPr>
          <w:i/>
        </w:rPr>
      </w:pPr>
      <w:r w:rsidRPr="00F62787">
        <w:rPr>
          <w:i/>
        </w:rPr>
        <w:t>Response:</w:t>
      </w:r>
      <w:r w:rsidR="00AA661C" w:rsidRPr="00F62787">
        <w:rPr>
          <w:i/>
        </w:rPr>
        <w:t xml:space="preserve">  In 2014, retirements from plant exceeded </w:t>
      </w:r>
      <w:r w:rsidR="00904254" w:rsidRPr="00F62787">
        <w:rPr>
          <w:i/>
        </w:rPr>
        <w:t>the increase to reserve through depreciation by approximately $3.2 mi</w:t>
      </w:r>
      <w:r w:rsidR="00AA661C" w:rsidRPr="00F62787">
        <w:rPr>
          <w:i/>
        </w:rPr>
        <w:t xml:space="preserve">llion.  </w:t>
      </w:r>
      <w:r w:rsidR="00904254" w:rsidRPr="00F62787">
        <w:rPr>
          <w:i/>
        </w:rPr>
        <w:t>These retirements were generally related to replacement of company vehicles and upgrades to corporate facilities.</w:t>
      </w:r>
      <w:r w:rsidR="00AA661C" w:rsidRPr="00F62787">
        <w:rPr>
          <w:i/>
        </w:rPr>
        <w:t xml:space="preserve"> </w:t>
      </w:r>
    </w:p>
    <w:p w:rsidR="00F45714" w:rsidRDefault="00F45714" w:rsidP="00F4576D">
      <w:pPr>
        <w:pStyle w:val="ListParagraph"/>
        <w:jc w:val="both"/>
      </w:pPr>
    </w:p>
    <w:p w:rsidR="00904254" w:rsidRPr="008E672A" w:rsidRDefault="0090127E" w:rsidP="00904254">
      <w:pPr>
        <w:pStyle w:val="ListParagraph"/>
        <w:numPr>
          <w:ilvl w:val="0"/>
          <w:numId w:val="1"/>
        </w:numPr>
        <w:jc w:val="both"/>
      </w:pPr>
      <w:r w:rsidRPr="008E672A">
        <w:rPr>
          <w:rFonts w:ascii="Calibri" w:eastAsia="Times New Roman" w:hAnsi="Calibri" w:cs="Times New Roman"/>
          <w:color w:val="000000"/>
        </w:rPr>
        <w:lastRenderedPageBreak/>
        <w:t xml:space="preserve">A comparison of year ending balances from the 2014 to 2015 Updates shows that the Intangible Plant related Accumulated Depreciation Reserve increased 20.1%. </w:t>
      </w:r>
      <w:r w:rsidR="00326D1D" w:rsidRPr="008E672A">
        <w:rPr>
          <w:rFonts w:ascii="Calibri" w:eastAsia="Times New Roman" w:hAnsi="Calibri" w:cs="Times New Roman"/>
          <w:color w:val="000000"/>
        </w:rPr>
        <w:t>Please provide an explanation for</w:t>
      </w:r>
      <w:r w:rsidR="00F416D1" w:rsidRPr="008E672A">
        <w:rPr>
          <w:rFonts w:ascii="Calibri" w:eastAsia="Times New Roman" w:hAnsi="Calibri" w:cs="Times New Roman"/>
          <w:color w:val="000000"/>
        </w:rPr>
        <w:t xml:space="preserve"> th</w:t>
      </w:r>
      <w:r w:rsidRPr="008E672A">
        <w:rPr>
          <w:rFonts w:ascii="Calibri" w:eastAsia="Times New Roman" w:hAnsi="Calibri" w:cs="Times New Roman"/>
          <w:color w:val="000000"/>
        </w:rPr>
        <w:t>is</w:t>
      </w:r>
      <w:r w:rsidR="00F416D1" w:rsidRPr="008E672A">
        <w:rPr>
          <w:rFonts w:ascii="Calibri" w:eastAsia="Times New Roman" w:hAnsi="Calibri" w:cs="Times New Roman"/>
          <w:color w:val="000000"/>
        </w:rPr>
        <w:t xml:space="preserve"> </w:t>
      </w:r>
      <w:r w:rsidRPr="008E672A">
        <w:rPr>
          <w:rFonts w:ascii="Calibri" w:eastAsia="Times New Roman" w:hAnsi="Calibri" w:cs="Times New Roman"/>
          <w:color w:val="000000"/>
        </w:rPr>
        <w:t xml:space="preserve">increase in </w:t>
      </w:r>
      <w:r w:rsidR="00326D1D" w:rsidRPr="008E672A">
        <w:rPr>
          <w:rFonts w:ascii="Calibri" w:eastAsia="Times New Roman" w:hAnsi="Calibri" w:cs="Times New Roman"/>
          <w:color w:val="000000"/>
        </w:rPr>
        <w:t xml:space="preserve">Intangible Plant </w:t>
      </w:r>
      <w:r w:rsidR="00F416D1" w:rsidRPr="008E672A">
        <w:rPr>
          <w:rFonts w:ascii="Calibri" w:eastAsia="Times New Roman" w:hAnsi="Calibri" w:cs="Times New Roman"/>
          <w:color w:val="000000"/>
        </w:rPr>
        <w:t>Accumulated D</w:t>
      </w:r>
      <w:r w:rsidR="00326D1D" w:rsidRPr="008E672A">
        <w:rPr>
          <w:rFonts w:ascii="Calibri" w:eastAsia="Times New Roman" w:hAnsi="Calibri" w:cs="Times New Roman"/>
          <w:color w:val="000000"/>
        </w:rPr>
        <w:t>epreciation</w:t>
      </w:r>
      <w:r w:rsidRPr="008E672A">
        <w:rPr>
          <w:rFonts w:ascii="Calibri" w:eastAsia="Times New Roman" w:hAnsi="Calibri" w:cs="Times New Roman"/>
          <w:color w:val="000000"/>
        </w:rPr>
        <w:t xml:space="preserve"> Reserve</w:t>
      </w:r>
      <w:r w:rsidR="00F416D1" w:rsidRPr="008E672A">
        <w:rPr>
          <w:rFonts w:ascii="Calibri" w:eastAsia="Times New Roman" w:hAnsi="Calibri" w:cs="Times New Roman"/>
          <w:color w:val="000000"/>
        </w:rPr>
        <w:t>.</w:t>
      </w:r>
    </w:p>
    <w:p w:rsidR="00BC2952" w:rsidRDefault="00BC2952" w:rsidP="00196E5C">
      <w:pPr>
        <w:pStyle w:val="ListParagraph"/>
        <w:jc w:val="both"/>
      </w:pPr>
    </w:p>
    <w:p w:rsidR="00F45714" w:rsidRPr="00F62787" w:rsidRDefault="00F45714" w:rsidP="00196E5C">
      <w:pPr>
        <w:pStyle w:val="ListParagraph"/>
        <w:jc w:val="both"/>
        <w:rPr>
          <w:i/>
        </w:rPr>
      </w:pPr>
      <w:r w:rsidRPr="00F62787">
        <w:rPr>
          <w:i/>
        </w:rPr>
        <w:t>Response:</w:t>
      </w:r>
      <w:r w:rsidR="00904254" w:rsidRPr="00F62787">
        <w:rPr>
          <w:i/>
        </w:rPr>
        <w:t xml:space="preserve">  </w:t>
      </w:r>
      <w:r w:rsidR="00043B6D" w:rsidRPr="00F62787">
        <w:rPr>
          <w:i/>
        </w:rPr>
        <w:t>T</w:t>
      </w:r>
      <w:r w:rsidR="00753E89" w:rsidRPr="00F62787">
        <w:rPr>
          <w:i/>
        </w:rPr>
        <w:t>he c</w:t>
      </w:r>
      <w:r w:rsidR="00904254" w:rsidRPr="00F62787">
        <w:rPr>
          <w:i/>
        </w:rPr>
        <w:t>omparatively shorter estimated service life for this class of assets</w:t>
      </w:r>
      <w:r w:rsidR="00753E89" w:rsidRPr="00F62787">
        <w:rPr>
          <w:i/>
        </w:rPr>
        <w:t xml:space="preserve"> </w:t>
      </w:r>
      <w:r w:rsidR="00043B6D" w:rsidRPr="00F62787">
        <w:rPr>
          <w:i/>
        </w:rPr>
        <w:t>results in the reserve account increasing more rapidly compared to other reserve accounts. Recent upgrades to</w:t>
      </w:r>
      <w:r w:rsidR="00753E89" w:rsidRPr="00F62787">
        <w:rPr>
          <w:i/>
        </w:rPr>
        <w:t xml:space="preserve"> software systems </w:t>
      </w:r>
      <w:r w:rsidR="00043B6D" w:rsidRPr="00F62787">
        <w:rPr>
          <w:i/>
        </w:rPr>
        <w:t>are causing the expense related to this asset class, and consequently the reserve, to be higher compared to several years ago</w:t>
      </w:r>
      <w:r w:rsidR="00904254" w:rsidRPr="00F62787">
        <w:rPr>
          <w:i/>
        </w:rPr>
        <w:t>.   Additionally, there were no retirements du</w:t>
      </w:r>
      <w:r w:rsidR="0076691F" w:rsidRPr="00F62787">
        <w:rPr>
          <w:i/>
        </w:rPr>
        <w:t>ring the period to offset the increase to reserve.</w:t>
      </w:r>
    </w:p>
    <w:p w:rsidR="00904254" w:rsidRDefault="00904254" w:rsidP="00196E5C">
      <w:pPr>
        <w:pStyle w:val="ListParagraph"/>
        <w:jc w:val="both"/>
      </w:pPr>
    </w:p>
    <w:p w:rsidR="00182E57" w:rsidRDefault="0090127E" w:rsidP="00656FA4">
      <w:pPr>
        <w:pStyle w:val="ListParagraph"/>
        <w:numPr>
          <w:ilvl w:val="0"/>
          <w:numId w:val="1"/>
        </w:numPr>
        <w:jc w:val="both"/>
      </w:pPr>
      <w:r w:rsidRPr="008E672A">
        <w:t xml:space="preserve">With respect to the information shown on Worksheet A of the 2015 Update, it appears </w:t>
      </w:r>
      <w:r w:rsidR="00CB1AD0" w:rsidRPr="008E672A">
        <w:t xml:space="preserve">that </w:t>
      </w:r>
      <w:r w:rsidR="00326D1D" w:rsidRPr="008E672A">
        <w:t>the “Beginning Balance” instead of the “Ending Balance”</w:t>
      </w:r>
      <w:r w:rsidR="00182E57" w:rsidRPr="008E672A">
        <w:t xml:space="preserve"> </w:t>
      </w:r>
      <w:r w:rsidR="00326D1D" w:rsidRPr="008E672A">
        <w:t xml:space="preserve">was used </w:t>
      </w:r>
      <w:r w:rsidR="00530C26" w:rsidRPr="008E672A">
        <w:t xml:space="preserve">for </w:t>
      </w:r>
      <w:r w:rsidR="00326D1D" w:rsidRPr="008E672A">
        <w:t xml:space="preserve">the 190, 281, and 282 </w:t>
      </w:r>
      <w:r w:rsidR="00A92B35" w:rsidRPr="008E672A">
        <w:t>account n</w:t>
      </w:r>
      <w:r w:rsidR="00326D1D" w:rsidRPr="008E672A">
        <w:t xml:space="preserve">umbers. </w:t>
      </w:r>
      <w:r w:rsidR="00BC2952" w:rsidRPr="008E672A">
        <w:t xml:space="preserve">Are these amounts correct? </w:t>
      </w:r>
    </w:p>
    <w:p w:rsidR="006614BF" w:rsidRPr="006614BF" w:rsidRDefault="006614BF" w:rsidP="006614BF">
      <w:pPr>
        <w:pStyle w:val="ListParagraph"/>
        <w:ind w:left="1440"/>
        <w:jc w:val="both"/>
        <w:rPr>
          <w:rFonts w:ascii="Times New Roman" w:eastAsia="Times New Roman" w:hAnsi="Times New Roman" w:cs="Times New Roman"/>
        </w:rPr>
      </w:pPr>
    </w:p>
    <w:p w:rsidR="00182E57" w:rsidRPr="006614BF" w:rsidRDefault="00A92B35">
      <w:pPr>
        <w:pStyle w:val="ListParagraph"/>
        <w:numPr>
          <w:ilvl w:val="1"/>
          <w:numId w:val="1"/>
        </w:numPr>
        <w:jc w:val="both"/>
        <w:rPr>
          <w:rFonts w:ascii="Times New Roman" w:eastAsia="Times New Roman" w:hAnsi="Times New Roman" w:cs="Times New Roman"/>
        </w:rPr>
      </w:pPr>
      <w:r w:rsidRPr="008E672A">
        <w:t xml:space="preserve">With respect to Account </w:t>
      </w:r>
      <w:r w:rsidR="00182E57" w:rsidRPr="008E672A">
        <w:t>190.124</w:t>
      </w:r>
      <w:r w:rsidR="00FA3E3E" w:rsidRPr="008E672A">
        <w:t xml:space="preserve"> (r</w:t>
      </w:r>
      <w:r w:rsidR="00FA3E3E" w:rsidRPr="008E672A">
        <w:rPr>
          <w:rFonts w:ascii="Times New Roman" w:eastAsia="Times New Roman" w:hAnsi="Times New Roman" w:cs="Times New Roman"/>
        </w:rPr>
        <w:t>elates to injuries and damages, bad debts, rate case expense and other)</w:t>
      </w:r>
      <w:r w:rsidRPr="008E672A">
        <w:t>, w</w:t>
      </w:r>
      <w:r w:rsidR="001B7FC1" w:rsidRPr="008E672A">
        <w:t>hy is this</w:t>
      </w:r>
      <w:r w:rsidRPr="008E672A">
        <w:t xml:space="preserve"> amount</w:t>
      </w:r>
      <w:r w:rsidR="001B7FC1" w:rsidRPr="008E672A">
        <w:t xml:space="preserve"> </w:t>
      </w:r>
      <w:r w:rsidR="00333D78" w:rsidRPr="008E672A">
        <w:t>allocated as “Non-Transmission</w:t>
      </w:r>
      <w:r w:rsidR="00FA3E3E" w:rsidRPr="008E672A">
        <w:t xml:space="preserve">” related and </w:t>
      </w:r>
      <w:r w:rsidR="001B7FC1" w:rsidRPr="008E672A">
        <w:t xml:space="preserve">not allocated based on </w:t>
      </w:r>
      <w:r w:rsidR="00FA3E3E" w:rsidRPr="008E672A">
        <w:t>“</w:t>
      </w:r>
      <w:r w:rsidR="001B7FC1" w:rsidRPr="008E672A">
        <w:t>labor</w:t>
      </w:r>
      <w:r w:rsidR="00FA3E3E" w:rsidRPr="008E672A">
        <w:t>”, which would typically be used</w:t>
      </w:r>
      <w:r w:rsidR="001B7FC1" w:rsidRPr="008E672A">
        <w:t>?</w:t>
      </w:r>
    </w:p>
    <w:p w:rsidR="006614BF" w:rsidRPr="00F62787" w:rsidRDefault="006614BF" w:rsidP="006614BF">
      <w:pPr>
        <w:ind w:left="1440"/>
        <w:jc w:val="both"/>
        <w:rPr>
          <w:rFonts w:ascii="Times New Roman" w:eastAsia="Times New Roman" w:hAnsi="Times New Roman" w:cs="Times New Roman"/>
          <w:i/>
        </w:rPr>
      </w:pPr>
      <w:r w:rsidRPr="00F62787">
        <w:rPr>
          <w:i/>
        </w:rPr>
        <w:t>Response:  These relate to smaller miscellaneous book/tax timing differences which relate to company operations as a whole and not to transmission specifically. We believe the nature of the deferred tax items are not appropriate to be “spread” based on a labor allocation.</w:t>
      </w:r>
    </w:p>
    <w:p w:rsidR="00182E57" w:rsidRDefault="00A92B35" w:rsidP="00656FA4">
      <w:pPr>
        <w:pStyle w:val="ListParagraph"/>
        <w:numPr>
          <w:ilvl w:val="1"/>
          <w:numId w:val="1"/>
        </w:numPr>
        <w:jc w:val="both"/>
      </w:pPr>
      <w:r w:rsidRPr="008E672A">
        <w:t xml:space="preserve">With respect to Account </w:t>
      </w:r>
      <w:r w:rsidR="00182E57" w:rsidRPr="008E672A">
        <w:t>190.114</w:t>
      </w:r>
      <w:r w:rsidR="009D6528" w:rsidRPr="008E672A">
        <w:t xml:space="preserve"> (deferred tax asset-regulatory plan amortization)</w:t>
      </w:r>
      <w:r w:rsidRPr="008E672A">
        <w:t>, c</w:t>
      </w:r>
      <w:r w:rsidR="001B7FC1" w:rsidRPr="008E672A">
        <w:t>an you please provide a more detailed explanation of this amount</w:t>
      </w:r>
      <w:r w:rsidR="009D6528" w:rsidRPr="008E672A">
        <w:t xml:space="preserve"> and why it w</w:t>
      </w:r>
      <w:r w:rsidR="00333D78" w:rsidRPr="008E672A">
        <w:t>as allocated 100% to “Non-Transmission</w:t>
      </w:r>
      <w:r w:rsidR="009D6528" w:rsidRPr="008E672A">
        <w:t xml:space="preserve"> Related</w:t>
      </w:r>
      <w:r w:rsidR="001B7FC1" w:rsidRPr="008E672A">
        <w:t>?</w:t>
      </w:r>
    </w:p>
    <w:p w:rsidR="006614BF" w:rsidRPr="00F62787" w:rsidRDefault="006614BF" w:rsidP="006614BF">
      <w:pPr>
        <w:ind w:left="1440"/>
        <w:jc w:val="both"/>
        <w:rPr>
          <w:i/>
        </w:rPr>
      </w:pPr>
      <w:r w:rsidRPr="00F62787">
        <w:rPr>
          <w:i/>
        </w:rPr>
        <w:t>Response:  This deferred tax relates to Missouri retail jurisdiction only from the 2006 to 2008 time frame.</w:t>
      </w:r>
    </w:p>
    <w:p w:rsidR="00182E57" w:rsidRDefault="00A92B35" w:rsidP="00656FA4">
      <w:pPr>
        <w:pStyle w:val="ListParagraph"/>
        <w:numPr>
          <w:ilvl w:val="1"/>
          <w:numId w:val="1"/>
        </w:numPr>
        <w:jc w:val="both"/>
      </w:pPr>
      <w:r w:rsidRPr="008E672A">
        <w:t xml:space="preserve">With respect to Account </w:t>
      </w:r>
      <w:r w:rsidR="00182E57" w:rsidRPr="008E672A">
        <w:t>190.989</w:t>
      </w:r>
      <w:r w:rsidR="002B0E98" w:rsidRPr="008E672A">
        <w:t xml:space="preserve"> (Long term deferred tax asset)</w:t>
      </w:r>
      <w:r w:rsidRPr="008E672A">
        <w:t xml:space="preserve">, </w:t>
      </w:r>
      <w:r w:rsidR="002B0E98" w:rsidRPr="008E672A">
        <w:t xml:space="preserve">the notes included </w:t>
      </w:r>
      <w:r w:rsidR="00356559" w:rsidRPr="008E672A">
        <w:t xml:space="preserve">in Worksheet A include the following description “Reclassified to S-T DTL.  Please provide a detailed explanation of </w:t>
      </w:r>
      <w:r w:rsidR="001B7FC1" w:rsidRPr="008E672A">
        <w:t xml:space="preserve">this amount </w:t>
      </w:r>
      <w:r w:rsidR="00356559" w:rsidRPr="008E672A">
        <w:t>and why it was allocated 100% to “Non</w:t>
      </w:r>
      <w:r w:rsidR="00333D78" w:rsidRPr="008E672A">
        <w:t>-Transmission</w:t>
      </w:r>
      <w:r w:rsidR="00356559" w:rsidRPr="008E672A">
        <w:t xml:space="preserve"> Related”</w:t>
      </w:r>
      <w:r w:rsidR="001B7FC1" w:rsidRPr="008E672A">
        <w:t>?</w:t>
      </w:r>
    </w:p>
    <w:p w:rsidR="006614BF" w:rsidRPr="00F62787" w:rsidRDefault="006614BF" w:rsidP="006614BF">
      <w:pPr>
        <w:ind w:left="1440"/>
        <w:jc w:val="both"/>
        <w:rPr>
          <w:i/>
        </w:rPr>
      </w:pPr>
      <w:r w:rsidRPr="00F62787">
        <w:rPr>
          <w:i/>
        </w:rPr>
        <w:t>Response:  This deferred tax is a book only balance sheet reclassification offset by a/c 283.989 in question 9.</w:t>
      </w:r>
    </w:p>
    <w:p w:rsidR="001B7FC1" w:rsidRDefault="00A92B35" w:rsidP="00656FA4">
      <w:pPr>
        <w:pStyle w:val="ListParagraph"/>
        <w:numPr>
          <w:ilvl w:val="1"/>
          <w:numId w:val="1"/>
        </w:numPr>
        <w:jc w:val="both"/>
      </w:pPr>
      <w:r w:rsidRPr="008E672A">
        <w:t xml:space="preserve">With respect to Account </w:t>
      </w:r>
      <w:r w:rsidR="00182E57" w:rsidRPr="008E672A">
        <w:t>190.999</w:t>
      </w:r>
      <w:r w:rsidR="00356559" w:rsidRPr="008E672A">
        <w:t xml:space="preserve"> (Current Deferred Tax Asset – NOL I ITC)</w:t>
      </w:r>
      <w:r w:rsidRPr="008E672A">
        <w:t>, p</w:t>
      </w:r>
      <w:r w:rsidR="001B7FC1" w:rsidRPr="008E672A">
        <w:t xml:space="preserve">lease </w:t>
      </w:r>
      <w:r w:rsidR="00356559" w:rsidRPr="008E672A">
        <w:t>provide a detailed explanation of this amount and why it was allocated 100% to “Non</w:t>
      </w:r>
      <w:r w:rsidR="00333D78" w:rsidRPr="008E672A">
        <w:t>-Transmission Re</w:t>
      </w:r>
      <w:r w:rsidR="00356559" w:rsidRPr="008E672A">
        <w:t>lated”?</w:t>
      </w:r>
      <w:r w:rsidR="001B7FC1" w:rsidRPr="008E672A">
        <w:t xml:space="preserve"> </w:t>
      </w:r>
    </w:p>
    <w:p w:rsidR="006614BF" w:rsidRPr="00F62787" w:rsidRDefault="006614BF" w:rsidP="006614BF">
      <w:pPr>
        <w:ind w:left="1440"/>
        <w:jc w:val="both"/>
        <w:rPr>
          <w:i/>
        </w:rPr>
      </w:pPr>
      <w:r w:rsidRPr="00F62787">
        <w:rPr>
          <w:i/>
        </w:rPr>
        <w:t>Response:  This deferred tax is also a book only balance sheet reclassification between short term and long term and is offset by a/c 283.989 in question 9.</w:t>
      </w:r>
    </w:p>
    <w:p w:rsidR="001B7FC1" w:rsidRPr="008E672A" w:rsidRDefault="001B7FC1" w:rsidP="00656FA4">
      <w:pPr>
        <w:pStyle w:val="ListParagraph"/>
        <w:jc w:val="both"/>
      </w:pPr>
    </w:p>
    <w:p w:rsidR="00132D3F" w:rsidRPr="00F62787" w:rsidRDefault="00F45714" w:rsidP="00132D3F">
      <w:pPr>
        <w:pStyle w:val="ListParagraph"/>
        <w:jc w:val="both"/>
        <w:rPr>
          <w:i/>
        </w:rPr>
      </w:pPr>
      <w:r w:rsidRPr="00F62787">
        <w:rPr>
          <w:i/>
        </w:rPr>
        <w:lastRenderedPageBreak/>
        <w:t>Response:</w:t>
      </w:r>
      <w:r w:rsidR="00132D3F" w:rsidRPr="00F62787">
        <w:rPr>
          <w:i/>
        </w:rPr>
        <w:t xml:space="preserve">  With respect to the information shown on Worksheet A (actually identified as Attachment 1), the inputs for Accounts 190, 281, 282 and 283 are all “Year-End” balances.  </w:t>
      </w:r>
      <w:proofErr w:type="gramStart"/>
      <w:r w:rsidR="00132D3F" w:rsidRPr="00F62787">
        <w:rPr>
          <w:i/>
        </w:rPr>
        <w:t>Page 1, Line 23, Column A of the ATT-1 worksheet shows that the total of the Account 190 values conform to FERC Form 1, Page 234, Line 18, column c.</w:t>
      </w:r>
      <w:proofErr w:type="gramEnd"/>
      <w:r w:rsidR="00132D3F" w:rsidRPr="00F62787">
        <w:rPr>
          <w:i/>
        </w:rPr>
        <w:t xml:space="preserve">  Similar conformity to the FERC Form 1 is also verified on Page 2, Line 13, Column </w:t>
      </w:r>
      <w:proofErr w:type="gramStart"/>
      <w:r w:rsidR="00132D3F" w:rsidRPr="00F62787">
        <w:rPr>
          <w:i/>
        </w:rPr>
        <w:t>A</w:t>
      </w:r>
      <w:proofErr w:type="gramEnd"/>
      <w:r w:rsidR="00132D3F" w:rsidRPr="00F62787">
        <w:rPr>
          <w:i/>
        </w:rPr>
        <w:t xml:space="preserve"> of ATT-1; and</w:t>
      </w:r>
      <w:r w:rsidR="006614BF" w:rsidRPr="00F62787">
        <w:rPr>
          <w:i/>
        </w:rPr>
        <w:t xml:space="preserve"> on Page 3, Line 23, of ATT-1. </w:t>
      </w:r>
    </w:p>
    <w:p w:rsidR="00F45714" w:rsidRPr="00F62787" w:rsidRDefault="00F45714" w:rsidP="00970B21">
      <w:pPr>
        <w:pStyle w:val="ListParagraph"/>
        <w:jc w:val="both"/>
        <w:rPr>
          <w:i/>
        </w:rPr>
      </w:pPr>
    </w:p>
    <w:p w:rsidR="001B7FC1" w:rsidRPr="008E672A" w:rsidRDefault="00A92B35" w:rsidP="00656FA4">
      <w:pPr>
        <w:pStyle w:val="ListParagraph"/>
        <w:numPr>
          <w:ilvl w:val="0"/>
          <w:numId w:val="1"/>
        </w:numPr>
        <w:jc w:val="both"/>
      </w:pPr>
      <w:r w:rsidRPr="008E672A">
        <w:t xml:space="preserve">Please </w:t>
      </w:r>
      <w:r w:rsidR="00196E5C" w:rsidRPr="008E672A">
        <w:t xml:space="preserve">explain the difference between </w:t>
      </w:r>
      <w:r w:rsidRPr="008E672A">
        <w:t xml:space="preserve">the amount for </w:t>
      </w:r>
      <w:r w:rsidR="001B7FC1" w:rsidRPr="008E672A">
        <w:t>Account 282.200</w:t>
      </w:r>
      <w:r w:rsidR="00196E5C" w:rsidRPr="008E672A">
        <w:t xml:space="preserve"> included in Worksheet A of the 2015 Update ($1,632,557)</w:t>
      </w:r>
      <w:r w:rsidRPr="008E672A">
        <w:t xml:space="preserve"> </w:t>
      </w:r>
      <w:r w:rsidR="00196E5C" w:rsidRPr="008E672A">
        <w:t>and the amount on Line 4 of Page 275 of the FERC Form 1 ($1,644,751)</w:t>
      </w:r>
      <w:r w:rsidRPr="008E672A">
        <w:t>.</w:t>
      </w:r>
      <w:r w:rsidR="001B7FC1" w:rsidRPr="008E672A">
        <w:t xml:space="preserve"> </w:t>
      </w:r>
    </w:p>
    <w:p w:rsidR="008605D3" w:rsidRDefault="008605D3" w:rsidP="008605D3">
      <w:pPr>
        <w:pStyle w:val="ListParagraph"/>
      </w:pPr>
    </w:p>
    <w:p w:rsidR="006614BF" w:rsidRPr="00F62787" w:rsidRDefault="00F45714" w:rsidP="006614BF">
      <w:pPr>
        <w:pStyle w:val="ListParagraph"/>
        <w:jc w:val="both"/>
        <w:rPr>
          <w:i/>
        </w:rPr>
      </w:pPr>
      <w:r w:rsidRPr="00F62787">
        <w:rPr>
          <w:i/>
        </w:rPr>
        <w:t>Response:</w:t>
      </w:r>
      <w:r w:rsidR="006614BF" w:rsidRPr="00F62787">
        <w:rPr>
          <w:i/>
        </w:rPr>
        <w:t xml:space="preserve"> The difference relates to a non-utility deferred tax amount ($12,194) and water deferred tax which is expected to be resolved in 2015.  We expect the water deferred tax per general ledger and FERC Form 1 line 4 to be the same at the end of 2015.</w:t>
      </w:r>
    </w:p>
    <w:p w:rsidR="00F45714" w:rsidRDefault="00F45714" w:rsidP="008605D3">
      <w:pPr>
        <w:pStyle w:val="ListParagraph"/>
      </w:pPr>
    </w:p>
    <w:p w:rsidR="00F45714" w:rsidRDefault="000F44DD" w:rsidP="00D07B1E">
      <w:pPr>
        <w:pStyle w:val="ListParagraph"/>
        <w:numPr>
          <w:ilvl w:val="0"/>
          <w:numId w:val="1"/>
        </w:numPr>
        <w:jc w:val="both"/>
      </w:pPr>
      <w:r w:rsidRPr="008E672A">
        <w:t xml:space="preserve">With respect to </w:t>
      </w:r>
      <w:r w:rsidR="008605D3" w:rsidRPr="008E672A">
        <w:t>Account 283</w:t>
      </w:r>
      <w:r w:rsidRPr="008E672A">
        <w:t>.366 (</w:t>
      </w:r>
      <w:proofErr w:type="spellStart"/>
      <w:r w:rsidRPr="00F050A3">
        <w:t>Def</w:t>
      </w:r>
      <w:proofErr w:type="spellEnd"/>
      <w:r w:rsidRPr="00F050A3">
        <w:t xml:space="preserve"> Tax - ITC Tax Basis Reduction - </w:t>
      </w:r>
      <w:proofErr w:type="spellStart"/>
      <w:r w:rsidRPr="00F050A3">
        <w:t>Iatan</w:t>
      </w:r>
      <w:proofErr w:type="spellEnd"/>
      <w:r w:rsidRPr="00F050A3">
        <w:t xml:space="preserve"> 2), Account 283.915 (Deferred Income Tax - FAS 109), and 283-989 (Long-Term </w:t>
      </w:r>
      <w:proofErr w:type="spellStart"/>
      <w:r w:rsidRPr="00F050A3">
        <w:t>Def</w:t>
      </w:r>
      <w:proofErr w:type="spellEnd"/>
      <w:r w:rsidRPr="00F050A3">
        <w:t xml:space="preserve"> Tax Asset), </w:t>
      </w:r>
      <w:r w:rsidRPr="008E672A">
        <w:t>please provi</w:t>
      </w:r>
      <w:r w:rsidR="00D07B1E" w:rsidRPr="008E672A">
        <w:t>de a detailed explanation of the</w:t>
      </w:r>
      <w:r w:rsidRPr="008E672A">
        <w:t>s</w:t>
      </w:r>
      <w:r w:rsidR="00D07B1E" w:rsidRPr="008E672A">
        <w:t>e amounts and why they were</w:t>
      </w:r>
      <w:r w:rsidRPr="008E672A">
        <w:t xml:space="preserve"> allocated 100% to “Non-Transmission Related”?</w:t>
      </w:r>
    </w:p>
    <w:p w:rsidR="00F45714" w:rsidRPr="00F62787" w:rsidRDefault="00F45714" w:rsidP="00F45714">
      <w:pPr>
        <w:pStyle w:val="ListParagraph"/>
        <w:rPr>
          <w:i/>
        </w:rPr>
      </w:pPr>
    </w:p>
    <w:p w:rsidR="00F45714" w:rsidRPr="00F62787" w:rsidRDefault="00F45714" w:rsidP="00F62787">
      <w:pPr>
        <w:pStyle w:val="ListParagraph"/>
        <w:jc w:val="both"/>
        <w:rPr>
          <w:i/>
        </w:rPr>
      </w:pPr>
      <w:r w:rsidRPr="00F62787">
        <w:rPr>
          <w:i/>
        </w:rPr>
        <w:t>Response:</w:t>
      </w:r>
      <w:r w:rsidR="00F62787" w:rsidRPr="00F62787">
        <w:rPr>
          <w:i/>
        </w:rPr>
        <w:t xml:space="preserve">  A/C 283.366 relates to the required basis reduction due to ITC taken at our </w:t>
      </w:r>
      <w:proofErr w:type="spellStart"/>
      <w:r w:rsidR="00F62787" w:rsidRPr="00F62787">
        <w:rPr>
          <w:i/>
        </w:rPr>
        <w:t>Iatan</w:t>
      </w:r>
      <w:proofErr w:type="spellEnd"/>
      <w:r w:rsidR="00F62787" w:rsidRPr="00F62787">
        <w:rPr>
          <w:i/>
        </w:rPr>
        <w:t xml:space="preserve"> II generation station and is therefore not transmission related.  A/C 283915 relates to unrecovered Missouri jurisdictional deferred taxes only.  A/C 283.989 is an accounting only deferred tax as described above in 7c and 7d.</w:t>
      </w:r>
    </w:p>
    <w:p w:rsidR="00F45714" w:rsidRDefault="00F45714" w:rsidP="00F45714">
      <w:pPr>
        <w:pStyle w:val="ListParagraph"/>
      </w:pPr>
    </w:p>
    <w:p w:rsidR="000F44DD" w:rsidRPr="00F050A3" w:rsidRDefault="0085789C" w:rsidP="000F44DD">
      <w:pPr>
        <w:pStyle w:val="ListParagraph"/>
        <w:numPr>
          <w:ilvl w:val="0"/>
          <w:numId w:val="1"/>
        </w:numPr>
        <w:jc w:val="both"/>
      </w:pPr>
      <w:r w:rsidRPr="00F050A3">
        <w:t xml:space="preserve">Pleases explain why transmission salaries and wages increased </w:t>
      </w:r>
      <w:r w:rsidR="00C573A9" w:rsidRPr="00F050A3">
        <w:t>17.9</w:t>
      </w:r>
      <w:r w:rsidR="00D73DF5" w:rsidRPr="00F050A3">
        <w:t>% (Amounts from FERC Form 1: $2,349,307 in 2013 to $2</w:t>
      </w:r>
      <w:r w:rsidR="00C573A9" w:rsidRPr="00F050A3">
        <w:t>,770,</w:t>
      </w:r>
      <w:r w:rsidR="00D73DF5" w:rsidRPr="00F050A3">
        <w:t>590 in 2014)?</w:t>
      </w:r>
    </w:p>
    <w:p w:rsidR="000F44DD" w:rsidRDefault="000F44DD" w:rsidP="000F44DD">
      <w:pPr>
        <w:pStyle w:val="ListParagraph"/>
        <w:jc w:val="both"/>
        <w:rPr>
          <w:rFonts w:ascii="Times New Roman" w:eastAsia="Times New Roman" w:hAnsi="Times New Roman" w:cs="Times New Roman"/>
        </w:rPr>
      </w:pPr>
    </w:p>
    <w:p w:rsidR="00F050A3" w:rsidRPr="00F050A3" w:rsidRDefault="00F45714" w:rsidP="00F050A3">
      <w:pPr>
        <w:pStyle w:val="ListParagraph"/>
        <w:jc w:val="both"/>
        <w:rPr>
          <w:i/>
        </w:rPr>
      </w:pPr>
      <w:r w:rsidRPr="00F050A3">
        <w:rPr>
          <w:i/>
        </w:rPr>
        <w:t>Response:</w:t>
      </w:r>
      <w:r w:rsidR="00F050A3" w:rsidRPr="00F050A3">
        <w:rPr>
          <w:i/>
        </w:rPr>
        <w:t xml:space="preserve"> This was due to a desire to improve the reliability of the transmission system which includes improving our annual patrol of the transmission lines to include infrared inspection.  Issues found with this inspection required corrective action.  Also, due to the reliability program, we have increase our efforts to inspect substation equipment and are also stepping up our maintenance programs as well which includes internal inspections and repairs of transmission transformer tap changers.</w:t>
      </w:r>
    </w:p>
    <w:p w:rsidR="00F050A3" w:rsidRPr="00F050A3" w:rsidRDefault="00F050A3" w:rsidP="00F050A3">
      <w:pPr>
        <w:pStyle w:val="ListParagraph"/>
        <w:jc w:val="both"/>
        <w:rPr>
          <w:i/>
        </w:rPr>
      </w:pPr>
    </w:p>
    <w:p w:rsidR="00F45714" w:rsidRPr="00F050A3" w:rsidRDefault="00F050A3" w:rsidP="00F050A3">
      <w:pPr>
        <w:pStyle w:val="ListParagraph"/>
        <w:jc w:val="both"/>
        <w:rPr>
          <w:i/>
        </w:rPr>
      </w:pPr>
      <w:r w:rsidRPr="00F050A3">
        <w:rPr>
          <w:i/>
        </w:rPr>
        <w:t xml:space="preserve">In addition, there were several storms on the Empire System including the Baxter Springs tornado which were significant but required less support from contractors as had been utilized in the past.  This inflated the payroll costs. </w:t>
      </w:r>
    </w:p>
    <w:p w:rsidR="00F050A3" w:rsidRPr="00F050A3" w:rsidRDefault="00F050A3" w:rsidP="00F050A3">
      <w:pPr>
        <w:pStyle w:val="ListParagraph"/>
        <w:jc w:val="both"/>
        <w:rPr>
          <w:rFonts w:ascii="Times New Roman" w:eastAsia="Times New Roman" w:hAnsi="Times New Roman" w:cs="Times New Roman"/>
          <w:i/>
        </w:rPr>
      </w:pPr>
    </w:p>
    <w:p w:rsidR="000F44DD" w:rsidRPr="00F050A3" w:rsidRDefault="0078232D" w:rsidP="000F44DD">
      <w:pPr>
        <w:pStyle w:val="ListParagraph"/>
        <w:numPr>
          <w:ilvl w:val="0"/>
          <w:numId w:val="1"/>
        </w:numPr>
        <w:jc w:val="both"/>
      </w:pPr>
      <w:r w:rsidRPr="00F050A3">
        <w:t>Please explain why Industry Association Dues (Account 930.2 – Page 355, line 1 of the FERC Form 1) was not excluded in the calculation of Administrative and General Expenses in Appendix A, lines 54 – 60, of the 2015 Annual Update?</w:t>
      </w:r>
    </w:p>
    <w:p w:rsidR="0078232D" w:rsidRDefault="0078232D" w:rsidP="0078232D">
      <w:pPr>
        <w:pStyle w:val="ListParagraph"/>
        <w:rPr>
          <w:rFonts w:ascii="Times New Roman" w:eastAsia="Times New Roman" w:hAnsi="Times New Roman" w:cs="Times New Roman"/>
        </w:rPr>
      </w:pPr>
    </w:p>
    <w:p w:rsidR="00F45714" w:rsidRPr="00F62787" w:rsidRDefault="00F45714" w:rsidP="00132D3F">
      <w:pPr>
        <w:pStyle w:val="ListParagraph"/>
        <w:jc w:val="both"/>
        <w:rPr>
          <w:i/>
        </w:rPr>
      </w:pPr>
      <w:r w:rsidRPr="00F62787">
        <w:rPr>
          <w:i/>
        </w:rPr>
        <w:lastRenderedPageBreak/>
        <w:t>Response:</w:t>
      </w:r>
      <w:r w:rsidR="00132D3F" w:rsidRPr="00F62787">
        <w:rPr>
          <w:i/>
        </w:rPr>
        <w:t xml:space="preserve">  The current TFR Template , which was derived and approved through a formal FERC Docket (ER12-1813) which included many Technical Sessions and Settlement Discussions and does not contemplate the exclusion of the “Industry Association Dues” from the A&amp;G Expenses.  However, there are adjustments for PBOP’s, certain Regulatory expenses, and certain advertising expenses, as displayed in lines 54 through 65 of Appendix A of the Template.</w:t>
      </w:r>
    </w:p>
    <w:p w:rsidR="00F45714" w:rsidRDefault="00F45714" w:rsidP="0078232D">
      <w:pPr>
        <w:pStyle w:val="ListParagraph"/>
        <w:rPr>
          <w:rFonts w:ascii="Times New Roman" w:eastAsia="Times New Roman" w:hAnsi="Times New Roman" w:cs="Times New Roman"/>
        </w:rPr>
      </w:pPr>
    </w:p>
    <w:p w:rsidR="008E672A" w:rsidRPr="00F050A3" w:rsidRDefault="0078232D" w:rsidP="000F44DD">
      <w:pPr>
        <w:pStyle w:val="ListParagraph"/>
        <w:numPr>
          <w:ilvl w:val="0"/>
          <w:numId w:val="1"/>
        </w:numPr>
        <w:jc w:val="both"/>
      </w:pPr>
      <w:r w:rsidRPr="00F050A3">
        <w:t>With regard to NERC’s annual assessment of membership dues and fees to Empire for calendar year 2014, please provide the following.</w:t>
      </w:r>
      <w:r w:rsidR="008E672A" w:rsidRPr="00F050A3">
        <w:t xml:space="preserve">  Also, provide the same information pertaining to the annual assessment by SPP.</w:t>
      </w:r>
    </w:p>
    <w:p w:rsidR="0078232D" w:rsidRPr="0078232D" w:rsidRDefault="0078232D" w:rsidP="0078232D">
      <w:pPr>
        <w:pStyle w:val="ListParagraph"/>
        <w:rPr>
          <w:rFonts w:ascii="Times New Roman" w:eastAsia="Times New Roman" w:hAnsi="Times New Roman" w:cs="Times New Roman"/>
        </w:rPr>
      </w:pPr>
    </w:p>
    <w:p w:rsidR="0078232D" w:rsidRPr="00F050A3" w:rsidRDefault="0078232D" w:rsidP="0078232D">
      <w:pPr>
        <w:pStyle w:val="ListParagraph"/>
        <w:numPr>
          <w:ilvl w:val="1"/>
          <w:numId w:val="1"/>
        </w:numPr>
        <w:jc w:val="both"/>
        <w:rPr>
          <w:rFonts w:eastAsia="Times New Roman" w:cs="Times New Roman"/>
        </w:rPr>
      </w:pPr>
      <w:r w:rsidRPr="00F050A3">
        <w:rPr>
          <w:rFonts w:eastAsia="Times New Roman" w:cs="Times New Roman"/>
        </w:rPr>
        <w:t>The amount of such dues and fees.</w:t>
      </w:r>
    </w:p>
    <w:p w:rsidR="0078232D" w:rsidRPr="00F050A3" w:rsidRDefault="0078232D" w:rsidP="0078232D">
      <w:pPr>
        <w:pStyle w:val="ListParagraph"/>
        <w:numPr>
          <w:ilvl w:val="1"/>
          <w:numId w:val="1"/>
        </w:numPr>
        <w:jc w:val="both"/>
        <w:rPr>
          <w:rFonts w:eastAsia="Times New Roman" w:cs="Times New Roman"/>
        </w:rPr>
      </w:pPr>
      <w:r w:rsidRPr="00F050A3">
        <w:rPr>
          <w:rFonts w:eastAsia="Times New Roman" w:cs="Times New Roman"/>
        </w:rPr>
        <w:t>A detailed explanation of basis for (i.e. methods of calculating) such assessments.</w:t>
      </w:r>
    </w:p>
    <w:p w:rsidR="008E672A" w:rsidRPr="00F050A3" w:rsidRDefault="008E672A" w:rsidP="008E672A">
      <w:pPr>
        <w:pStyle w:val="ListParagraph"/>
        <w:numPr>
          <w:ilvl w:val="1"/>
          <w:numId w:val="1"/>
        </w:numPr>
        <w:jc w:val="both"/>
        <w:rPr>
          <w:rFonts w:eastAsia="Times New Roman" w:cs="Times New Roman"/>
        </w:rPr>
      </w:pPr>
      <w:r w:rsidRPr="00F050A3">
        <w:rPr>
          <w:rFonts w:eastAsia="Times New Roman" w:cs="Times New Roman"/>
        </w:rPr>
        <w:t>The expense account(s) to which such assessments were booked and the amount(s) by account.</w:t>
      </w:r>
    </w:p>
    <w:p w:rsidR="008605D3" w:rsidRDefault="008605D3" w:rsidP="00DE3D21">
      <w:pPr>
        <w:pStyle w:val="ListParagraph"/>
        <w:jc w:val="both"/>
        <w:rPr>
          <w:highlight w:val="yellow"/>
        </w:rPr>
      </w:pPr>
    </w:p>
    <w:p w:rsidR="006614B5" w:rsidRPr="00F050A3" w:rsidRDefault="00F62787" w:rsidP="006614B5">
      <w:pPr>
        <w:pStyle w:val="ListParagraph"/>
        <w:jc w:val="both"/>
        <w:rPr>
          <w:i/>
        </w:rPr>
      </w:pPr>
      <w:r w:rsidRPr="00F050A3">
        <w:rPr>
          <w:rFonts w:eastAsia="Times New Roman" w:cs="Times New Roman"/>
          <w:i/>
        </w:rPr>
        <w:t>Response:</w:t>
      </w:r>
      <w:r w:rsidR="006614B5" w:rsidRPr="00F050A3">
        <w:rPr>
          <w:rFonts w:eastAsia="Times New Roman" w:cs="Times New Roman"/>
          <w:i/>
        </w:rPr>
        <w:t xml:space="preserve">  </w:t>
      </w:r>
      <w:r w:rsidR="006614B5" w:rsidRPr="00F050A3">
        <w:rPr>
          <w:i/>
        </w:rPr>
        <w:t xml:space="preserve"> 2014 Assessments (Area 250-557410)</w:t>
      </w:r>
    </w:p>
    <w:p w:rsidR="006614B5" w:rsidRPr="00F050A3" w:rsidRDefault="006614B5" w:rsidP="00D73683">
      <w:pPr>
        <w:ind w:firstLine="720"/>
        <w:rPr>
          <w:i/>
        </w:rPr>
      </w:pPr>
      <w:r w:rsidRPr="00F050A3">
        <w:rPr>
          <w:i/>
        </w:rPr>
        <w:t>Q</w:t>
      </w:r>
      <w:r w:rsidR="00D73683" w:rsidRPr="00F050A3">
        <w:rPr>
          <w:i/>
        </w:rPr>
        <w:t>1</w:t>
      </w:r>
      <w:r w:rsidR="00D73683" w:rsidRPr="00F050A3">
        <w:rPr>
          <w:i/>
        </w:rPr>
        <w:tab/>
        <w:t>$70,880.03</w:t>
      </w:r>
      <w:r w:rsidR="00D73683" w:rsidRPr="00F050A3">
        <w:rPr>
          <w:i/>
        </w:rPr>
        <w:tab/>
        <w:t>[NERC portion $15,472.31</w:t>
      </w:r>
      <w:r w:rsidR="00D73683" w:rsidRPr="00F050A3">
        <w:rPr>
          <w:i/>
        </w:rPr>
        <w:tab/>
      </w:r>
      <w:r w:rsidRPr="00F050A3">
        <w:rPr>
          <w:i/>
        </w:rPr>
        <w:t>SPP portion</w:t>
      </w:r>
      <w:proofErr w:type="gramStart"/>
      <w:r w:rsidRPr="00F050A3">
        <w:rPr>
          <w:i/>
        </w:rPr>
        <w:t>  $</w:t>
      </w:r>
      <w:proofErr w:type="gramEnd"/>
      <w:r w:rsidRPr="00F050A3">
        <w:rPr>
          <w:i/>
        </w:rPr>
        <w:t>55,407.72 ]</w:t>
      </w:r>
    </w:p>
    <w:p w:rsidR="006614B5" w:rsidRPr="00F050A3" w:rsidRDefault="00D73683" w:rsidP="00D73683">
      <w:pPr>
        <w:ind w:firstLine="720"/>
        <w:rPr>
          <w:i/>
        </w:rPr>
      </w:pPr>
      <w:r w:rsidRPr="00F050A3">
        <w:rPr>
          <w:i/>
        </w:rPr>
        <w:t>Q2</w:t>
      </w:r>
      <w:r w:rsidRPr="00F050A3">
        <w:rPr>
          <w:i/>
        </w:rPr>
        <w:tab/>
        <w:t>$70,880.03</w:t>
      </w:r>
      <w:r w:rsidRPr="00F050A3">
        <w:rPr>
          <w:i/>
        </w:rPr>
        <w:tab/>
        <w:t>[NERC portion $15,472.31</w:t>
      </w:r>
      <w:r w:rsidRPr="00F050A3">
        <w:rPr>
          <w:i/>
        </w:rPr>
        <w:tab/>
      </w:r>
      <w:r w:rsidR="006614B5" w:rsidRPr="00F050A3">
        <w:rPr>
          <w:i/>
        </w:rPr>
        <w:t>SPP portion</w:t>
      </w:r>
      <w:proofErr w:type="gramStart"/>
      <w:r w:rsidR="006614B5" w:rsidRPr="00F050A3">
        <w:rPr>
          <w:i/>
        </w:rPr>
        <w:t>  $</w:t>
      </w:r>
      <w:proofErr w:type="gramEnd"/>
      <w:r w:rsidR="006614B5" w:rsidRPr="00F050A3">
        <w:rPr>
          <w:i/>
        </w:rPr>
        <w:t>55,407.72 ]</w:t>
      </w:r>
    </w:p>
    <w:p w:rsidR="006614B5" w:rsidRPr="00F050A3" w:rsidRDefault="006614B5" w:rsidP="00D73683">
      <w:pPr>
        <w:ind w:firstLine="720"/>
        <w:rPr>
          <w:i/>
        </w:rPr>
      </w:pPr>
      <w:r w:rsidRPr="00F050A3">
        <w:rPr>
          <w:i/>
        </w:rPr>
        <w:t xml:space="preserve"> Q</w:t>
      </w:r>
      <w:r w:rsidR="00D73683" w:rsidRPr="00F050A3">
        <w:rPr>
          <w:i/>
        </w:rPr>
        <w:t>3</w:t>
      </w:r>
      <w:r w:rsidR="00D73683" w:rsidRPr="00F050A3">
        <w:rPr>
          <w:i/>
        </w:rPr>
        <w:tab/>
        <w:t>$70,880.03</w:t>
      </w:r>
      <w:r w:rsidR="00D73683" w:rsidRPr="00F050A3">
        <w:rPr>
          <w:i/>
        </w:rPr>
        <w:tab/>
        <w:t>[NERC portion $15,472.31</w:t>
      </w:r>
      <w:r w:rsidR="00D73683" w:rsidRPr="00F050A3">
        <w:rPr>
          <w:i/>
        </w:rPr>
        <w:tab/>
      </w:r>
      <w:r w:rsidRPr="00F050A3">
        <w:rPr>
          <w:i/>
        </w:rPr>
        <w:t>SPP portion</w:t>
      </w:r>
      <w:proofErr w:type="gramStart"/>
      <w:r w:rsidRPr="00F050A3">
        <w:rPr>
          <w:i/>
        </w:rPr>
        <w:t>  $</w:t>
      </w:r>
      <w:proofErr w:type="gramEnd"/>
      <w:r w:rsidRPr="00F050A3">
        <w:rPr>
          <w:i/>
        </w:rPr>
        <w:t>55,407.72 ]</w:t>
      </w:r>
    </w:p>
    <w:p w:rsidR="006614B5" w:rsidRPr="00F050A3" w:rsidRDefault="00D73683" w:rsidP="00D73683">
      <w:pPr>
        <w:ind w:firstLine="720"/>
        <w:rPr>
          <w:i/>
        </w:rPr>
      </w:pPr>
      <w:r w:rsidRPr="00F050A3">
        <w:rPr>
          <w:i/>
        </w:rPr>
        <w:t>Q4</w:t>
      </w:r>
      <w:r w:rsidRPr="00F050A3">
        <w:rPr>
          <w:i/>
        </w:rPr>
        <w:tab/>
        <w:t>$70,880.03</w:t>
      </w:r>
      <w:r w:rsidRPr="00F050A3">
        <w:rPr>
          <w:i/>
        </w:rPr>
        <w:tab/>
        <w:t>[NERC portion $15,472.31</w:t>
      </w:r>
      <w:r w:rsidRPr="00F050A3">
        <w:rPr>
          <w:i/>
        </w:rPr>
        <w:tab/>
      </w:r>
      <w:r w:rsidR="006614B5" w:rsidRPr="00F050A3">
        <w:rPr>
          <w:i/>
        </w:rPr>
        <w:t>SPP portion</w:t>
      </w:r>
      <w:proofErr w:type="gramStart"/>
      <w:r w:rsidR="006614B5" w:rsidRPr="00F050A3">
        <w:rPr>
          <w:i/>
        </w:rPr>
        <w:t>  $</w:t>
      </w:r>
      <w:proofErr w:type="gramEnd"/>
      <w:r w:rsidR="006614B5" w:rsidRPr="00F050A3">
        <w:rPr>
          <w:i/>
        </w:rPr>
        <w:t>55,407.72 ]</w:t>
      </w:r>
    </w:p>
    <w:p w:rsidR="006614B5" w:rsidRPr="00F050A3" w:rsidRDefault="006614B5" w:rsidP="006614B5">
      <w:pPr>
        <w:pStyle w:val="ListParagraph"/>
        <w:jc w:val="both"/>
        <w:rPr>
          <w:rFonts w:eastAsia="Times New Roman" w:cs="Times New Roman"/>
          <w:i/>
        </w:rPr>
      </w:pPr>
    </w:p>
    <w:p w:rsidR="006614B5" w:rsidRPr="00F050A3" w:rsidRDefault="006614B5" w:rsidP="006614B5">
      <w:pPr>
        <w:pStyle w:val="ListParagraph"/>
        <w:jc w:val="both"/>
        <w:rPr>
          <w:rFonts w:eastAsia="Times New Roman" w:cs="Times New Roman"/>
          <w:i/>
        </w:rPr>
      </w:pPr>
      <w:r w:rsidRPr="00F050A3">
        <w:rPr>
          <w:rFonts w:eastAsia="Times New Roman" w:cs="Times New Roman"/>
          <w:i/>
        </w:rPr>
        <w:t>Regarding Schedule 1a charges:</w:t>
      </w:r>
    </w:p>
    <w:p w:rsidR="006614B5" w:rsidRPr="00F050A3" w:rsidRDefault="006614B5" w:rsidP="00D73683">
      <w:pPr>
        <w:ind w:firstLine="720"/>
        <w:rPr>
          <w:i/>
        </w:rPr>
      </w:pPr>
      <w:r w:rsidRPr="00F050A3">
        <w:rPr>
          <w:i/>
        </w:rPr>
        <w:t>2014                       $ 2,846,670.12</w:t>
      </w:r>
    </w:p>
    <w:p w:rsidR="006614B5" w:rsidRDefault="006614B5" w:rsidP="006614B5">
      <w:pPr>
        <w:rPr>
          <w:color w:val="1F497D"/>
        </w:rPr>
      </w:pPr>
    </w:p>
    <w:p w:rsidR="006614B5" w:rsidRDefault="006614B5" w:rsidP="006614B5">
      <w:pPr>
        <w:rPr>
          <w:color w:val="1F497D"/>
        </w:rPr>
      </w:pPr>
    </w:p>
    <w:p w:rsidR="006614B5" w:rsidRPr="00F62787" w:rsidRDefault="006614B5" w:rsidP="00F62787">
      <w:pPr>
        <w:pStyle w:val="ListParagraph"/>
        <w:jc w:val="both"/>
        <w:rPr>
          <w:rFonts w:ascii="Times New Roman" w:eastAsia="Times New Roman" w:hAnsi="Times New Roman" w:cs="Times New Roman"/>
          <w:i/>
        </w:rPr>
      </w:pPr>
    </w:p>
    <w:p w:rsidR="00F62787" w:rsidRPr="00333D78" w:rsidRDefault="00F62787" w:rsidP="00DE3D21">
      <w:pPr>
        <w:pStyle w:val="ListParagraph"/>
        <w:jc w:val="both"/>
        <w:rPr>
          <w:highlight w:val="yellow"/>
        </w:rPr>
      </w:pPr>
    </w:p>
    <w:sectPr w:rsidR="00F62787" w:rsidRPr="00333D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BF" w:rsidRDefault="006614BF" w:rsidP="00F4576D">
      <w:pPr>
        <w:spacing w:after="0" w:line="240" w:lineRule="auto"/>
      </w:pPr>
      <w:r>
        <w:separator/>
      </w:r>
    </w:p>
  </w:endnote>
  <w:endnote w:type="continuationSeparator" w:id="0">
    <w:p w:rsidR="006614BF" w:rsidRDefault="006614BF" w:rsidP="00F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51362"/>
      <w:docPartObj>
        <w:docPartGallery w:val="Page Numbers (Bottom of Page)"/>
        <w:docPartUnique/>
      </w:docPartObj>
    </w:sdtPr>
    <w:sdtEndPr>
      <w:rPr>
        <w:noProof/>
      </w:rPr>
    </w:sdtEndPr>
    <w:sdtContent>
      <w:p w:rsidR="006614BF" w:rsidRDefault="006614BF">
        <w:pPr>
          <w:pStyle w:val="Footer"/>
          <w:jc w:val="center"/>
        </w:pPr>
        <w:r>
          <w:fldChar w:fldCharType="begin"/>
        </w:r>
        <w:r>
          <w:instrText xml:space="preserve"> PAGE   \* MERGEFORMAT </w:instrText>
        </w:r>
        <w:r>
          <w:fldChar w:fldCharType="separate"/>
        </w:r>
        <w:r w:rsidR="00DC32F9">
          <w:rPr>
            <w:noProof/>
          </w:rPr>
          <w:t>1</w:t>
        </w:r>
        <w:r>
          <w:rPr>
            <w:noProof/>
          </w:rPr>
          <w:fldChar w:fldCharType="end"/>
        </w:r>
      </w:p>
    </w:sdtContent>
  </w:sdt>
  <w:p w:rsidR="006614BF" w:rsidRDefault="00661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BF" w:rsidRDefault="006614BF" w:rsidP="00F4576D">
      <w:pPr>
        <w:spacing w:after="0" w:line="240" w:lineRule="auto"/>
      </w:pPr>
      <w:r>
        <w:separator/>
      </w:r>
    </w:p>
  </w:footnote>
  <w:footnote w:type="continuationSeparator" w:id="0">
    <w:p w:rsidR="006614BF" w:rsidRDefault="006614BF" w:rsidP="00F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BF" w:rsidRDefault="006614BF" w:rsidP="00F4576D">
    <w:pPr>
      <w:spacing w:after="0"/>
      <w:jc w:val="center"/>
    </w:pPr>
    <w:r>
      <w:t>Missouri Cities</w:t>
    </w:r>
  </w:p>
  <w:p w:rsidR="006614BF" w:rsidRPr="00F4576D" w:rsidRDefault="006614BF" w:rsidP="00F4576D">
    <w:pPr>
      <w:spacing w:after="0"/>
      <w:jc w:val="center"/>
      <w:rPr>
        <w:u w:val="single"/>
      </w:rPr>
    </w:pPr>
    <w:r>
      <w:rPr>
        <w:u w:val="single"/>
      </w:rPr>
      <w:t>T</w:t>
    </w:r>
    <w:r w:rsidRPr="00F4576D">
      <w:rPr>
        <w:u w:val="single"/>
      </w:rPr>
      <w:t>FR Questions Concerning 2015 Update</w:t>
    </w:r>
  </w:p>
  <w:p w:rsidR="006614BF" w:rsidRPr="00F4576D" w:rsidRDefault="006614BF" w:rsidP="00271C93">
    <w:pPr>
      <w:tabs>
        <w:tab w:val="left" w:pos="3330"/>
        <w:tab w:val="center" w:pos="4680"/>
      </w:tabs>
      <w:spacing w:after="0"/>
    </w:pPr>
    <w:r>
      <w:tab/>
    </w:r>
    <w:r>
      <w:tab/>
      <w:t>(June 10</w:t>
    </w:r>
    <w:r w:rsidRPr="00F4576D">
      <w:t>, 2015</w:t>
    </w:r>
    <w:r>
      <w:t>)</w:t>
    </w:r>
  </w:p>
  <w:p w:rsidR="006614BF" w:rsidRDefault="006614BF" w:rsidP="00F457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606E"/>
    <w:multiLevelType w:val="hybridMultilevel"/>
    <w:tmpl w:val="53C4E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F1124"/>
    <w:multiLevelType w:val="hybridMultilevel"/>
    <w:tmpl w:val="27BA83E4"/>
    <w:lvl w:ilvl="0" w:tplc="DBD2B45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5E"/>
    <w:rsid w:val="000405CE"/>
    <w:rsid w:val="00043B6D"/>
    <w:rsid w:val="00067D0C"/>
    <w:rsid w:val="000D037E"/>
    <w:rsid w:val="000F44DD"/>
    <w:rsid w:val="00102D87"/>
    <w:rsid w:val="00132D3F"/>
    <w:rsid w:val="00134CED"/>
    <w:rsid w:val="00182E57"/>
    <w:rsid w:val="00183337"/>
    <w:rsid w:val="00196E5C"/>
    <w:rsid w:val="001B2FF9"/>
    <w:rsid w:val="001B7FC1"/>
    <w:rsid w:val="001F7E22"/>
    <w:rsid w:val="00271C93"/>
    <w:rsid w:val="002B0E98"/>
    <w:rsid w:val="00321088"/>
    <w:rsid w:val="00326D1D"/>
    <w:rsid w:val="00333D78"/>
    <w:rsid w:val="00356559"/>
    <w:rsid w:val="003627DF"/>
    <w:rsid w:val="003C46D6"/>
    <w:rsid w:val="00416A79"/>
    <w:rsid w:val="004337A9"/>
    <w:rsid w:val="0044250B"/>
    <w:rsid w:val="0049014C"/>
    <w:rsid w:val="00530C26"/>
    <w:rsid w:val="005B6EEE"/>
    <w:rsid w:val="005D5D50"/>
    <w:rsid w:val="00651E9B"/>
    <w:rsid w:val="00656FA4"/>
    <w:rsid w:val="006614B5"/>
    <w:rsid w:val="006614BF"/>
    <w:rsid w:val="006C6C10"/>
    <w:rsid w:val="006F43F8"/>
    <w:rsid w:val="006F5E70"/>
    <w:rsid w:val="00753E89"/>
    <w:rsid w:val="0076691F"/>
    <w:rsid w:val="0078232D"/>
    <w:rsid w:val="007878E3"/>
    <w:rsid w:val="0085789C"/>
    <w:rsid w:val="008605D3"/>
    <w:rsid w:val="00865D46"/>
    <w:rsid w:val="008E672A"/>
    <w:rsid w:val="0090127E"/>
    <w:rsid w:val="00903484"/>
    <w:rsid w:val="00904254"/>
    <w:rsid w:val="009046B0"/>
    <w:rsid w:val="00915055"/>
    <w:rsid w:val="009356A5"/>
    <w:rsid w:val="00970B21"/>
    <w:rsid w:val="00993796"/>
    <w:rsid w:val="009D6528"/>
    <w:rsid w:val="00A91F6D"/>
    <w:rsid w:val="00A92B35"/>
    <w:rsid w:val="00AA661C"/>
    <w:rsid w:val="00BC2952"/>
    <w:rsid w:val="00C573A9"/>
    <w:rsid w:val="00CB1AD0"/>
    <w:rsid w:val="00CE27CE"/>
    <w:rsid w:val="00CF336A"/>
    <w:rsid w:val="00D017FC"/>
    <w:rsid w:val="00D07B1E"/>
    <w:rsid w:val="00D4615E"/>
    <w:rsid w:val="00D62BAF"/>
    <w:rsid w:val="00D73683"/>
    <w:rsid w:val="00D73DF5"/>
    <w:rsid w:val="00D83CAD"/>
    <w:rsid w:val="00DC32F9"/>
    <w:rsid w:val="00DD39C6"/>
    <w:rsid w:val="00DE3D21"/>
    <w:rsid w:val="00DF7246"/>
    <w:rsid w:val="00E13639"/>
    <w:rsid w:val="00E25319"/>
    <w:rsid w:val="00E507D5"/>
    <w:rsid w:val="00E65DC9"/>
    <w:rsid w:val="00EB0E6A"/>
    <w:rsid w:val="00F050A3"/>
    <w:rsid w:val="00F416D1"/>
    <w:rsid w:val="00F45714"/>
    <w:rsid w:val="00F4576D"/>
    <w:rsid w:val="00F62787"/>
    <w:rsid w:val="00FA3E3E"/>
    <w:rsid w:val="00FD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character" w:styleId="CommentReference">
    <w:name w:val="annotation reference"/>
    <w:basedOn w:val="DefaultParagraphFont"/>
    <w:uiPriority w:val="99"/>
    <w:semiHidden/>
    <w:unhideWhenUsed/>
    <w:rsid w:val="006614BF"/>
    <w:rPr>
      <w:sz w:val="16"/>
      <w:szCs w:val="16"/>
    </w:rPr>
  </w:style>
  <w:style w:type="paragraph" w:styleId="CommentText">
    <w:name w:val="annotation text"/>
    <w:basedOn w:val="Normal"/>
    <w:link w:val="CommentTextChar"/>
    <w:uiPriority w:val="99"/>
    <w:semiHidden/>
    <w:unhideWhenUsed/>
    <w:rsid w:val="006614BF"/>
    <w:pPr>
      <w:spacing w:line="240" w:lineRule="auto"/>
    </w:pPr>
    <w:rPr>
      <w:sz w:val="20"/>
      <w:szCs w:val="20"/>
    </w:rPr>
  </w:style>
  <w:style w:type="character" w:customStyle="1" w:styleId="CommentTextChar">
    <w:name w:val="Comment Text Char"/>
    <w:basedOn w:val="DefaultParagraphFont"/>
    <w:link w:val="CommentText"/>
    <w:uiPriority w:val="99"/>
    <w:semiHidden/>
    <w:rsid w:val="006614BF"/>
    <w:rPr>
      <w:sz w:val="20"/>
      <w:szCs w:val="20"/>
    </w:rPr>
  </w:style>
  <w:style w:type="paragraph" w:styleId="BalloonText">
    <w:name w:val="Balloon Text"/>
    <w:basedOn w:val="Normal"/>
    <w:link w:val="BalloonTextChar"/>
    <w:uiPriority w:val="99"/>
    <w:semiHidden/>
    <w:unhideWhenUsed/>
    <w:rsid w:val="0066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character" w:styleId="CommentReference">
    <w:name w:val="annotation reference"/>
    <w:basedOn w:val="DefaultParagraphFont"/>
    <w:uiPriority w:val="99"/>
    <w:semiHidden/>
    <w:unhideWhenUsed/>
    <w:rsid w:val="006614BF"/>
    <w:rPr>
      <w:sz w:val="16"/>
      <w:szCs w:val="16"/>
    </w:rPr>
  </w:style>
  <w:style w:type="paragraph" w:styleId="CommentText">
    <w:name w:val="annotation text"/>
    <w:basedOn w:val="Normal"/>
    <w:link w:val="CommentTextChar"/>
    <w:uiPriority w:val="99"/>
    <w:semiHidden/>
    <w:unhideWhenUsed/>
    <w:rsid w:val="006614BF"/>
    <w:pPr>
      <w:spacing w:line="240" w:lineRule="auto"/>
    </w:pPr>
    <w:rPr>
      <w:sz w:val="20"/>
      <w:szCs w:val="20"/>
    </w:rPr>
  </w:style>
  <w:style w:type="character" w:customStyle="1" w:styleId="CommentTextChar">
    <w:name w:val="Comment Text Char"/>
    <w:basedOn w:val="DefaultParagraphFont"/>
    <w:link w:val="CommentText"/>
    <w:uiPriority w:val="99"/>
    <w:semiHidden/>
    <w:rsid w:val="006614BF"/>
    <w:rPr>
      <w:sz w:val="20"/>
      <w:szCs w:val="20"/>
    </w:rPr>
  </w:style>
  <w:style w:type="paragraph" w:styleId="BalloonText">
    <w:name w:val="Balloon Text"/>
    <w:basedOn w:val="Normal"/>
    <w:link w:val="BalloonTextChar"/>
    <w:uiPriority w:val="99"/>
    <w:semiHidden/>
    <w:unhideWhenUsed/>
    <w:rsid w:val="0066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620">
      <w:bodyDiv w:val="1"/>
      <w:marLeft w:val="0"/>
      <w:marRight w:val="0"/>
      <w:marTop w:val="0"/>
      <w:marBottom w:val="0"/>
      <w:divBdr>
        <w:top w:val="none" w:sz="0" w:space="0" w:color="auto"/>
        <w:left w:val="none" w:sz="0" w:space="0" w:color="auto"/>
        <w:bottom w:val="none" w:sz="0" w:space="0" w:color="auto"/>
        <w:right w:val="none" w:sz="0" w:space="0" w:color="auto"/>
      </w:divBdr>
    </w:div>
    <w:div w:id="529218613">
      <w:bodyDiv w:val="1"/>
      <w:marLeft w:val="0"/>
      <w:marRight w:val="0"/>
      <w:marTop w:val="0"/>
      <w:marBottom w:val="0"/>
      <w:divBdr>
        <w:top w:val="none" w:sz="0" w:space="0" w:color="auto"/>
        <w:left w:val="none" w:sz="0" w:space="0" w:color="auto"/>
        <w:bottom w:val="none" w:sz="0" w:space="0" w:color="auto"/>
        <w:right w:val="none" w:sz="0" w:space="0" w:color="auto"/>
      </w:divBdr>
    </w:div>
    <w:div w:id="827667724">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
    <w:div w:id="1001616136">
      <w:bodyDiv w:val="1"/>
      <w:marLeft w:val="0"/>
      <w:marRight w:val="0"/>
      <w:marTop w:val="0"/>
      <w:marBottom w:val="0"/>
      <w:divBdr>
        <w:top w:val="none" w:sz="0" w:space="0" w:color="auto"/>
        <w:left w:val="none" w:sz="0" w:space="0" w:color="auto"/>
        <w:bottom w:val="none" w:sz="0" w:space="0" w:color="auto"/>
        <w:right w:val="none" w:sz="0" w:space="0" w:color="auto"/>
      </w:divBdr>
    </w:div>
    <w:div w:id="1168518170">
      <w:bodyDiv w:val="1"/>
      <w:marLeft w:val="0"/>
      <w:marRight w:val="0"/>
      <w:marTop w:val="0"/>
      <w:marBottom w:val="0"/>
      <w:divBdr>
        <w:top w:val="none" w:sz="0" w:space="0" w:color="auto"/>
        <w:left w:val="none" w:sz="0" w:space="0" w:color="auto"/>
        <w:bottom w:val="none" w:sz="0" w:space="0" w:color="auto"/>
        <w:right w:val="none" w:sz="0" w:space="0" w:color="auto"/>
      </w:divBdr>
    </w:div>
    <w:div w:id="1328631738">
      <w:bodyDiv w:val="1"/>
      <w:marLeft w:val="0"/>
      <w:marRight w:val="0"/>
      <w:marTop w:val="0"/>
      <w:marBottom w:val="0"/>
      <w:divBdr>
        <w:top w:val="none" w:sz="0" w:space="0" w:color="auto"/>
        <w:left w:val="none" w:sz="0" w:space="0" w:color="auto"/>
        <w:bottom w:val="none" w:sz="0" w:space="0" w:color="auto"/>
        <w:right w:val="none" w:sz="0" w:space="0" w:color="auto"/>
      </w:divBdr>
    </w:div>
    <w:div w:id="1334651194">
      <w:bodyDiv w:val="1"/>
      <w:marLeft w:val="0"/>
      <w:marRight w:val="0"/>
      <w:marTop w:val="0"/>
      <w:marBottom w:val="0"/>
      <w:divBdr>
        <w:top w:val="none" w:sz="0" w:space="0" w:color="auto"/>
        <w:left w:val="none" w:sz="0" w:space="0" w:color="auto"/>
        <w:bottom w:val="none" w:sz="0" w:space="0" w:color="auto"/>
        <w:right w:val="none" w:sz="0" w:space="0" w:color="auto"/>
      </w:divBdr>
    </w:div>
    <w:div w:id="1908418168">
      <w:bodyDiv w:val="1"/>
      <w:marLeft w:val="0"/>
      <w:marRight w:val="0"/>
      <w:marTop w:val="0"/>
      <w:marBottom w:val="0"/>
      <w:divBdr>
        <w:top w:val="none" w:sz="0" w:space="0" w:color="auto"/>
        <w:left w:val="none" w:sz="0" w:space="0" w:color="auto"/>
        <w:bottom w:val="none" w:sz="0" w:space="0" w:color="auto"/>
        <w:right w:val="none" w:sz="0" w:space="0" w:color="auto"/>
      </w:divBdr>
    </w:div>
    <w:div w:id="1919559350">
      <w:bodyDiv w:val="1"/>
      <w:marLeft w:val="0"/>
      <w:marRight w:val="0"/>
      <w:marTop w:val="0"/>
      <w:marBottom w:val="0"/>
      <w:divBdr>
        <w:top w:val="none" w:sz="0" w:space="0" w:color="auto"/>
        <w:left w:val="none" w:sz="0" w:space="0" w:color="auto"/>
        <w:bottom w:val="none" w:sz="0" w:space="0" w:color="auto"/>
        <w:right w:val="none" w:sz="0" w:space="0" w:color="auto"/>
      </w:divBdr>
    </w:div>
    <w:div w:id="2012249246">
      <w:bodyDiv w:val="1"/>
      <w:marLeft w:val="0"/>
      <w:marRight w:val="0"/>
      <w:marTop w:val="0"/>
      <w:marBottom w:val="0"/>
      <w:divBdr>
        <w:top w:val="none" w:sz="0" w:space="0" w:color="auto"/>
        <w:left w:val="none" w:sz="0" w:space="0" w:color="auto"/>
        <w:bottom w:val="none" w:sz="0" w:space="0" w:color="auto"/>
        <w:right w:val="none" w:sz="0" w:space="0" w:color="auto"/>
      </w:divBdr>
    </w:div>
    <w:div w:id="21148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90AE1689FA42BC26B5CD96E43519" ma:contentTypeVersion="0" ma:contentTypeDescription="Create a new document." ma:contentTypeScope="" ma:versionID="303d605dddf16bd51ed0252340bd3b40">
  <xsd:schema xmlns:xsd="http://www.w3.org/2001/XMLSchema" xmlns:xs="http://www.w3.org/2001/XMLSchema" xmlns:p="http://schemas.microsoft.com/office/2006/metadata/properties" targetNamespace="http://schemas.microsoft.com/office/2006/metadata/properties" ma:root="true" ma:fieldsID="26b84bf688f0f6f41e1b0b61a07222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E7F2-839C-48A3-845E-F66910A78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DB7ECA-9BAA-4E34-ACA5-89093522E735}">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C8FBAB-1BDE-4DF3-836A-CA29D04449CA}">
  <ds:schemaRefs>
    <ds:schemaRef ds:uri="http://schemas.microsoft.com/sharepoint/v3/contenttype/forms"/>
  </ds:schemaRefs>
</ds:datastoreItem>
</file>

<file path=customXml/itemProps4.xml><?xml version="1.0" encoding="utf-8"?>
<ds:datastoreItem xmlns:ds="http://schemas.openxmlformats.org/officeDocument/2006/customXml" ds:itemID="{69BE9E83-F81E-4D38-A4C0-6098590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1336</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dc:creator>
  <cp:lastModifiedBy>Bill Eichman</cp:lastModifiedBy>
  <cp:revision>2</cp:revision>
  <dcterms:created xsi:type="dcterms:W3CDTF">2015-06-23T18:52:00Z</dcterms:created>
  <dcterms:modified xsi:type="dcterms:W3CDTF">2015-06-23T18:52:00Z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0x010100131690AE1689FA42BC26B5CD96E43519</vt:lpwstr>
  </property>
</Properties>
</file>