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7B29" w14:textId="27FE3EDC" w:rsidR="00F4576D" w:rsidRPr="008E672A" w:rsidRDefault="00F4576D" w:rsidP="00F4576D">
      <w:pPr>
        <w:pStyle w:val="ListParagraph"/>
        <w:ind w:left="0"/>
        <w:jc w:val="both"/>
      </w:pPr>
      <w:r>
        <w:t xml:space="preserve">The following are our </w:t>
      </w:r>
      <w:r w:rsidR="00261E89">
        <w:t>additional</w:t>
      </w:r>
      <w:r w:rsidR="00271C93" w:rsidRPr="008E672A">
        <w:t xml:space="preserve"> questions concerning the T</w:t>
      </w:r>
      <w:r w:rsidRPr="008E672A">
        <w:t xml:space="preserve">FR 2015 Update.  </w:t>
      </w:r>
      <w:r w:rsidR="00261E89">
        <w:t>Please note that we are reviewing the responses to the initial questions and will provide any follow-up questions, as needed.</w:t>
      </w:r>
    </w:p>
    <w:p w14:paraId="14A8D4E7" w14:textId="77777777" w:rsidR="00F4576D" w:rsidRPr="008E672A" w:rsidRDefault="00F4576D" w:rsidP="00F4576D">
      <w:pPr>
        <w:pStyle w:val="ListParagraph"/>
        <w:jc w:val="both"/>
        <w:rPr>
          <w:rFonts w:ascii="Calibri" w:eastAsia="Times New Roman" w:hAnsi="Calibri" w:cs="Times New Roman"/>
          <w:color w:val="000000"/>
        </w:rPr>
      </w:pPr>
    </w:p>
    <w:p w14:paraId="3F5BABD2" w14:textId="58476A9D" w:rsidR="00E0192D" w:rsidRDefault="00E0192D" w:rsidP="00261E89">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FERC Form 1 page 302 </w:t>
      </w:r>
      <w:r w:rsidR="00A0588D">
        <w:rPr>
          <w:rFonts w:ascii="Times New Roman" w:eastAsia="Times New Roman" w:hAnsi="Times New Roman" w:cs="Times New Roman"/>
        </w:rPr>
        <w:t>provides</w:t>
      </w:r>
      <w:r>
        <w:rPr>
          <w:rFonts w:ascii="Times New Roman" w:eastAsia="Times New Roman" w:hAnsi="Times New Roman" w:cs="Times New Roman"/>
        </w:rPr>
        <w:t xml:space="preserve"> a detailed listed of electric revenues </w:t>
      </w:r>
      <w:r w:rsidR="00A0588D">
        <w:rPr>
          <w:rFonts w:ascii="Times New Roman" w:eastAsia="Times New Roman" w:hAnsi="Times New Roman" w:cs="Times New Roman"/>
        </w:rPr>
        <w:t>recorded</w:t>
      </w:r>
      <w:r>
        <w:rPr>
          <w:rFonts w:ascii="Times New Roman" w:eastAsia="Times New Roman" w:hAnsi="Times New Roman" w:cs="Times New Roman"/>
        </w:rPr>
        <w:t xml:space="preserve"> in Account 456.  With regard to the revenues listed, please provide the following:</w:t>
      </w:r>
    </w:p>
    <w:p w14:paraId="41F975EA" w14:textId="1C482CAB" w:rsidR="00E0192D" w:rsidRDefault="00E0192D">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A description </w:t>
      </w:r>
      <w:proofErr w:type="gramStart"/>
      <w:r>
        <w:rPr>
          <w:rFonts w:ascii="Times New Roman" w:eastAsia="Times New Roman" w:hAnsi="Times New Roman" w:cs="Times New Roman"/>
        </w:rPr>
        <w:t>of</w:t>
      </w:r>
      <w:r w:rsidR="009A7839">
        <w:rPr>
          <w:rFonts w:ascii="Times New Roman" w:eastAsia="Times New Roman" w:hAnsi="Times New Roman" w:cs="Times New Roman"/>
        </w:rPr>
        <w:t xml:space="preserve"> </w:t>
      </w:r>
      <w:r>
        <w:rPr>
          <w:rFonts w:ascii="Times New Roman" w:eastAsia="Times New Roman" w:hAnsi="Times New Roman" w:cs="Times New Roman"/>
        </w:rPr>
        <w:t>each</w:t>
      </w:r>
      <w:r w:rsidR="009A7839">
        <w:rPr>
          <w:rFonts w:ascii="Times New Roman" w:eastAsia="Times New Roman" w:hAnsi="Times New Roman" w:cs="Times New Roman"/>
        </w:rPr>
        <w:t xml:space="preserve"> </w:t>
      </w:r>
      <w:r>
        <w:rPr>
          <w:rFonts w:ascii="Times New Roman" w:eastAsia="Times New Roman" w:hAnsi="Times New Roman" w:cs="Times New Roman"/>
        </w:rPr>
        <w:t>revenue</w:t>
      </w:r>
      <w:proofErr w:type="gramEnd"/>
      <w:r>
        <w:rPr>
          <w:rFonts w:ascii="Times New Roman" w:eastAsia="Times New Roman" w:hAnsi="Times New Roman" w:cs="Times New Roman"/>
        </w:rPr>
        <w:t xml:space="preserve"> item and </w:t>
      </w:r>
      <w:r w:rsidR="00DC5B21">
        <w:rPr>
          <w:rFonts w:ascii="Times New Roman" w:eastAsia="Times New Roman" w:hAnsi="Times New Roman" w:cs="Times New Roman"/>
        </w:rPr>
        <w:t xml:space="preserve">identify the </w:t>
      </w:r>
      <w:r>
        <w:rPr>
          <w:rFonts w:ascii="Times New Roman" w:eastAsia="Times New Roman" w:hAnsi="Times New Roman" w:cs="Times New Roman"/>
        </w:rPr>
        <w:t xml:space="preserve">function it </w:t>
      </w:r>
      <w:r w:rsidR="00A0588D">
        <w:rPr>
          <w:rFonts w:ascii="Times New Roman" w:eastAsia="Times New Roman" w:hAnsi="Times New Roman" w:cs="Times New Roman"/>
        </w:rPr>
        <w:t>is</w:t>
      </w:r>
      <w:r>
        <w:rPr>
          <w:rFonts w:ascii="Times New Roman" w:eastAsia="Times New Roman" w:hAnsi="Times New Roman" w:cs="Times New Roman"/>
        </w:rPr>
        <w:t xml:space="preserve"> related to (i.e. </w:t>
      </w:r>
      <w:r w:rsidR="00A0588D">
        <w:rPr>
          <w:rFonts w:ascii="Times New Roman" w:eastAsia="Times New Roman" w:hAnsi="Times New Roman" w:cs="Times New Roman"/>
        </w:rPr>
        <w:t>production</w:t>
      </w:r>
      <w:r>
        <w:rPr>
          <w:rFonts w:ascii="Times New Roman" w:eastAsia="Times New Roman" w:hAnsi="Times New Roman" w:cs="Times New Roman"/>
        </w:rPr>
        <w:t xml:space="preserve">, transmission </w:t>
      </w:r>
      <w:r w:rsidR="00A0588D">
        <w:rPr>
          <w:rFonts w:ascii="Times New Roman" w:eastAsia="Times New Roman" w:hAnsi="Times New Roman" w:cs="Times New Roman"/>
        </w:rPr>
        <w:t>etc.</w:t>
      </w:r>
      <w:r>
        <w:rPr>
          <w:rFonts w:ascii="Times New Roman" w:eastAsia="Times New Roman" w:hAnsi="Times New Roman" w:cs="Times New Roman"/>
        </w:rPr>
        <w:t>).</w:t>
      </w:r>
    </w:p>
    <w:p w14:paraId="6C8E3EC9" w14:textId="77777777" w:rsidR="00724340" w:rsidRPr="00724340" w:rsidRDefault="00724340" w:rsidP="00724340">
      <w:pPr>
        <w:pStyle w:val="ListParagraph"/>
        <w:ind w:left="1710"/>
        <w:jc w:val="both"/>
        <w:rPr>
          <w:rFonts w:ascii="Times New Roman" w:eastAsia="Times New Roman" w:hAnsi="Times New Roman" w:cs="Times New Roman"/>
          <w:color w:val="0070C0"/>
        </w:rPr>
      </w:pPr>
    </w:p>
    <w:p w14:paraId="414B7897"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Scheduling Fees – Scheduling, system control and dispatch service is required to schedule the movement of power through, out of, within, or into a control area. – Transmission</w:t>
      </w:r>
    </w:p>
    <w:p w14:paraId="075E1A7E"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Losses – Compensation to transmission owners for losses used to deliver power within or through their balancing authority (Integrated Marketplace now handles losses as a component of its locational marginal pricing (LMP)). – Transmission</w:t>
      </w:r>
    </w:p>
    <w:p w14:paraId="402AFAE3"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 xml:space="preserve">Direct Assignment of transmission facilities – use of transmission facilities by KEPCO to serve load in </w:t>
      </w:r>
      <w:proofErr w:type="spellStart"/>
      <w:r w:rsidRPr="00724340">
        <w:rPr>
          <w:rFonts w:ascii="Times New Roman" w:eastAsia="Times New Roman" w:hAnsi="Times New Roman" w:cs="Times New Roman"/>
          <w:i/>
        </w:rPr>
        <w:t>Sekan</w:t>
      </w:r>
      <w:proofErr w:type="spellEnd"/>
      <w:r w:rsidRPr="00724340">
        <w:rPr>
          <w:rFonts w:ascii="Times New Roman" w:eastAsia="Times New Roman" w:hAnsi="Times New Roman" w:cs="Times New Roman"/>
          <w:i/>
        </w:rPr>
        <w:t xml:space="preserve"> and Twin Valley – Distribution</w:t>
      </w:r>
    </w:p>
    <w:p w14:paraId="4BE7A943"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Firm and non-firm point-to-point revenue – compensation for reserved capacity from the transmission customer to the transmission owner – Transmission</w:t>
      </w:r>
    </w:p>
    <w:p w14:paraId="11553E2B"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Regulation service – Compensation by the four municipalities served by Empire District Electric to provide regulation service as required by the Open Access Transmission Tariff (OATT) – Generation</w:t>
      </w:r>
    </w:p>
    <w:p w14:paraId="0E3EAE66"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Spinning Reserves - Compensation by the four municipalities served by Empire District Electric to provide spinning reserves as required by the Open Access Transmission Tariff (OATT) – Generation</w:t>
      </w:r>
    </w:p>
    <w:p w14:paraId="15B52A11"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Supplemental Reserves - Compensation by the four municipalities served by Empire District Electric to provide supplemental reserves as required by the Open Access Transmission Tariff (OATT) – Generation</w:t>
      </w:r>
    </w:p>
    <w:p w14:paraId="621B8BB1"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Network Integration Transmission Service – Compensation by the four municipalities served by Empire District Electric to be served as network customers under the Open Access Transmission Tariff (OATT) – Transmission</w:t>
      </w:r>
    </w:p>
    <w:p w14:paraId="55CAE402" w14:textId="77777777" w:rsidR="00724340" w:rsidRPr="00724340" w:rsidRDefault="00724340" w:rsidP="00724340">
      <w:pPr>
        <w:pStyle w:val="ListParagraph"/>
        <w:numPr>
          <w:ilvl w:val="0"/>
          <w:numId w:val="6"/>
        </w:numPr>
        <w:tabs>
          <w:tab w:val="left" w:pos="1800"/>
        </w:tabs>
        <w:jc w:val="both"/>
        <w:rPr>
          <w:rFonts w:ascii="Times New Roman" w:eastAsia="Times New Roman" w:hAnsi="Times New Roman" w:cs="Times New Roman"/>
          <w:i/>
        </w:rPr>
      </w:pPr>
      <w:r w:rsidRPr="00724340">
        <w:rPr>
          <w:rFonts w:ascii="Times New Roman" w:eastAsia="Times New Roman" w:hAnsi="Times New Roman" w:cs="Times New Roman"/>
          <w:i/>
        </w:rPr>
        <w:t xml:space="preserve">Regional and Zonal Base Plan Funding – Compensation provided by transmission customers for facility upgrades completed by transmission owners to cover revenue requirements as specified in the Open Access Transmission Tariff (OATT) - Transmission </w:t>
      </w:r>
    </w:p>
    <w:p w14:paraId="319F2497" w14:textId="77777777" w:rsidR="00724340" w:rsidRDefault="00724340" w:rsidP="00724340">
      <w:pPr>
        <w:pStyle w:val="ListParagraph"/>
        <w:ind w:left="1440"/>
        <w:jc w:val="both"/>
        <w:rPr>
          <w:rFonts w:ascii="Times New Roman" w:eastAsia="Times New Roman" w:hAnsi="Times New Roman" w:cs="Times New Roman"/>
        </w:rPr>
      </w:pPr>
    </w:p>
    <w:p w14:paraId="280B8FA5" w14:textId="77777777" w:rsidR="00724340" w:rsidRDefault="00E0192D">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For each item that is transmission </w:t>
      </w:r>
      <w:r w:rsidR="00A0588D">
        <w:rPr>
          <w:rFonts w:ascii="Times New Roman" w:eastAsia="Times New Roman" w:hAnsi="Times New Roman" w:cs="Times New Roman"/>
        </w:rPr>
        <w:t>related</w:t>
      </w:r>
      <w:r>
        <w:rPr>
          <w:rFonts w:ascii="Times New Roman" w:eastAsia="Times New Roman" w:hAnsi="Times New Roman" w:cs="Times New Roman"/>
        </w:rPr>
        <w:t xml:space="preserve">, identify where in the 2015 Update the revenue amount has been included.  </w:t>
      </w:r>
    </w:p>
    <w:p w14:paraId="33471AFD" w14:textId="77777777" w:rsidR="00724340" w:rsidRDefault="00724340" w:rsidP="00724340">
      <w:pPr>
        <w:pStyle w:val="ListParagraph"/>
        <w:ind w:left="1440"/>
        <w:jc w:val="both"/>
        <w:rPr>
          <w:rFonts w:ascii="Times New Roman" w:eastAsia="Times New Roman" w:hAnsi="Times New Roman" w:cs="Times New Roman"/>
        </w:rPr>
      </w:pPr>
    </w:p>
    <w:p w14:paraId="5FF2940A" w14:textId="0DC47914"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 xml:space="preserve"> Scheduling Fees (OATT Schedule 1) are derived in the TFR on Lines 129 through 136 of Appendix A. These fees are retained by Empire as part of our Revenue Requirement.</w:t>
      </w:r>
    </w:p>
    <w:p w14:paraId="78261EAB" w14:textId="2F9D27FE"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 xml:space="preserve">Losses, although created through the Transmission of energy, are compensated for by the Generation System.  Losses are handled by the SPP Integrated Market.  </w:t>
      </w:r>
    </w:p>
    <w:p w14:paraId="69737A8F" w14:textId="21FB00F7"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 xml:space="preserve">Direct Assignment of Transmission Facilities are fixed monthly charges billed to KEPCO for use of assigned </w:t>
      </w:r>
      <w:r w:rsidRPr="0015189A">
        <w:rPr>
          <w:rFonts w:ascii="Times New Roman" w:eastAsia="Times New Roman" w:hAnsi="Times New Roman" w:cs="Times New Roman"/>
          <w:i/>
        </w:rPr>
        <w:t>Distribution</w:t>
      </w:r>
      <w:r w:rsidRPr="00235A05">
        <w:rPr>
          <w:rFonts w:ascii="Times New Roman" w:eastAsia="Times New Roman" w:hAnsi="Times New Roman" w:cs="Times New Roman"/>
          <w:i/>
        </w:rPr>
        <w:t xml:space="preserve"> facilities as documented in a Wholesale </w:t>
      </w:r>
      <w:r w:rsidRPr="00235A05">
        <w:rPr>
          <w:rFonts w:ascii="Times New Roman" w:eastAsia="Times New Roman" w:hAnsi="Times New Roman" w:cs="Times New Roman"/>
          <w:i/>
        </w:rPr>
        <w:lastRenderedPageBreak/>
        <w:t>Distribution Agreement (WDA) that is billed through SPP.  The 4 separate WDA’s that apply to the Cities are billed directly to the Cities by Empire. None of these agreements relate to Transmission facilities.  These revenues are neither Transmission nor Generation related; as such they are not referenced in either the TFR or GFR templates.</w:t>
      </w:r>
    </w:p>
    <w:p w14:paraId="0E31A422" w14:textId="2D409A8D"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 xml:space="preserve">Firm and Non-Firm Point-to-Point Service (Schedules 7 &amp; 8) rates are derived on lines 137 through 150 of Appendix A of the TFR.  Since these “excess” revenues are typically derived from non-predictable transmission loads, any revenues derived from these two types of transmission service are credited back to Empire’s Gross Revenue Requirement on Line 122 of Appendix A (and are </w:t>
      </w:r>
      <w:proofErr w:type="gramStart"/>
      <w:r w:rsidRPr="00235A05">
        <w:rPr>
          <w:rFonts w:ascii="Times New Roman" w:eastAsia="Times New Roman" w:hAnsi="Times New Roman" w:cs="Times New Roman"/>
          <w:i/>
        </w:rPr>
        <w:t>documented/summarized</w:t>
      </w:r>
      <w:proofErr w:type="gramEnd"/>
      <w:r w:rsidRPr="00235A05">
        <w:rPr>
          <w:rFonts w:ascii="Times New Roman" w:eastAsia="Times New Roman" w:hAnsi="Times New Roman" w:cs="Times New Roman"/>
          <w:i/>
        </w:rPr>
        <w:t xml:space="preserve"> on Line 4 of Attachment 3).</w:t>
      </w:r>
    </w:p>
    <w:p w14:paraId="21725A36" w14:textId="6D1D7860"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Regulation Service is now obtained through the SPPIM.  Any costs and/or revenues associated with this Production-related service are passed through the Fuel/Purchased Power component, as described in Item 1 of the GFR.</w:t>
      </w:r>
    </w:p>
    <w:p w14:paraId="3AFB8363" w14:textId="7D58A999"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Spinning Reserves Service is now obtained through the SPPIM.  Any costs and/or revenues associated with this Production-related service are passed through the Fuel/Purchased Power component, as described in Item 1 of the GFR.</w:t>
      </w:r>
    </w:p>
    <w:p w14:paraId="5DEC4887" w14:textId="6FF82994"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Supplemental Reserves Service is now obtained through the SPPIM.  Any costs and/or revenues associated with this Production-related service are passed through the Fuel/Purchased Power component, as described in Item 1 of the GFR.</w:t>
      </w:r>
    </w:p>
    <w:p w14:paraId="4CA73B88" w14:textId="610DED0B"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Network Integration Transmission Service rates are derived on Lines 125 through 128 of the Appendix A of the TFR.  This “base” revenue is retained by Empire as part of our revenue requirement.</w:t>
      </w:r>
    </w:p>
    <w:p w14:paraId="46A3BE1A" w14:textId="5A583399" w:rsidR="00235A05" w:rsidRPr="00235A05" w:rsidRDefault="00235A05" w:rsidP="00235A05">
      <w:pPr>
        <w:pStyle w:val="ListParagraph"/>
        <w:numPr>
          <w:ilvl w:val="0"/>
          <w:numId w:val="14"/>
        </w:numPr>
        <w:tabs>
          <w:tab w:val="left" w:pos="1800"/>
        </w:tabs>
        <w:jc w:val="both"/>
        <w:rPr>
          <w:rFonts w:ascii="Times New Roman" w:eastAsia="Times New Roman" w:hAnsi="Times New Roman" w:cs="Times New Roman"/>
          <w:i/>
        </w:rPr>
      </w:pPr>
      <w:r w:rsidRPr="00235A05">
        <w:rPr>
          <w:rFonts w:ascii="Times New Roman" w:eastAsia="Times New Roman" w:hAnsi="Times New Roman" w:cs="Times New Roman"/>
          <w:i/>
        </w:rPr>
        <w:t>Funding of Transmission Upgrades includes multiple sources of revenues received from the Southwest Power Pool.  The largest portion of the revenue is derived in the TFR as “Base Plan Funded” amounts (see Response to Question 14, below).</w:t>
      </w:r>
    </w:p>
    <w:p w14:paraId="181FA39D" w14:textId="5E9272B3" w:rsidR="00E0192D" w:rsidRDefault="00E0192D" w:rsidP="00724340">
      <w:pPr>
        <w:pStyle w:val="ListParagraph"/>
        <w:ind w:left="1440"/>
        <w:jc w:val="both"/>
        <w:rPr>
          <w:rFonts w:ascii="Times New Roman" w:eastAsia="Times New Roman" w:hAnsi="Times New Roman" w:cs="Times New Roman"/>
        </w:rPr>
      </w:pPr>
    </w:p>
    <w:p w14:paraId="576688ED" w14:textId="3A693E2A" w:rsidR="00724340" w:rsidRPr="00FC2983" w:rsidRDefault="00E0192D" w:rsidP="00FC2983">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 If </w:t>
      </w:r>
      <w:proofErr w:type="gramStart"/>
      <w:r>
        <w:rPr>
          <w:rFonts w:ascii="Times New Roman" w:eastAsia="Times New Roman" w:hAnsi="Times New Roman" w:cs="Times New Roman"/>
        </w:rPr>
        <w:t>a transmission</w:t>
      </w:r>
      <w:proofErr w:type="gramEnd"/>
      <w:r>
        <w:rPr>
          <w:rFonts w:ascii="Times New Roman" w:eastAsia="Times New Roman" w:hAnsi="Times New Roman" w:cs="Times New Roman"/>
        </w:rPr>
        <w:t xml:space="preserve"> related revenue has not been included in 2015 Update, please provide an explanation as to why such amounts were not revenue credited. </w:t>
      </w:r>
    </w:p>
    <w:p w14:paraId="139FC6B0" w14:textId="4ED118FF" w:rsidR="00724340" w:rsidRDefault="00235A05" w:rsidP="00FC2983">
      <w:pPr>
        <w:tabs>
          <w:tab w:val="left" w:pos="1800"/>
        </w:tabs>
        <w:ind w:left="1800"/>
        <w:jc w:val="both"/>
        <w:rPr>
          <w:rFonts w:ascii="Times New Roman" w:eastAsia="Times New Roman" w:hAnsi="Times New Roman" w:cs="Times New Roman"/>
          <w:i/>
        </w:rPr>
      </w:pPr>
      <w:r>
        <w:rPr>
          <w:rFonts w:ascii="Times New Roman" w:eastAsia="Times New Roman" w:hAnsi="Times New Roman" w:cs="Times New Roman"/>
          <w:i/>
        </w:rPr>
        <w:t>See b above</w:t>
      </w:r>
      <w:r w:rsidR="00AF7AB2">
        <w:rPr>
          <w:rFonts w:ascii="Times New Roman" w:eastAsia="Times New Roman" w:hAnsi="Times New Roman" w:cs="Times New Roman"/>
          <w:i/>
        </w:rPr>
        <w:t>.</w:t>
      </w:r>
    </w:p>
    <w:p w14:paraId="51E7BCB2" w14:textId="662844C5" w:rsidR="009A7839" w:rsidRPr="00FC2983" w:rsidRDefault="00DC5B21" w:rsidP="00FC2983">
      <w:pPr>
        <w:pStyle w:val="ListParagraph"/>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An explanation as to why the “Plum Point Transmission credits” of $37,319.64 have not been included as a revenue credit in the 2015 Update. </w:t>
      </w:r>
    </w:p>
    <w:p w14:paraId="6D6C3E4F" w14:textId="3937CA45" w:rsidR="00724340" w:rsidRPr="00AF7AB2" w:rsidRDefault="00AF7AB2" w:rsidP="00FC2983">
      <w:pPr>
        <w:tabs>
          <w:tab w:val="left" w:pos="1800"/>
        </w:tabs>
        <w:ind w:left="1800"/>
        <w:jc w:val="both"/>
        <w:rPr>
          <w:rFonts w:ascii="Times New Roman" w:eastAsia="Times New Roman" w:hAnsi="Times New Roman" w:cs="Times New Roman"/>
          <w:i/>
        </w:rPr>
      </w:pPr>
      <w:r w:rsidRPr="00AF7AB2">
        <w:rPr>
          <w:rFonts w:ascii="Times New Roman" w:eastAsia="Times New Roman" w:hAnsi="Times New Roman" w:cs="Times New Roman"/>
          <w:i/>
        </w:rPr>
        <w:t>Empire is still studying/researching this issue and will provide a response as soon as possible.</w:t>
      </w:r>
    </w:p>
    <w:p w14:paraId="0739544F" w14:textId="77777777" w:rsidR="009A7839" w:rsidRDefault="000F1AA7" w:rsidP="00261E89">
      <w:pPr>
        <w:pStyle w:val="ListParagraph"/>
        <w:numPr>
          <w:ilvl w:val="0"/>
          <w:numId w:val="1"/>
        </w:numPr>
        <w:tabs>
          <w:tab w:val="left" w:pos="810"/>
        </w:tabs>
        <w:jc w:val="both"/>
        <w:rPr>
          <w:rFonts w:ascii="Times New Roman" w:eastAsia="Times New Roman" w:hAnsi="Times New Roman" w:cs="Times New Roman"/>
        </w:rPr>
      </w:pPr>
      <w:r>
        <w:rPr>
          <w:rFonts w:ascii="Times New Roman" w:eastAsia="Times New Roman" w:hAnsi="Times New Roman" w:cs="Times New Roman"/>
        </w:rPr>
        <w:t xml:space="preserve">FERC Form 1 page 302, line 9, shows and ending </w:t>
      </w:r>
      <w:r w:rsidR="00A0588D">
        <w:rPr>
          <w:rFonts w:ascii="Times New Roman" w:eastAsia="Times New Roman" w:hAnsi="Times New Roman" w:cs="Times New Roman"/>
        </w:rPr>
        <w:t>balances</w:t>
      </w:r>
      <w:r>
        <w:rPr>
          <w:rFonts w:ascii="Times New Roman" w:eastAsia="Times New Roman" w:hAnsi="Times New Roman" w:cs="Times New Roman"/>
        </w:rPr>
        <w:t xml:space="preserve"> of $6,680,496 </w:t>
      </w:r>
      <w:r w:rsidR="00A0588D">
        <w:rPr>
          <w:rFonts w:ascii="Times New Roman" w:eastAsia="Times New Roman" w:hAnsi="Times New Roman" w:cs="Times New Roman"/>
        </w:rPr>
        <w:t>associated</w:t>
      </w:r>
      <w:r>
        <w:rPr>
          <w:rFonts w:ascii="Times New Roman" w:eastAsia="Times New Roman" w:hAnsi="Times New Roman" w:cs="Times New Roman"/>
        </w:rPr>
        <w:t xml:space="preserve"> with the funding of network up</w:t>
      </w:r>
      <w:r w:rsidR="00A0588D">
        <w:rPr>
          <w:rFonts w:ascii="Times New Roman" w:eastAsia="Times New Roman" w:hAnsi="Times New Roman" w:cs="Times New Roman"/>
        </w:rPr>
        <w:t>grades</w:t>
      </w:r>
      <w:r>
        <w:rPr>
          <w:rFonts w:ascii="Times New Roman" w:eastAsia="Times New Roman" w:hAnsi="Times New Roman" w:cs="Times New Roman"/>
        </w:rPr>
        <w:t xml:space="preserve">.  Please provide an </w:t>
      </w:r>
      <w:r w:rsidR="00A0588D">
        <w:rPr>
          <w:rFonts w:ascii="Times New Roman" w:eastAsia="Times New Roman" w:hAnsi="Times New Roman" w:cs="Times New Roman"/>
        </w:rPr>
        <w:t>explanation</w:t>
      </w:r>
      <w:r>
        <w:rPr>
          <w:rFonts w:ascii="Times New Roman" w:eastAsia="Times New Roman" w:hAnsi="Times New Roman" w:cs="Times New Roman"/>
        </w:rPr>
        <w:t xml:space="preserve"> as to why this amount is diffe</w:t>
      </w:r>
      <w:r w:rsidR="00A0588D">
        <w:rPr>
          <w:rFonts w:ascii="Times New Roman" w:eastAsia="Times New Roman" w:hAnsi="Times New Roman" w:cs="Times New Roman"/>
        </w:rPr>
        <w:t>rent t</w:t>
      </w:r>
      <w:r>
        <w:rPr>
          <w:rFonts w:ascii="Times New Roman" w:eastAsia="Times New Roman" w:hAnsi="Times New Roman" w:cs="Times New Roman"/>
        </w:rPr>
        <w:t xml:space="preserve">han the amount shown for the SPP network upgrades revenue requirement of $5,400,433 (see line 124 of Appendix A to the 2015 Update).   </w:t>
      </w:r>
    </w:p>
    <w:p w14:paraId="419D903D" w14:textId="77777777" w:rsidR="009A7839" w:rsidRDefault="009A7839" w:rsidP="009A7839">
      <w:pPr>
        <w:pStyle w:val="ListParagraph"/>
        <w:tabs>
          <w:tab w:val="left" w:pos="810"/>
        </w:tabs>
        <w:jc w:val="both"/>
        <w:rPr>
          <w:rFonts w:ascii="Times New Roman" w:eastAsia="Times New Roman" w:hAnsi="Times New Roman" w:cs="Times New Roman"/>
        </w:rPr>
      </w:pPr>
    </w:p>
    <w:p w14:paraId="237BF77B" w14:textId="7C3CD653" w:rsidR="00E0192D" w:rsidRDefault="009A7839" w:rsidP="00235A05">
      <w:pPr>
        <w:pStyle w:val="ListParagraph"/>
        <w:jc w:val="both"/>
        <w:rPr>
          <w:rFonts w:ascii="Times New Roman" w:hAnsi="Times New Roman"/>
          <w:i/>
          <w:iCs/>
        </w:rPr>
      </w:pPr>
      <w:r w:rsidRPr="00235A05">
        <w:rPr>
          <w:rFonts w:ascii="Times New Roman" w:hAnsi="Times New Roman"/>
          <w:i/>
          <w:iCs/>
        </w:rPr>
        <w:t>Response:</w:t>
      </w:r>
      <w:r w:rsidR="00235A05" w:rsidRPr="00235A05">
        <w:rPr>
          <w:rFonts w:ascii="Times New Roman" w:hAnsi="Times New Roman"/>
          <w:i/>
          <w:iCs/>
        </w:rPr>
        <w:t xml:space="preserve"> Line 124 of the 2015 Annual Update is based on the investment and expenses for the Regional Upgrades constructed and maintained in 2014 and earlier years.  The detailed </w:t>
      </w:r>
      <w:r w:rsidR="00235A05" w:rsidRPr="00235A05">
        <w:rPr>
          <w:rFonts w:ascii="Times New Roman" w:hAnsi="Times New Roman"/>
          <w:i/>
          <w:iCs/>
        </w:rPr>
        <w:lastRenderedPageBreak/>
        <w:t xml:space="preserve">calculations of each such upgrade are displayed on Pages 3 through 13 of Attachment 12 (ATT-12); and summarized on Page 1 of ATT-12.  </w:t>
      </w:r>
      <w:r w:rsidR="00133147">
        <w:rPr>
          <w:rFonts w:ascii="Times New Roman" w:hAnsi="Times New Roman"/>
          <w:i/>
          <w:iCs/>
        </w:rPr>
        <w:t>T</w:t>
      </w:r>
      <w:r w:rsidR="00133147" w:rsidRPr="00235A05">
        <w:rPr>
          <w:rFonts w:ascii="Times New Roman" w:hAnsi="Times New Roman"/>
          <w:i/>
          <w:iCs/>
        </w:rPr>
        <w:t xml:space="preserve">he $5,400,433 amount in the 2015 Annual Update represents the Annual Revenue Requirement </w:t>
      </w:r>
      <w:r w:rsidR="00133147" w:rsidRPr="00133147">
        <w:rPr>
          <w:rFonts w:ascii="Times New Roman" w:hAnsi="Times New Roman"/>
          <w:i/>
          <w:iCs/>
          <w:u w:val="single"/>
        </w:rPr>
        <w:t>going forward</w:t>
      </w:r>
      <w:r w:rsidR="00133147" w:rsidRPr="00235A05">
        <w:rPr>
          <w:rFonts w:ascii="Times New Roman" w:hAnsi="Times New Roman"/>
          <w:i/>
          <w:iCs/>
        </w:rPr>
        <w:t xml:space="preserve"> for the </w:t>
      </w:r>
      <w:r w:rsidR="00133147">
        <w:rPr>
          <w:rFonts w:ascii="Times New Roman" w:hAnsi="Times New Roman"/>
          <w:i/>
          <w:iCs/>
        </w:rPr>
        <w:t>n</w:t>
      </w:r>
      <w:r w:rsidR="00133147" w:rsidRPr="00235A05">
        <w:rPr>
          <w:rFonts w:ascii="Times New Roman" w:hAnsi="Times New Roman"/>
          <w:i/>
          <w:iCs/>
        </w:rPr>
        <w:t>ext year (which will be reported in the 2015 and 2016 FERC Form 1’s).</w:t>
      </w:r>
      <w:r w:rsidR="00133147">
        <w:rPr>
          <w:rFonts w:ascii="Times New Roman" w:hAnsi="Times New Roman"/>
          <w:i/>
          <w:iCs/>
        </w:rPr>
        <w:t xml:space="preserve">  </w:t>
      </w:r>
      <w:r w:rsidR="00235A05" w:rsidRPr="00235A05">
        <w:rPr>
          <w:rFonts w:ascii="Times New Roman" w:hAnsi="Times New Roman"/>
          <w:i/>
          <w:iCs/>
        </w:rPr>
        <w:t xml:space="preserve">The revenues displayed on Page 302, line 9 of the 2014 FERC Form 1 represent revenues established in </w:t>
      </w:r>
      <w:r w:rsidR="00235A05" w:rsidRPr="00133147">
        <w:rPr>
          <w:rFonts w:ascii="Times New Roman" w:hAnsi="Times New Roman"/>
          <w:i/>
          <w:iCs/>
          <w:u w:val="single"/>
        </w:rPr>
        <w:t>prior</w:t>
      </w:r>
      <w:r w:rsidR="00235A05" w:rsidRPr="00235A05">
        <w:rPr>
          <w:rFonts w:ascii="Times New Roman" w:hAnsi="Times New Roman"/>
          <w:i/>
          <w:iCs/>
        </w:rPr>
        <w:t xml:space="preserve"> years Annual Updates.  The 2014 Annual Update (using 2013 FF1 data) derived an Annual Revenue Requirement of $5,851,073 (approximately 5/12 of which was generated in the latter part of 2014).  The 2013 Annual Update (using 2012 FF1 data) derived an Annual Revenue Requirement of $6,129,459 (approximately 7/12 of which was generated in the first part of 2014).  It should be noted that there is a one month lag in the SPP billing of the SPP Regional Upgrade Revenues; which results in the 7 month/5 month “split” of the “booked” revenues, rather than the expected 6 month/6 month split.  We have submitted a request to SPP to explain the additional $650,000 to $700,000 that appears to be credited to this account</w:t>
      </w:r>
      <w:r w:rsidR="00133147">
        <w:rPr>
          <w:rFonts w:ascii="Times New Roman" w:hAnsi="Times New Roman"/>
          <w:i/>
          <w:iCs/>
        </w:rPr>
        <w:t>, and will provide supplemental information to this question as it becomes available</w:t>
      </w:r>
      <w:r w:rsidR="00235A05" w:rsidRPr="00235A05">
        <w:rPr>
          <w:rFonts w:ascii="Times New Roman" w:hAnsi="Times New Roman"/>
          <w:i/>
          <w:iCs/>
        </w:rPr>
        <w:t xml:space="preserve">.  </w:t>
      </w:r>
      <w:bookmarkStart w:id="0" w:name="_GoBack"/>
      <w:bookmarkEnd w:id="0"/>
    </w:p>
    <w:p w14:paraId="0F8A2F13" w14:textId="77777777" w:rsidR="00235A05" w:rsidRPr="00235A05" w:rsidRDefault="00235A05" w:rsidP="00235A05">
      <w:pPr>
        <w:pStyle w:val="ListParagraph"/>
        <w:jc w:val="both"/>
        <w:rPr>
          <w:rFonts w:ascii="Times New Roman" w:hAnsi="Times New Roman"/>
          <w:i/>
          <w:iCs/>
        </w:rPr>
      </w:pPr>
    </w:p>
    <w:p w14:paraId="16E64827" w14:textId="49210889" w:rsidR="00386B97" w:rsidRDefault="00386B97" w:rsidP="00261E89">
      <w:pPr>
        <w:pStyle w:val="ListParagraph"/>
        <w:numPr>
          <w:ilvl w:val="0"/>
          <w:numId w:val="1"/>
        </w:numPr>
        <w:jc w:val="both"/>
        <w:rPr>
          <w:rFonts w:ascii="Calibri" w:eastAsia="Times New Roman" w:hAnsi="Calibri" w:cs="Times New Roman"/>
          <w:color w:val="000000"/>
        </w:rPr>
      </w:pPr>
      <w:r w:rsidRPr="00261E89">
        <w:rPr>
          <w:rFonts w:ascii="Times New Roman" w:eastAsia="Times New Roman" w:hAnsi="Times New Roman" w:cs="Times New Roman"/>
        </w:rPr>
        <w:t>Please provide a detailed explanation</w:t>
      </w:r>
      <w:r>
        <w:rPr>
          <w:rFonts w:ascii="Times New Roman" w:eastAsia="Times New Roman" w:hAnsi="Times New Roman" w:cs="Times New Roman"/>
        </w:rPr>
        <w:t xml:space="preserve"> of</w:t>
      </w:r>
      <w:r w:rsidRPr="00261E89">
        <w:rPr>
          <w:rFonts w:ascii="Times New Roman" w:eastAsia="Times New Roman" w:hAnsi="Times New Roman" w:cs="Times New Roman"/>
        </w:rPr>
        <w:t xml:space="preserve"> why </w:t>
      </w:r>
      <w:r>
        <w:rPr>
          <w:rFonts w:ascii="Times New Roman" w:eastAsia="Times New Roman" w:hAnsi="Times New Roman" w:cs="Times New Roman"/>
        </w:rPr>
        <w:t>“</w:t>
      </w:r>
      <w:proofErr w:type="spellStart"/>
      <w:r w:rsidRPr="00261E89">
        <w:rPr>
          <w:rFonts w:ascii="Calibri" w:eastAsia="Times New Roman" w:hAnsi="Calibri" w:cs="Times New Roman"/>
          <w:color w:val="000000"/>
        </w:rPr>
        <w:t>Unappropriated</w:t>
      </w:r>
      <w:proofErr w:type="spellEnd"/>
      <w:r w:rsidRPr="00261E89">
        <w:rPr>
          <w:rFonts w:ascii="Calibri" w:eastAsia="Times New Roman" w:hAnsi="Calibri" w:cs="Times New Roman"/>
          <w:color w:val="000000"/>
        </w:rPr>
        <w:t xml:space="preserve"> </w:t>
      </w:r>
      <w:proofErr w:type="spellStart"/>
      <w:r w:rsidRPr="00261E89">
        <w:rPr>
          <w:rFonts w:ascii="Calibri" w:eastAsia="Times New Roman" w:hAnsi="Calibri" w:cs="Times New Roman"/>
          <w:color w:val="000000"/>
        </w:rPr>
        <w:t>Undistrib</w:t>
      </w:r>
      <w:proofErr w:type="spellEnd"/>
      <w:r w:rsidRPr="00261E89">
        <w:rPr>
          <w:rFonts w:ascii="Calibri" w:eastAsia="Times New Roman" w:hAnsi="Calibri" w:cs="Times New Roman"/>
          <w:color w:val="000000"/>
        </w:rPr>
        <w:t xml:space="preserve"> </w:t>
      </w:r>
      <w:proofErr w:type="spellStart"/>
      <w:r w:rsidRPr="00261E89">
        <w:rPr>
          <w:rFonts w:ascii="Calibri" w:eastAsia="Times New Roman" w:hAnsi="Calibri" w:cs="Times New Roman"/>
          <w:color w:val="000000"/>
        </w:rPr>
        <w:t>Subsid</w:t>
      </w:r>
      <w:proofErr w:type="spellEnd"/>
      <w:r w:rsidRPr="00261E89">
        <w:rPr>
          <w:rFonts w:ascii="Calibri" w:eastAsia="Times New Roman" w:hAnsi="Calibri" w:cs="Times New Roman"/>
          <w:color w:val="000000"/>
        </w:rPr>
        <w:t xml:space="preserve"> Earnings (216.1) - End of </w:t>
      </w:r>
      <w:proofErr w:type="spellStart"/>
      <w:r w:rsidRPr="00261E89">
        <w:rPr>
          <w:rFonts w:ascii="Calibri" w:eastAsia="Times New Roman" w:hAnsi="Calibri" w:cs="Times New Roman"/>
          <w:color w:val="000000"/>
        </w:rPr>
        <w:t>Yr</w:t>
      </w:r>
      <w:proofErr w:type="spellEnd"/>
      <w:r>
        <w:rPr>
          <w:rFonts w:ascii="Calibri" w:eastAsia="Times New Roman" w:hAnsi="Calibri" w:cs="Times New Roman"/>
          <w:color w:val="000000"/>
        </w:rPr>
        <w:t xml:space="preserve">” increase by </w:t>
      </w:r>
      <w:r w:rsidR="003010F9">
        <w:rPr>
          <w:rFonts w:ascii="Calibri" w:eastAsia="Times New Roman" w:hAnsi="Calibri" w:cs="Times New Roman"/>
          <w:color w:val="000000"/>
        </w:rPr>
        <w:t xml:space="preserve">approximately </w:t>
      </w:r>
      <w:r>
        <w:rPr>
          <w:rFonts w:ascii="Calibri" w:eastAsia="Times New Roman" w:hAnsi="Calibri" w:cs="Times New Roman"/>
          <w:color w:val="000000"/>
        </w:rPr>
        <w:t>44% from</w:t>
      </w:r>
      <w:r w:rsidRPr="00386B97">
        <w:rPr>
          <w:rFonts w:ascii="Calibri" w:eastAsia="Times New Roman" w:hAnsi="Calibri" w:cs="Times New Roman"/>
          <w:color w:val="000000"/>
        </w:rPr>
        <w:t xml:space="preserve"> $12,727,631 to $18,363,820</w:t>
      </w:r>
      <w:r>
        <w:rPr>
          <w:rFonts w:ascii="Calibri" w:eastAsia="Times New Roman" w:hAnsi="Calibri" w:cs="Times New Roman"/>
          <w:color w:val="000000"/>
        </w:rPr>
        <w:t>.</w:t>
      </w:r>
    </w:p>
    <w:p w14:paraId="2C058ECB" w14:textId="77777777" w:rsidR="009A7839" w:rsidRDefault="009A7839" w:rsidP="009A7839">
      <w:pPr>
        <w:pStyle w:val="ListParagraph"/>
        <w:jc w:val="both"/>
        <w:rPr>
          <w:rFonts w:ascii="Times New Roman" w:eastAsia="Times New Roman" w:hAnsi="Times New Roman" w:cs="Times New Roman"/>
        </w:rPr>
      </w:pPr>
    </w:p>
    <w:p w14:paraId="6F0B5A97" w14:textId="77777777" w:rsidR="00FB77CB" w:rsidRDefault="00FB77CB" w:rsidP="00FB77CB">
      <w:pPr>
        <w:pStyle w:val="ListParagraph"/>
        <w:jc w:val="both"/>
        <w:rPr>
          <w:rFonts w:ascii="Times New Roman" w:hAnsi="Times New Roman"/>
          <w:i/>
          <w:iCs/>
        </w:rPr>
      </w:pPr>
      <w:r>
        <w:rPr>
          <w:rFonts w:ascii="Times New Roman" w:hAnsi="Times New Roman"/>
          <w:i/>
          <w:iCs/>
        </w:rPr>
        <w:t>Response: The change reflects earnings for 2014 related to the subsidiary companies, Empire District Gas and Empire District Holdings (Holdings is non-regulated)</w:t>
      </w:r>
    </w:p>
    <w:p w14:paraId="6C43C22F" w14:textId="77777777" w:rsidR="009A7839" w:rsidRDefault="009A7839" w:rsidP="009A7839">
      <w:pPr>
        <w:pStyle w:val="ListParagraph"/>
        <w:jc w:val="both"/>
        <w:rPr>
          <w:rFonts w:ascii="Calibri" w:eastAsia="Times New Roman" w:hAnsi="Calibri" w:cs="Times New Roman"/>
          <w:color w:val="000000"/>
        </w:rPr>
      </w:pPr>
    </w:p>
    <w:p w14:paraId="3E46DF4E" w14:textId="3D218D6A" w:rsidR="00386B97" w:rsidRDefault="00386B97" w:rsidP="00386B97">
      <w:pPr>
        <w:pStyle w:val="ListParagraph"/>
        <w:numPr>
          <w:ilvl w:val="0"/>
          <w:numId w:val="1"/>
        </w:numPr>
        <w:jc w:val="both"/>
        <w:rPr>
          <w:rFonts w:ascii="Calibri" w:eastAsia="Times New Roman" w:hAnsi="Calibri" w:cs="Times New Roman"/>
          <w:color w:val="000000"/>
        </w:rPr>
      </w:pPr>
      <w:r w:rsidRPr="00261E89">
        <w:rPr>
          <w:rFonts w:ascii="Times New Roman" w:eastAsia="Times New Roman" w:hAnsi="Times New Roman" w:cs="Times New Roman"/>
        </w:rPr>
        <w:t xml:space="preserve">Please provide a detailed explanation of why </w:t>
      </w:r>
      <w:r>
        <w:rPr>
          <w:rFonts w:ascii="Times New Roman" w:eastAsia="Times New Roman" w:hAnsi="Times New Roman" w:cs="Times New Roman"/>
        </w:rPr>
        <w:t>“</w:t>
      </w:r>
      <w:r w:rsidRPr="00261E89">
        <w:rPr>
          <w:rFonts w:ascii="Calibri" w:eastAsia="Times New Roman" w:hAnsi="Calibri" w:cs="Times New Roman"/>
          <w:color w:val="000000"/>
        </w:rPr>
        <w:t>Other Long Term Debt (224) - Beginning of Year</w:t>
      </w:r>
      <w:r>
        <w:rPr>
          <w:rFonts w:ascii="Calibri" w:eastAsia="Times New Roman" w:hAnsi="Calibri" w:cs="Times New Roman"/>
          <w:color w:val="000000"/>
        </w:rPr>
        <w:t>” decreased by</w:t>
      </w:r>
      <w:r w:rsidR="003010F9">
        <w:rPr>
          <w:rFonts w:ascii="Calibri" w:eastAsia="Times New Roman" w:hAnsi="Calibri" w:cs="Times New Roman"/>
          <w:color w:val="000000"/>
        </w:rPr>
        <w:t xml:space="preserve"> approximately</w:t>
      </w:r>
      <w:r>
        <w:rPr>
          <w:rFonts w:ascii="Calibri" w:eastAsia="Times New Roman" w:hAnsi="Calibri" w:cs="Times New Roman"/>
          <w:color w:val="000000"/>
        </w:rPr>
        <w:t xml:space="preserve"> 49% from $</w:t>
      </w:r>
      <w:r w:rsidRPr="00386B97">
        <w:rPr>
          <w:rFonts w:ascii="Calibri" w:eastAsia="Times New Roman" w:hAnsi="Calibri" w:cs="Times New Roman"/>
          <w:color w:val="000000"/>
        </w:rPr>
        <w:t>200,415,302</w:t>
      </w:r>
      <w:r>
        <w:rPr>
          <w:rFonts w:ascii="Calibri" w:eastAsia="Times New Roman" w:hAnsi="Calibri" w:cs="Times New Roman"/>
          <w:color w:val="000000"/>
        </w:rPr>
        <w:t xml:space="preserve"> to $</w:t>
      </w:r>
      <w:r w:rsidRPr="00386B97">
        <w:rPr>
          <w:rFonts w:ascii="Calibri" w:eastAsia="Times New Roman" w:hAnsi="Calibri" w:cs="Times New Roman"/>
          <w:color w:val="000000"/>
        </w:rPr>
        <w:t>102,000,000</w:t>
      </w:r>
      <w:r w:rsidR="00933E9F">
        <w:rPr>
          <w:rFonts w:ascii="Calibri" w:eastAsia="Times New Roman" w:hAnsi="Calibri" w:cs="Times New Roman"/>
          <w:color w:val="000000"/>
        </w:rPr>
        <w:t>.</w:t>
      </w:r>
    </w:p>
    <w:p w14:paraId="7E7D7281" w14:textId="77777777" w:rsidR="009A7839" w:rsidRDefault="009A7839" w:rsidP="009A7839">
      <w:pPr>
        <w:pStyle w:val="ListParagraph"/>
        <w:jc w:val="both"/>
        <w:rPr>
          <w:rFonts w:ascii="Calibri" w:eastAsia="Times New Roman" w:hAnsi="Calibri" w:cs="Times New Roman"/>
          <w:color w:val="000000"/>
        </w:rPr>
      </w:pPr>
    </w:p>
    <w:p w14:paraId="644667B7" w14:textId="77777777" w:rsidR="00FB77CB" w:rsidRDefault="00FB77CB" w:rsidP="00FB77CB">
      <w:pPr>
        <w:pStyle w:val="ListParagraph"/>
        <w:jc w:val="both"/>
        <w:rPr>
          <w:rFonts w:ascii="Times New Roman" w:hAnsi="Times New Roman"/>
          <w:i/>
          <w:iCs/>
        </w:rPr>
      </w:pPr>
      <w:r>
        <w:rPr>
          <w:rFonts w:ascii="Times New Roman" w:hAnsi="Times New Roman"/>
          <w:i/>
          <w:iCs/>
        </w:rPr>
        <w:t>Response: Payments were made during 2013.</w:t>
      </w:r>
    </w:p>
    <w:p w14:paraId="10C48B6B" w14:textId="77777777" w:rsidR="009A7839" w:rsidRDefault="009A7839" w:rsidP="009A7839">
      <w:pPr>
        <w:pStyle w:val="ListParagraph"/>
        <w:jc w:val="both"/>
        <w:rPr>
          <w:rFonts w:ascii="Calibri" w:eastAsia="Times New Roman" w:hAnsi="Calibri" w:cs="Times New Roman"/>
          <w:color w:val="000000"/>
        </w:rPr>
      </w:pPr>
    </w:p>
    <w:p w14:paraId="6519D841" w14:textId="5A8323E9" w:rsidR="00933E9F" w:rsidRDefault="00933E9F" w:rsidP="00261E89">
      <w:pPr>
        <w:pStyle w:val="ListParagraph"/>
        <w:numPr>
          <w:ilvl w:val="0"/>
          <w:numId w:val="1"/>
        </w:numPr>
        <w:jc w:val="both"/>
        <w:rPr>
          <w:rFonts w:ascii="Calibri" w:eastAsia="Times New Roman" w:hAnsi="Calibri" w:cs="Times New Roman"/>
          <w:color w:val="000000"/>
        </w:rPr>
      </w:pPr>
      <w:r w:rsidRPr="00261E89">
        <w:rPr>
          <w:rFonts w:ascii="Times New Roman" w:eastAsia="Times New Roman" w:hAnsi="Times New Roman" w:cs="Times New Roman"/>
        </w:rPr>
        <w:t>Please provide a detailed explanation</w:t>
      </w:r>
      <w:r w:rsidR="0095576D">
        <w:rPr>
          <w:rFonts w:ascii="Times New Roman" w:eastAsia="Times New Roman" w:hAnsi="Times New Roman" w:cs="Times New Roman"/>
        </w:rPr>
        <w:t xml:space="preserve"> and</w:t>
      </w:r>
      <w:r w:rsidR="0095576D" w:rsidRPr="00261E89">
        <w:rPr>
          <w:rFonts w:ascii="Times New Roman" w:eastAsia="Times New Roman" w:hAnsi="Times New Roman" w:cs="Times New Roman"/>
        </w:rPr>
        <w:t xml:space="preserve"> supporting documentation</w:t>
      </w:r>
      <w:r w:rsidR="0095576D">
        <w:rPr>
          <w:rFonts w:ascii="Times New Roman" w:eastAsia="Times New Roman" w:hAnsi="Times New Roman" w:cs="Times New Roman"/>
        </w:rPr>
        <w:t xml:space="preserve"> for</w:t>
      </w:r>
      <w:r w:rsidRPr="00261E89">
        <w:rPr>
          <w:rFonts w:ascii="Times New Roman" w:eastAsia="Times New Roman" w:hAnsi="Times New Roman" w:cs="Times New Roman"/>
        </w:rPr>
        <w:t xml:space="preserve"> why </w:t>
      </w:r>
      <w:r>
        <w:rPr>
          <w:rFonts w:ascii="Times New Roman" w:eastAsia="Times New Roman" w:hAnsi="Times New Roman" w:cs="Times New Roman"/>
        </w:rPr>
        <w:t>“</w:t>
      </w:r>
      <w:r w:rsidRPr="00261E89">
        <w:rPr>
          <w:rFonts w:ascii="Calibri" w:eastAsia="Times New Roman" w:hAnsi="Calibri" w:cs="Times New Roman"/>
          <w:color w:val="000000"/>
        </w:rPr>
        <w:t>(561.4) Scheduling, System Control and Dispatch Services</w:t>
      </w:r>
      <w:r>
        <w:rPr>
          <w:rFonts w:ascii="Calibri" w:eastAsia="Times New Roman" w:hAnsi="Calibri" w:cs="Times New Roman"/>
          <w:color w:val="000000"/>
        </w:rPr>
        <w:t>”</w:t>
      </w:r>
      <w:r w:rsidR="0094117B">
        <w:rPr>
          <w:rFonts w:ascii="Calibri" w:eastAsia="Times New Roman" w:hAnsi="Calibri" w:cs="Times New Roman"/>
          <w:color w:val="000000"/>
        </w:rPr>
        <w:t xml:space="preserve"> in</w:t>
      </w:r>
      <w:r>
        <w:rPr>
          <w:rFonts w:ascii="Calibri" w:eastAsia="Times New Roman" w:hAnsi="Calibri" w:cs="Times New Roman"/>
          <w:color w:val="000000"/>
        </w:rPr>
        <w:t>creased</w:t>
      </w:r>
      <w:r w:rsidRPr="00261E89">
        <w:rPr>
          <w:rFonts w:ascii="Calibri" w:eastAsia="Times New Roman" w:hAnsi="Calibri" w:cs="Times New Roman"/>
          <w:color w:val="000000"/>
        </w:rPr>
        <w:t xml:space="preserve"> by </w:t>
      </w:r>
      <w:r w:rsidR="003010F9">
        <w:rPr>
          <w:rFonts w:ascii="Calibri" w:eastAsia="Times New Roman" w:hAnsi="Calibri" w:cs="Times New Roman"/>
          <w:color w:val="000000"/>
        </w:rPr>
        <w:t>approximately</w:t>
      </w:r>
      <w:r w:rsidR="003010F9" w:rsidRPr="00933E9F">
        <w:rPr>
          <w:rFonts w:ascii="Calibri" w:eastAsia="Times New Roman" w:hAnsi="Calibri" w:cs="Times New Roman"/>
          <w:color w:val="000000"/>
        </w:rPr>
        <w:t xml:space="preserve"> </w:t>
      </w:r>
      <w:r w:rsidRPr="00261E89">
        <w:rPr>
          <w:rFonts w:ascii="Calibri" w:eastAsia="Times New Roman" w:hAnsi="Calibri" w:cs="Times New Roman"/>
          <w:color w:val="000000"/>
        </w:rPr>
        <w:t xml:space="preserve">6% from </w:t>
      </w:r>
      <w:r>
        <w:rPr>
          <w:rFonts w:ascii="Calibri" w:eastAsia="Times New Roman" w:hAnsi="Calibri" w:cs="Times New Roman"/>
          <w:color w:val="000000"/>
        </w:rPr>
        <w:t>$</w:t>
      </w:r>
      <w:r w:rsidRPr="00261E89">
        <w:rPr>
          <w:rFonts w:ascii="Calibri" w:eastAsia="Times New Roman" w:hAnsi="Calibri" w:cs="Times New Roman"/>
          <w:color w:val="000000"/>
        </w:rPr>
        <w:t xml:space="preserve">454,305 </w:t>
      </w:r>
      <w:r>
        <w:rPr>
          <w:rFonts w:ascii="Calibri" w:eastAsia="Times New Roman" w:hAnsi="Calibri" w:cs="Times New Roman"/>
          <w:color w:val="000000"/>
        </w:rPr>
        <w:t>to $479,777.</w:t>
      </w:r>
    </w:p>
    <w:p w14:paraId="3179C17B" w14:textId="77777777" w:rsidR="009A7839" w:rsidRDefault="009A7839" w:rsidP="009A7839">
      <w:pPr>
        <w:pStyle w:val="ListParagraph"/>
        <w:jc w:val="both"/>
        <w:rPr>
          <w:rFonts w:ascii="Times New Roman" w:eastAsia="Times New Roman" w:hAnsi="Times New Roman" w:cs="Times New Roman"/>
        </w:rPr>
      </w:pPr>
    </w:p>
    <w:p w14:paraId="26748651" w14:textId="0B4ECC70" w:rsidR="00724340" w:rsidRPr="00330077" w:rsidRDefault="009A7839" w:rsidP="00724340">
      <w:pPr>
        <w:pStyle w:val="ListParagraph"/>
        <w:tabs>
          <w:tab w:val="left" w:pos="810"/>
        </w:tabs>
        <w:jc w:val="both"/>
        <w:rPr>
          <w:rFonts w:ascii="Times New Roman" w:eastAsia="Times New Roman" w:hAnsi="Times New Roman" w:cs="Times New Roman"/>
          <w:i/>
          <w:color w:val="FF0000"/>
        </w:rPr>
      </w:pPr>
      <w:r w:rsidRPr="006458C9">
        <w:rPr>
          <w:rFonts w:ascii="Times New Roman" w:eastAsia="Times New Roman" w:hAnsi="Times New Roman" w:cs="Times New Roman"/>
          <w:i/>
        </w:rPr>
        <w:t>Response:</w:t>
      </w:r>
      <w:r w:rsidR="00724340" w:rsidRPr="006458C9">
        <w:rPr>
          <w:rFonts w:ascii="Times New Roman" w:eastAsia="Times New Roman" w:hAnsi="Times New Roman" w:cs="Times New Roman"/>
          <w:i/>
        </w:rPr>
        <w:t xml:space="preserve"> </w:t>
      </w:r>
      <w:r w:rsidR="00593DB2">
        <w:rPr>
          <w:rFonts w:ascii="Times New Roman" w:eastAsia="Times New Roman" w:hAnsi="Times New Roman" w:cs="Times New Roman"/>
          <w:i/>
        </w:rPr>
        <w:t>Empire allocates its labor costs for its 6 NERC Certified System Operators between Accounts 561.4 and 556.4.  In the past, those labor costs were divided evenly; however due to implementation of the SPP Integrated Marketplace and SPP assuming Balancing Authority responsibility, more labor dollars were budgeted/accounted for to account 561.4 for transmission operations dispatching.  Such increase, in addition to shift between accounts were due to normal annual union wage increase and overtime allocated to 561.4 due to storm recovery and/or transmission switching activities.</w:t>
      </w:r>
    </w:p>
    <w:p w14:paraId="48A38E56" w14:textId="77777777" w:rsidR="009A7839" w:rsidRDefault="009A7839" w:rsidP="009A7839">
      <w:pPr>
        <w:pStyle w:val="ListParagraph"/>
        <w:tabs>
          <w:tab w:val="left" w:pos="810"/>
        </w:tabs>
        <w:jc w:val="both"/>
        <w:rPr>
          <w:rFonts w:ascii="Times New Roman" w:eastAsia="Times New Roman" w:hAnsi="Times New Roman" w:cs="Times New Roman"/>
          <w:i/>
        </w:rPr>
      </w:pPr>
    </w:p>
    <w:p w14:paraId="0502828F" w14:textId="3307A740" w:rsidR="002D71C5" w:rsidRDefault="00933E9F" w:rsidP="00261E89">
      <w:pPr>
        <w:pStyle w:val="ListParagraph"/>
        <w:numPr>
          <w:ilvl w:val="0"/>
          <w:numId w:val="1"/>
        </w:numPr>
        <w:spacing w:after="0"/>
        <w:jc w:val="both"/>
        <w:rPr>
          <w:rFonts w:ascii="Calibri" w:eastAsia="Times New Roman" w:hAnsi="Calibri" w:cs="Times New Roman"/>
          <w:color w:val="000000"/>
        </w:rPr>
      </w:pPr>
      <w:r w:rsidRPr="00261E89">
        <w:rPr>
          <w:rFonts w:ascii="Times New Roman" w:eastAsia="Times New Roman" w:hAnsi="Times New Roman" w:cs="Times New Roman"/>
        </w:rPr>
        <w:t>Please provide a detailed explanation</w:t>
      </w:r>
      <w:r w:rsidR="0095576D">
        <w:rPr>
          <w:rFonts w:ascii="Times New Roman" w:eastAsia="Times New Roman" w:hAnsi="Times New Roman" w:cs="Times New Roman"/>
        </w:rPr>
        <w:t xml:space="preserve"> and</w:t>
      </w:r>
      <w:r w:rsidRPr="00261E89">
        <w:rPr>
          <w:rFonts w:ascii="Times New Roman" w:eastAsia="Times New Roman" w:hAnsi="Times New Roman" w:cs="Times New Roman"/>
        </w:rPr>
        <w:t xml:space="preserve"> </w:t>
      </w:r>
      <w:r w:rsidR="0095576D" w:rsidRPr="00261E89">
        <w:rPr>
          <w:rFonts w:ascii="Times New Roman" w:eastAsia="Times New Roman" w:hAnsi="Times New Roman" w:cs="Times New Roman"/>
        </w:rPr>
        <w:t>all supporting documentation</w:t>
      </w:r>
      <w:r w:rsidRPr="00261E89">
        <w:rPr>
          <w:rFonts w:ascii="Times New Roman" w:eastAsia="Times New Roman" w:hAnsi="Times New Roman" w:cs="Times New Roman"/>
        </w:rPr>
        <w:t xml:space="preserve"> </w:t>
      </w:r>
      <w:r w:rsidR="0095576D">
        <w:rPr>
          <w:rFonts w:ascii="Times New Roman" w:eastAsia="Times New Roman" w:hAnsi="Times New Roman" w:cs="Times New Roman"/>
        </w:rPr>
        <w:t xml:space="preserve">for </w:t>
      </w:r>
      <w:r w:rsidRPr="00261E89">
        <w:rPr>
          <w:rFonts w:ascii="Times New Roman" w:eastAsia="Times New Roman" w:hAnsi="Times New Roman" w:cs="Times New Roman"/>
        </w:rPr>
        <w:t>why “</w:t>
      </w:r>
      <w:r w:rsidRPr="00261E89">
        <w:rPr>
          <w:rFonts w:ascii="Calibri" w:eastAsia="Times New Roman" w:hAnsi="Calibri" w:cs="Times New Roman"/>
          <w:color w:val="000000"/>
        </w:rPr>
        <w:t xml:space="preserve">Depreciation </w:t>
      </w:r>
      <w:proofErr w:type="spellStart"/>
      <w:r w:rsidRPr="00261E89">
        <w:rPr>
          <w:rFonts w:ascii="Calibri" w:eastAsia="Times New Roman" w:hAnsi="Calibri" w:cs="Times New Roman"/>
          <w:color w:val="000000"/>
        </w:rPr>
        <w:t>Exp</w:t>
      </w:r>
      <w:proofErr w:type="spellEnd"/>
      <w:r w:rsidRPr="00261E89">
        <w:rPr>
          <w:rFonts w:ascii="Calibri" w:eastAsia="Times New Roman" w:hAnsi="Calibri" w:cs="Times New Roman"/>
          <w:color w:val="000000"/>
        </w:rPr>
        <w:t xml:space="preserve"> (403) - General Plant (See Note 3, below)” increased by</w:t>
      </w:r>
      <w:r w:rsidR="003010F9">
        <w:rPr>
          <w:rFonts w:ascii="Calibri" w:eastAsia="Times New Roman" w:hAnsi="Calibri" w:cs="Times New Roman"/>
          <w:color w:val="000000"/>
        </w:rPr>
        <w:t xml:space="preserve"> approximately</w:t>
      </w:r>
      <w:r w:rsidRPr="00261E89">
        <w:rPr>
          <w:rFonts w:ascii="Calibri" w:eastAsia="Times New Roman" w:hAnsi="Calibri" w:cs="Times New Roman"/>
          <w:color w:val="000000"/>
        </w:rPr>
        <w:t xml:space="preserve"> 68% from $3,312,016 to $5,579,203</w:t>
      </w:r>
      <w:r w:rsidR="002D71C5" w:rsidRPr="00261E89">
        <w:rPr>
          <w:rFonts w:ascii="Calibri" w:eastAsia="Times New Roman" w:hAnsi="Calibri" w:cs="Times New Roman"/>
          <w:color w:val="000000"/>
        </w:rPr>
        <w:t xml:space="preserve"> while Gross General Plant increased by approximately 1% from $77,237,150 to $78,344,767.</w:t>
      </w:r>
    </w:p>
    <w:p w14:paraId="537A8BEA" w14:textId="77777777" w:rsidR="009A7839" w:rsidRDefault="009A7839" w:rsidP="009A7839">
      <w:pPr>
        <w:pStyle w:val="ListParagraph"/>
        <w:spacing w:after="0"/>
        <w:jc w:val="both"/>
        <w:rPr>
          <w:rFonts w:ascii="Times New Roman" w:eastAsia="Times New Roman" w:hAnsi="Times New Roman" w:cs="Times New Roman"/>
        </w:rPr>
      </w:pPr>
    </w:p>
    <w:p w14:paraId="03BDD5B4" w14:textId="203EEC09" w:rsidR="00FC2983" w:rsidRDefault="001756CA" w:rsidP="00397A83">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lastRenderedPageBreak/>
        <w:t>Response:  When the vehicle reclassification amounts for Accounts 392 &amp; 396 are disregarded for General Plant for 2013 and 2014, the depreciation expense amounts are $3,312,016 and $3,351,007 respectively, which is a 1% change.  See the attached file TFR Question 18 Response.</w:t>
      </w:r>
    </w:p>
    <w:p w14:paraId="28F1E465" w14:textId="77777777" w:rsidR="00397A83" w:rsidRPr="00397A83" w:rsidRDefault="00397A83" w:rsidP="00397A83">
      <w:pPr>
        <w:pStyle w:val="ListParagraph"/>
        <w:tabs>
          <w:tab w:val="left" w:pos="810"/>
        </w:tabs>
        <w:jc w:val="both"/>
        <w:rPr>
          <w:rFonts w:ascii="Times New Roman" w:eastAsia="Times New Roman" w:hAnsi="Times New Roman" w:cs="Times New Roman"/>
          <w:i/>
        </w:rPr>
      </w:pPr>
    </w:p>
    <w:p w14:paraId="3C0B40BE" w14:textId="065A576E" w:rsidR="007D6548" w:rsidRDefault="002D71C5" w:rsidP="002D71C5">
      <w:pPr>
        <w:pStyle w:val="ListParagraph"/>
        <w:numPr>
          <w:ilvl w:val="0"/>
          <w:numId w:val="1"/>
        </w:numPr>
        <w:spacing w:after="0"/>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w:t>
      </w:r>
      <w:r w:rsidR="0095576D">
        <w:rPr>
          <w:rFonts w:ascii="Times New Roman" w:eastAsia="Times New Roman" w:hAnsi="Times New Roman" w:cs="Times New Roman"/>
        </w:rPr>
        <w:t xml:space="preserve"> and</w:t>
      </w:r>
      <w:r w:rsidR="0095576D" w:rsidRPr="00261E89">
        <w:rPr>
          <w:rFonts w:ascii="Times New Roman" w:eastAsia="Times New Roman" w:hAnsi="Times New Roman" w:cs="Times New Roman"/>
        </w:rPr>
        <w:t xml:space="preserve"> supporting documentation</w:t>
      </w:r>
      <w:r w:rsidRPr="001552BB">
        <w:rPr>
          <w:rFonts w:ascii="Times New Roman" w:eastAsia="Times New Roman" w:hAnsi="Times New Roman" w:cs="Times New Roman"/>
        </w:rPr>
        <w:t xml:space="preserve"> f</w:t>
      </w:r>
      <w:r w:rsidR="0095576D">
        <w:rPr>
          <w:rFonts w:ascii="Times New Roman" w:eastAsia="Times New Roman" w:hAnsi="Times New Roman" w:cs="Times New Roman"/>
        </w:rPr>
        <w:t>or</w:t>
      </w:r>
      <w:r w:rsidRPr="001552BB">
        <w:rPr>
          <w:rFonts w:ascii="Times New Roman" w:eastAsia="Times New Roman" w:hAnsi="Times New Roman" w:cs="Times New Roman"/>
        </w:rPr>
        <w:t xml:space="preserve"> why “</w:t>
      </w:r>
      <w:r w:rsidR="007D6548">
        <w:rPr>
          <w:rFonts w:ascii="Times New Roman" w:eastAsia="Times New Roman" w:hAnsi="Times New Roman" w:cs="Times New Roman"/>
        </w:rPr>
        <w:t>A&amp;G Wage Expenses</w:t>
      </w:r>
      <w:r w:rsidRPr="001552BB">
        <w:rPr>
          <w:rFonts w:ascii="Calibri" w:eastAsia="Times New Roman" w:hAnsi="Calibri" w:cs="Times New Roman"/>
          <w:color w:val="000000"/>
        </w:rPr>
        <w:t>” increased by</w:t>
      </w:r>
      <w:r w:rsidR="003010F9">
        <w:rPr>
          <w:rFonts w:ascii="Calibri" w:eastAsia="Times New Roman" w:hAnsi="Calibri" w:cs="Times New Roman"/>
          <w:color w:val="000000"/>
        </w:rPr>
        <w:t xml:space="preserve"> approximately</w:t>
      </w:r>
      <w:r w:rsidRPr="001552BB">
        <w:rPr>
          <w:rFonts w:ascii="Calibri" w:eastAsia="Times New Roman" w:hAnsi="Calibri" w:cs="Times New Roman"/>
          <w:color w:val="000000"/>
        </w:rPr>
        <w:t xml:space="preserve"> </w:t>
      </w:r>
      <w:r w:rsidR="007D6548">
        <w:rPr>
          <w:rFonts w:ascii="Calibri" w:eastAsia="Times New Roman" w:hAnsi="Calibri" w:cs="Times New Roman"/>
          <w:color w:val="000000"/>
        </w:rPr>
        <w:t>20% from $11,8</w:t>
      </w:r>
      <w:r w:rsidRPr="001552BB">
        <w:rPr>
          <w:rFonts w:ascii="Calibri" w:eastAsia="Times New Roman" w:hAnsi="Calibri" w:cs="Times New Roman"/>
          <w:color w:val="000000"/>
        </w:rPr>
        <w:t>1</w:t>
      </w:r>
      <w:r w:rsidR="007D6548">
        <w:rPr>
          <w:rFonts w:ascii="Calibri" w:eastAsia="Times New Roman" w:hAnsi="Calibri" w:cs="Times New Roman"/>
          <w:color w:val="000000"/>
        </w:rPr>
        <w:t>3,350 to $14,211,590</w:t>
      </w:r>
      <w:r w:rsidR="009A7839">
        <w:rPr>
          <w:rFonts w:ascii="Calibri" w:eastAsia="Times New Roman" w:hAnsi="Calibri" w:cs="Times New Roman"/>
          <w:color w:val="000000"/>
        </w:rPr>
        <w:t>.</w:t>
      </w:r>
    </w:p>
    <w:p w14:paraId="518C16FA" w14:textId="77777777" w:rsidR="009A7839" w:rsidRDefault="009A7839" w:rsidP="009A7839">
      <w:pPr>
        <w:pStyle w:val="ListParagraph"/>
        <w:spacing w:after="0"/>
        <w:jc w:val="both"/>
        <w:rPr>
          <w:rFonts w:ascii="Times New Roman" w:eastAsia="Times New Roman" w:hAnsi="Times New Roman" w:cs="Times New Roman"/>
        </w:rPr>
      </w:pPr>
    </w:p>
    <w:p w14:paraId="00B512ED" w14:textId="2DFB1061" w:rsidR="009A7839" w:rsidRDefault="009A7839" w:rsidP="009A7839">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00397A83">
        <w:rPr>
          <w:rFonts w:ascii="Times New Roman" w:eastAsia="Times New Roman" w:hAnsi="Times New Roman" w:cs="Times New Roman"/>
          <w:i/>
        </w:rPr>
        <w:t xml:space="preserve"> The increase in A&amp;G expense is primarily a result of normal pay increases and a $900,000 adjustment recorded in 2014 that was related to an under accrual of 2013 compensation.</w:t>
      </w:r>
    </w:p>
    <w:p w14:paraId="52D8CBEF" w14:textId="77777777" w:rsidR="009A7839" w:rsidRDefault="009A7839" w:rsidP="009A7839">
      <w:pPr>
        <w:pStyle w:val="ListParagraph"/>
        <w:spacing w:after="0"/>
        <w:jc w:val="both"/>
        <w:rPr>
          <w:rFonts w:ascii="Calibri" w:eastAsia="Times New Roman" w:hAnsi="Calibri" w:cs="Times New Roman"/>
          <w:color w:val="000000"/>
        </w:rPr>
      </w:pPr>
    </w:p>
    <w:p w14:paraId="4CE7424E" w14:textId="6B08C0A4" w:rsidR="003010F9" w:rsidRDefault="007D6548" w:rsidP="00261E89">
      <w:pPr>
        <w:pStyle w:val="ListParagraph"/>
        <w:numPr>
          <w:ilvl w:val="0"/>
          <w:numId w:val="1"/>
        </w:numPr>
        <w:spacing w:after="0"/>
        <w:jc w:val="both"/>
        <w:rPr>
          <w:rFonts w:ascii="Calibri" w:eastAsia="Times New Roman" w:hAnsi="Calibri" w:cs="Times New Roman"/>
          <w:color w:val="000000"/>
        </w:rPr>
      </w:pPr>
      <w:r w:rsidRPr="007D6548">
        <w:rPr>
          <w:rFonts w:ascii="Calibri" w:eastAsia="Times New Roman" w:hAnsi="Calibri" w:cs="Times New Roman"/>
          <w:color w:val="000000"/>
        </w:rPr>
        <w:t>Please verify that</w:t>
      </w:r>
      <w:r w:rsidR="0094117B">
        <w:rPr>
          <w:rFonts w:ascii="Calibri" w:eastAsia="Times New Roman" w:hAnsi="Calibri" w:cs="Times New Roman"/>
          <w:color w:val="000000"/>
        </w:rPr>
        <w:t xml:space="preserve"> the</w:t>
      </w:r>
      <w:r w:rsidRPr="007D6548">
        <w:rPr>
          <w:rFonts w:ascii="Calibri" w:eastAsia="Times New Roman" w:hAnsi="Calibri" w:cs="Times New Roman"/>
          <w:color w:val="000000"/>
        </w:rPr>
        <w:t xml:space="preserve"> </w:t>
      </w:r>
      <w:r w:rsidR="0094117B">
        <w:rPr>
          <w:rFonts w:ascii="Calibri" w:eastAsia="Times New Roman" w:hAnsi="Calibri" w:cs="Times New Roman"/>
          <w:color w:val="000000"/>
        </w:rPr>
        <w:t>“</w:t>
      </w:r>
      <w:r w:rsidRPr="007D6548">
        <w:rPr>
          <w:rFonts w:ascii="Calibri" w:eastAsia="Times New Roman" w:hAnsi="Calibri" w:cs="Times New Roman"/>
          <w:color w:val="000000"/>
        </w:rPr>
        <w:t>beginning balance</w:t>
      </w:r>
      <w:r w:rsidR="0094117B">
        <w:rPr>
          <w:rFonts w:ascii="Calibri" w:eastAsia="Times New Roman" w:hAnsi="Calibri" w:cs="Times New Roman"/>
          <w:color w:val="000000"/>
        </w:rPr>
        <w:t>”</w:t>
      </w:r>
      <w:r w:rsidRPr="007D6548">
        <w:rPr>
          <w:rFonts w:ascii="Calibri" w:eastAsia="Times New Roman" w:hAnsi="Calibri" w:cs="Times New Roman"/>
          <w:color w:val="000000"/>
        </w:rPr>
        <w:t xml:space="preserve"> should be use</w:t>
      </w:r>
      <w:r>
        <w:rPr>
          <w:rFonts w:ascii="Calibri" w:eastAsia="Times New Roman" w:hAnsi="Calibri" w:cs="Times New Roman"/>
          <w:color w:val="000000"/>
        </w:rPr>
        <w:t>d</w:t>
      </w:r>
      <w:r w:rsidR="003010F9">
        <w:rPr>
          <w:rFonts w:ascii="Calibri" w:eastAsia="Times New Roman" w:hAnsi="Calibri" w:cs="Times New Roman"/>
          <w:color w:val="000000"/>
        </w:rPr>
        <w:t xml:space="preserve"> in the calculation</w:t>
      </w:r>
      <w:r w:rsidRPr="007D6548">
        <w:rPr>
          <w:rFonts w:ascii="Calibri" w:eastAsia="Times New Roman" w:hAnsi="Calibri" w:cs="Times New Roman"/>
          <w:color w:val="000000"/>
        </w:rPr>
        <w:t xml:space="preserve"> of </w:t>
      </w:r>
      <w:r w:rsidR="003010F9">
        <w:rPr>
          <w:rFonts w:ascii="Calibri" w:eastAsia="Times New Roman" w:hAnsi="Calibri" w:cs="Times New Roman"/>
          <w:color w:val="000000"/>
        </w:rPr>
        <w:t>the "T/D Pole Allocation Factor</w:t>
      </w:r>
      <w:r w:rsidRPr="007D6548">
        <w:rPr>
          <w:rFonts w:ascii="Calibri" w:eastAsia="Times New Roman" w:hAnsi="Calibri" w:cs="Times New Roman"/>
          <w:color w:val="000000"/>
        </w:rPr>
        <w:t>"</w:t>
      </w:r>
      <w:r w:rsidR="002D71C5" w:rsidRPr="001552BB">
        <w:rPr>
          <w:rFonts w:ascii="Calibri" w:eastAsia="Times New Roman" w:hAnsi="Calibri" w:cs="Times New Roman"/>
          <w:color w:val="000000"/>
        </w:rPr>
        <w:t>.</w:t>
      </w:r>
    </w:p>
    <w:p w14:paraId="621479C5" w14:textId="77777777" w:rsidR="009A7839" w:rsidRDefault="009A7839" w:rsidP="009A7839">
      <w:pPr>
        <w:pStyle w:val="ListParagraph"/>
        <w:spacing w:after="0"/>
        <w:jc w:val="both"/>
        <w:rPr>
          <w:rFonts w:ascii="Calibri" w:eastAsia="Times New Roman" w:hAnsi="Calibri" w:cs="Times New Roman"/>
          <w:color w:val="000000"/>
        </w:rPr>
      </w:pPr>
    </w:p>
    <w:p w14:paraId="3DA3AFBE" w14:textId="26B50CCD" w:rsidR="009A7839" w:rsidRDefault="009A7839" w:rsidP="009A7839">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00235A05" w:rsidRPr="00235A05">
        <w:rPr>
          <w:rFonts w:ascii="Times New Roman" w:eastAsia="Times New Roman" w:hAnsi="Times New Roman" w:cs="Times New Roman"/>
          <w:i/>
        </w:rPr>
        <w:t xml:space="preserve"> Response:  Yes, the T/D Pole allocation Factor (to estimate the allocation of Pole Attachment Revenues between Distribution Poles and Transmission Poles) was agreed to be based on “Beginning of Year” balances.</w:t>
      </w:r>
    </w:p>
    <w:p w14:paraId="469074A0" w14:textId="77777777" w:rsidR="009A7839" w:rsidRDefault="009A7839" w:rsidP="009A7839">
      <w:pPr>
        <w:pStyle w:val="ListParagraph"/>
        <w:spacing w:after="0"/>
        <w:jc w:val="both"/>
        <w:rPr>
          <w:rFonts w:ascii="Calibri" w:eastAsia="Times New Roman" w:hAnsi="Calibri" w:cs="Times New Roman"/>
          <w:color w:val="000000"/>
        </w:rPr>
      </w:pPr>
    </w:p>
    <w:p w14:paraId="20BC2710" w14:textId="0C903421" w:rsidR="003010F9" w:rsidRDefault="00933E9F" w:rsidP="00261E89">
      <w:pPr>
        <w:pStyle w:val="ListParagraph"/>
        <w:numPr>
          <w:ilvl w:val="0"/>
          <w:numId w:val="1"/>
        </w:numPr>
        <w:spacing w:after="0"/>
        <w:jc w:val="both"/>
        <w:rPr>
          <w:rFonts w:ascii="Calibri" w:eastAsia="Times New Roman" w:hAnsi="Calibri" w:cs="Times New Roman"/>
          <w:color w:val="000000"/>
        </w:rPr>
      </w:pPr>
      <w:r w:rsidRPr="00261E89">
        <w:rPr>
          <w:rFonts w:ascii="Times New Roman" w:eastAsia="Times New Roman" w:hAnsi="Times New Roman" w:cs="Times New Roman"/>
        </w:rPr>
        <w:t>Please provide a detailed explanation of why</w:t>
      </w:r>
      <w:r w:rsidR="003010F9" w:rsidRPr="00261E89">
        <w:rPr>
          <w:rFonts w:ascii="Times New Roman" w:eastAsia="Times New Roman" w:hAnsi="Times New Roman" w:cs="Times New Roman"/>
        </w:rPr>
        <w:t xml:space="preserve"> </w:t>
      </w:r>
      <w:r w:rsidR="003010F9">
        <w:rPr>
          <w:rFonts w:ascii="Times New Roman" w:eastAsia="Times New Roman" w:hAnsi="Times New Roman" w:cs="Times New Roman"/>
        </w:rPr>
        <w:t>“</w:t>
      </w:r>
      <w:r w:rsidR="003010F9" w:rsidRPr="00261E89">
        <w:rPr>
          <w:rFonts w:ascii="Calibri" w:eastAsia="Times New Roman" w:hAnsi="Calibri" w:cs="Times New Roman"/>
          <w:color w:val="000000"/>
        </w:rPr>
        <w:t>Undistributed Stores Expense</w:t>
      </w:r>
      <w:r w:rsidR="003010F9">
        <w:rPr>
          <w:rFonts w:ascii="Calibri" w:eastAsia="Times New Roman" w:hAnsi="Calibri" w:cs="Times New Roman"/>
          <w:color w:val="000000"/>
        </w:rPr>
        <w:t>” decreased by approximately 80% from $36,225 to $7073.</w:t>
      </w:r>
    </w:p>
    <w:p w14:paraId="2ED6F3D8" w14:textId="77777777" w:rsidR="009A7839" w:rsidRDefault="009A7839" w:rsidP="009A7839">
      <w:pPr>
        <w:pStyle w:val="ListParagraph"/>
        <w:spacing w:after="0"/>
        <w:jc w:val="both"/>
        <w:rPr>
          <w:rFonts w:ascii="Times New Roman" w:eastAsia="Times New Roman" w:hAnsi="Times New Roman" w:cs="Times New Roman"/>
        </w:rPr>
      </w:pPr>
    </w:p>
    <w:p w14:paraId="09A79AC4" w14:textId="77777777" w:rsidR="00E6715A" w:rsidRDefault="00E6715A" w:rsidP="00E6715A">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  A purchase requisition was entered with incorrect accounting.  A correcting entry was made.</w:t>
      </w:r>
    </w:p>
    <w:p w14:paraId="07557785" w14:textId="77777777" w:rsidR="009A7839" w:rsidRDefault="009A7839" w:rsidP="009A7839">
      <w:pPr>
        <w:pStyle w:val="ListParagraph"/>
        <w:spacing w:after="0"/>
        <w:jc w:val="both"/>
        <w:rPr>
          <w:rFonts w:ascii="Calibri" w:eastAsia="Times New Roman" w:hAnsi="Calibri" w:cs="Times New Roman"/>
          <w:color w:val="000000"/>
        </w:rPr>
      </w:pPr>
    </w:p>
    <w:p w14:paraId="2FE9AF15" w14:textId="67CA8C74" w:rsidR="003010F9" w:rsidRDefault="003010F9" w:rsidP="00261E89">
      <w:pPr>
        <w:pStyle w:val="ListParagraph"/>
        <w:numPr>
          <w:ilvl w:val="0"/>
          <w:numId w:val="1"/>
        </w:numPr>
        <w:spacing w:after="0"/>
        <w:jc w:val="both"/>
        <w:rPr>
          <w:rFonts w:ascii="Calibri" w:eastAsia="Times New Roman" w:hAnsi="Calibri" w:cs="Times New Roman"/>
          <w:color w:val="000000"/>
        </w:rPr>
      </w:pPr>
      <w:r w:rsidRPr="003010F9">
        <w:rPr>
          <w:rFonts w:ascii="Calibri" w:eastAsia="Times New Roman" w:hAnsi="Calibri" w:cs="Times New Roman"/>
          <w:color w:val="000000"/>
        </w:rPr>
        <w:t xml:space="preserve">Please provide a detailed </w:t>
      </w:r>
      <w:r w:rsidRPr="00261E89">
        <w:rPr>
          <w:rFonts w:ascii="Times New Roman" w:eastAsia="Times New Roman" w:hAnsi="Times New Roman" w:cs="Times New Roman"/>
        </w:rPr>
        <w:t xml:space="preserve">explanation and </w:t>
      </w:r>
      <w:r w:rsidR="0095576D" w:rsidRPr="00261E89">
        <w:rPr>
          <w:rFonts w:ascii="Times New Roman" w:eastAsia="Times New Roman" w:hAnsi="Times New Roman" w:cs="Times New Roman"/>
        </w:rPr>
        <w:t xml:space="preserve">supporting </w:t>
      </w:r>
      <w:r w:rsidRPr="00261E89">
        <w:rPr>
          <w:rFonts w:ascii="Times New Roman" w:eastAsia="Times New Roman" w:hAnsi="Times New Roman" w:cs="Times New Roman"/>
        </w:rPr>
        <w:t>documentation</w:t>
      </w:r>
      <w:r w:rsidRPr="003010F9">
        <w:rPr>
          <w:rFonts w:ascii="Calibri" w:eastAsia="Times New Roman" w:hAnsi="Calibri" w:cs="Times New Roman"/>
          <w:color w:val="000000"/>
        </w:rPr>
        <w:t xml:space="preserve"> for the </w:t>
      </w:r>
      <w:r>
        <w:rPr>
          <w:rFonts w:ascii="Calibri" w:eastAsia="Times New Roman" w:hAnsi="Calibri" w:cs="Times New Roman"/>
          <w:color w:val="000000"/>
        </w:rPr>
        <w:t xml:space="preserve">approximate 13% </w:t>
      </w:r>
      <w:r w:rsidRPr="003010F9">
        <w:rPr>
          <w:rFonts w:ascii="Calibri" w:eastAsia="Times New Roman" w:hAnsi="Calibri" w:cs="Times New Roman"/>
          <w:color w:val="000000"/>
        </w:rPr>
        <w:t>decrea</w:t>
      </w:r>
      <w:r>
        <w:rPr>
          <w:rFonts w:ascii="Calibri" w:eastAsia="Times New Roman" w:hAnsi="Calibri" w:cs="Times New Roman"/>
          <w:color w:val="000000"/>
        </w:rPr>
        <w:t>s</w:t>
      </w:r>
      <w:r w:rsidRPr="003010F9">
        <w:rPr>
          <w:rFonts w:ascii="Calibri" w:eastAsia="Times New Roman" w:hAnsi="Calibri" w:cs="Times New Roman"/>
          <w:color w:val="000000"/>
        </w:rPr>
        <w:t xml:space="preserve">e in the amount for </w:t>
      </w:r>
      <w:r w:rsidR="0094117B">
        <w:rPr>
          <w:rFonts w:ascii="Calibri" w:eastAsia="Times New Roman" w:hAnsi="Calibri" w:cs="Times New Roman"/>
          <w:color w:val="000000"/>
        </w:rPr>
        <w:t>“</w:t>
      </w:r>
      <w:r w:rsidRPr="003010F9">
        <w:rPr>
          <w:rFonts w:ascii="Calibri" w:eastAsia="Times New Roman" w:hAnsi="Calibri" w:cs="Times New Roman"/>
          <w:color w:val="000000"/>
        </w:rPr>
        <w:t>Transmission Materials and Supplies</w:t>
      </w:r>
      <w:r w:rsidR="0094117B">
        <w:rPr>
          <w:rFonts w:ascii="Calibri" w:eastAsia="Times New Roman" w:hAnsi="Calibri" w:cs="Times New Roman"/>
          <w:color w:val="000000"/>
        </w:rPr>
        <w:t>”</w:t>
      </w:r>
      <w:r>
        <w:rPr>
          <w:rFonts w:ascii="Calibri" w:eastAsia="Times New Roman" w:hAnsi="Calibri" w:cs="Times New Roman"/>
          <w:color w:val="000000"/>
        </w:rPr>
        <w:t xml:space="preserve"> which decreased from $2,627,484 to $2,291,764</w:t>
      </w:r>
      <w:r w:rsidRPr="003010F9">
        <w:rPr>
          <w:rFonts w:ascii="Calibri" w:eastAsia="Times New Roman" w:hAnsi="Calibri" w:cs="Times New Roman"/>
          <w:color w:val="000000"/>
        </w:rPr>
        <w:t>?   Also please explain if there been any accounting or other</w:t>
      </w:r>
      <w:r w:rsidR="0095576D">
        <w:rPr>
          <w:rFonts w:ascii="Calibri" w:eastAsia="Times New Roman" w:hAnsi="Calibri" w:cs="Times New Roman"/>
          <w:color w:val="000000"/>
        </w:rPr>
        <w:t xml:space="preserve"> methodology</w:t>
      </w:r>
      <w:r w:rsidRPr="003010F9">
        <w:rPr>
          <w:rFonts w:ascii="Calibri" w:eastAsia="Times New Roman" w:hAnsi="Calibri" w:cs="Times New Roman"/>
          <w:color w:val="000000"/>
        </w:rPr>
        <w:t xml:space="preserve"> changes?</w:t>
      </w:r>
    </w:p>
    <w:p w14:paraId="74D6D8D1" w14:textId="77777777" w:rsidR="009A7839" w:rsidRDefault="009A7839" w:rsidP="009A7839">
      <w:pPr>
        <w:pStyle w:val="ListParagraph"/>
        <w:spacing w:after="0"/>
        <w:jc w:val="both"/>
        <w:rPr>
          <w:rFonts w:ascii="Calibri" w:eastAsia="Times New Roman" w:hAnsi="Calibri" w:cs="Times New Roman"/>
          <w:color w:val="000000"/>
        </w:rPr>
      </w:pPr>
    </w:p>
    <w:p w14:paraId="704B4E89" w14:textId="77777777" w:rsidR="00E6715A" w:rsidRDefault="00E6715A" w:rsidP="00E6715A">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  The Joplin storeroom was closed and a large amount of obsolete and excess inventory was written off.  There has been no accounting or methodology change.</w:t>
      </w:r>
    </w:p>
    <w:p w14:paraId="7148D045" w14:textId="77777777" w:rsidR="009A7839" w:rsidRDefault="009A7839" w:rsidP="009A7839">
      <w:pPr>
        <w:pStyle w:val="ListParagraph"/>
        <w:spacing w:after="0"/>
        <w:jc w:val="both"/>
        <w:rPr>
          <w:rFonts w:ascii="Calibri" w:eastAsia="Times New Roman" w:hAnsi="Calibri" w:cs="Times New Roman"/>
          <w:color w:val="000000"/>
        </w:rPr>
      </w:pPr>
    </w:p>
    <w:p w14:paraId="31976C5C" w14:textId="6974223F" w:rsidR="00C9627F" w:rsidRPr="009A7839" w:rsidRDefault="00933E9F" w:rsidP="00261E89">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 xml:space="preserve">Please </w:t>
      </w:r>
      <w:r w:rsidR="0095576D">
        <w:rPr>
          <w:rFonts w:ascii="Times New Roman" w:eastAsia="Times New Roman" w:hAnsi="Times New Roman" w:cs="Times New Roman"/>
        </w:rPr>
        <w:t xml:space="preserve">provide a detailed explanation and </w:t>
      </w:r>
      <w:r w:rsidR="0095576D" w:rsidRPr="00261E89">
        <w:rPr>
          <w:rFonts w:ascii="Times New Roman" w:eastAsia="Times New Roman" w:hAnsi="Times New Roman" w:cs="Times New Roman"/>
        </w:rPr>
        <w:t>supporting documentation</w:t>
      </w:r>
      <w:r w:rsidR="0095576D">
        <w:rPr>
          <w:rFonts w:ascii="Times New Roman" w:eastAsia="Times New Roman" w:hAnsi="Times New Roman" w:cs="Times New Roman"/>
        </w:rPr>
        <w:t xml:space="preserve"> </w:t>
      </w:r>
      <w:r w:rsidRPr="001552BB">
        <w:rPr>
          <w:rFonts w:ascii="Times New Roman" w:eastAsia="Times New Roman" w:hAnsi="Times New Roman" w:cs="Times New Roman"/>
        </w:rPr>
        <w:t>f</w:t>
      </w:r>
      <w:r w:rsidR="0095576D">
        <w:rPr>
          <w:rFonts w:ascii="Times New Roman" w:eastAsia="Times New Roman" w:hAnsi="Times New Roman" w:cs="Times New Roman"/>
        </w:rPr>
        <w:t>or</w:t>
      </w:r>
      <w:r w:rsidRPr="001552BB">
        <w:rPr>
          <w:rFonts w:ascii="Times New Roman" w:eastAsia="Times New Roman" w:hAnsi="Times New Roman" w:cs="Times New Roman"/>
        </w:rPr>
        <w:t xml:space="preserve"> why</w:t>
      </w:r>
      <w:r w:rsidR="00C9627F">
        <w:rPr>
          <w:rFonts w:ascii="Times New Roman" w:eastAsia="Times New Roman" w:hAnsi="Times New Roman" w:cs="Times New Roman"/>
        </w:rPr>
        <w:t xml:space="preserve"> “</w:t>
      </w:r>
      <w:r w:rsidR="00C9627F" w:rsidRPr="00C9627F">
        <w:rPr>
          <w:rFonts w:ascii="Times New Roman" w:eastAsia="Times New Roman" w:hAnsi="Times New Roman" w:cs="Times New Roman"/>
        </w:rPr>
        <w:t xml:space="preserve">Accumulated Provision for </w:t>
      </w:r>
      <w:r w:rsidR="00C9627F">
        <w:rPr>
          <w:rFonts w:ascii="Times New Roman" w:eastAsia="Times New Roman" w:hAnsi="Times New Roman" w:cs="Times New Roman"/>
        </w:rPr>
        <w:t xml:space="preserve">Injuries and Damages </w:t>
      </w:r>
      <w:r w:rsidR="00C9627F" w:rsidRPr="00C9627F">
        <w:rPr>
          <w:rFonts w:ascii="Times New Roman" w:eastAsia="Times New Roman" w:hAnsi="Times New Roman" w:cs="Times New Roman"/>
        </w:rPr>
        <w:t>(228.2)</w:t>
      </w:r>
      <w:r w:rsidR="00C9627F">
        <w:rPr>
          <w:rFonts w:ascii="Times New Roman" w:eastAsia="Times New Roman" w:hAnsi="Times New Roman" w:cs="Times New Roman"/>
        </w:rPr>
        <w:t>” decreased by approximately 10% from $3,972,401 to $3,565,671.</w:t>
      </w:r>
    </w:p>
    <w:p w14:paraId="116ADB22" w14:textId="77777777" w:rsidR="009A7839" w:rsidRDefault="009A7839" w:rsidP="009A7839">
      <w:pPr>
        <w:pStyle w:val="ListParagraph"/>
        <w:jc w:val="both"/>
        <w:rPr>
          <w:rFonts w:ascii="Times New Roman" w:eastAsia="Times New Roman" w:hAnsi="Times New Roman" w:cs="Times New Roman"/>
        </w:rPr>
      </w:pPr>
    </w:p>
    <w:p w14:paraId="501DD2FE" w14:textId="77777777" w:rsidR="004A169C" w:rsidRDefault="004A169C"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 xml:space="preserve">Response: </w:t>
      </w:r>
      <w:r w:rsidRPr="004A169C">
        <w:rPr>
          <w:rFonts w:ascii="Times New Roman" w:eastAsia="Times New Roman" w:hAnsi="Times New Roman" w:cs="Times New Roman"/>
          <w:i/>
        </w:rPr>
        <w:t>The decrease is primarily related to changes in open litigation reserves. Throughout 2014 the status of multiple actions were reevaluated by legal counsel and the reserves were adjusted accordingly. These reserve adjustments resulted in a decrease of approximately $850,000. Open worker’s compensation reserves were adjusted downward by approximately $99,000 as a result of normal activity (i.e. settlement of claims). These decreases were partially offset by an increase of approximately $509,000 in the healthcare component of the reserve for long term disability. This increase is primarily due to an increase in the actual healthcare spending for these participants. Please see attached for a reconciliation of the changes.</w:t>
      </w:r>
    </w:p>
    <w:p w14:paraId="53D860D6" w14:textId="248CCADB" w:rsidR="005C33A4" w:rsidRPr="004A169C" w:rsidRDefault="005C33A4" w:rsidP="005C33A4">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(Attachment - DR 23.Reconciliation of decrease in account 228.2.xlsx)</w:t>
      </w:r>
    </w:p>
    <w:p w14:paraId="4B6568C3" w14:textId="77777777" w:rsidR="009A7839" w:rsidRDefault="009A7839" w:rsidP="009A7839">
      <w:pPr>
        <w:pStyle w:val="ListParagraph"/>
        <w:jc w:val="both"/>
        <w:rPr>
          <w:rFonts w:ascii="Calibri" w:eastAsia="Times New Roman" w:hAnsi="Calibri" w:cs="Times New Roman"/>
          <w:color w:val="000000"/>
        </w:rPr>
      </w:pPr>
    </w:p>
    <w:p w14:paraId="7B5BDA41" w14:textId="7F2D268E" w:rsidR="00933E9F" w:rsidRPr="009A7839" w:rsidRDefault="00C9627F" w:rsidP="00261E89">
      <w:pPr>
        <w:pStyle w:val="ListParagraph"/>
        <w:numPr>
          <w:ilvl w:val="0"/>
          <w:numId w:val="1"/>
        </w:numPr>
        <w:jc w:val="both"/>
        <w:rPr>
          <w:rFonts w:ascii="Calibri" w:eastAsia="Times New Roman" w:hAnsi="Calibri" w:cs="Times New Roman"/>
          <w:color w:val="000000"/>
        </w:rPr>
      </w:pPr>
      <w:r w:rsidRPr="00C9627F">
        <w:rPr>
          <w:rFonts w:ascii="Times New Roman" w:eastAsia="Times New Roman" w:hAnsi="Times New Roman" w:cs="Times New Roman"/>
        </w:rPr>
        <w:t xml:space="preserve">Please identify the amount of "Debt Hedging Cost" included in the </w:t>
      </w:r>
      <w:r>
        <w:rPr>
          <w:rFonts w:ascii="Times New Roman" w:eastAsia="Times New Roman" w:hAnsi="Times New Roman" w:cs="Times New Roman"/>
        </w:rPr>
        <w:t>“</w:t>
      </w:r>
      <w:r w:rsidRPr="00C9627F">
        <w:rPr>
          <w:rFonts w:ascii="Times New Roman" w:eastAsia="Times New Roman" w:hAnsi="Times New Roman" w:cs="Times New Roman"/>
        </w:rPr>
        <w:t>Amortization Debt Discount and Expense (Acct 428) amount of $558,928 (see Tab 9</w:t>
      </w:r>
      <w:r>
        <w:rPr>
          <w:rFonts w:ascii="Times New Roman" w:eastAsia="Times New Roman" w:hAnsi="Times New Roman" w:cs="Times New Roman"/>
        </w:rPr>
        <w:t>, Line 62).”</w:t>
      </w:r>
      <w:r w:rsidR="0095576D">
        <w:rPr>
          <w:rFonts w:ascii="Times New Roman" w:eastAsia="Times New Roman" w:hAnsi="Times New Roman" w:cs="Times New Roman"/>
        </w:rPr>
        <w:t xml:space="preserve">  Please explain whether the recovery of Debt Hedging Cost is addressed in the TFR formula </w:t>
      </w:r>
      <w:r w:rsidR="00350AAF">
        <w:rPr>
          <w:rFonts w:ascii="Times New Roman" w:eastAsia="Times New Roman" w:hAnsi="Times New Roman" w:cs="Times New Roman"/>
        </w:rPr>
        <w:t>template.</w:t>
      </w:r>
    </w:p>
    <w:p w14:paraId="0C70F0A3" w14:textId="77777777" w:rsidR="009A7839" w:rsidRDefault="009A7839" w:rsidP="009A7839">
      <w:pPr>
        <w:pStyle w:val="ListParagraph"/>
        <w:jc w:val="both"/>
        <w:rPr>
          <w:rFonts w:ascii="Times New Roman" w:eastAsia="Times New Roman" w:hAnsi="Times New Roman" w:cs="Times New Roman"/>
        </w:rPr>
      </w:pPr>
    </w:p>
    <w:p w14:paraId="026AED39" w14:textId="44553267" w:rsidR="00706081" w:rsidRDefault="00706081" w:rsidP="00706081">
      <w:pPr>
        <w:pStyle w:val="ListParagraph"/>
        <w:jc w:val="both"/>
        <w:rPr>
          <w:rFonts w:ascii="Times New Roman" w:hAnsi="Times New Roman"/>
          <w:i/>
          <w:iCs/>
        </w:rPr>
      </w:pPr>
      <w:r>
        <w:rPr>
          <w:rFonts w:ascii="Times New Roman" w:hAnsi="Times New Roman"/>
          <w:i/>
          <w:iCs/>
        </w:rPr>
        <w:t xml:space="preserve">Response: Debt hedging cost included in the 428 accounts equals a </w:t>
      </w:r>
      <w:r>
        <w:rPr>
          <w:rFonts w:ascii="Times New Roman" w:hAnsi="Times New Roman"/>
          <w:i/>
          <w:iCs/>
          <w:u w:val="single"/>
        </w:rPr>
        <w:t xml:space="preserve">credit </w:t>
      </w:r>
      <w:r>
        <w:rPr>
          <w:rFonts w:ascii="Times New Roman" w:hAnsi="Times New Roman"/>
          <w:i/>
          <w:iCs/>
        </w:rPr>
        <w:t>(lowering expense) of $123,779.64.</w:t>
      </w:r>
      <w:r w:rsidR="005E145B">
        <w:rPr>
          <w:rFonts w:ascii="Times New Roman" w:hAnsi="Times New Roman"/>
          <w:i/>
          <w:iCs/>
        </w:rPr>
        <w:t xml:space="preserve">  </w:t>
      </w:r>
      <w:r w:rsidR="005E145B" w:rsidRPr="005E145B">
        <w:rPr>
          <w:rFonts w:ascii="Times New Roman" w:hAnsi="Times New Roman"/>
          <w:i/>
          <w:iCs/>
        </w:rPr>
        <w:t xml:space="preserve">The Debt Hedging expense is included in Attachment 9 of the TFR, Page 2, </w:t>
      </w:r>
      <w:proofErr w:type="gramStart"/>
      <w:r w:rsidR="005E145B" w:rsidRPr="005E145B">
        <w:rPr>
          <w:rFonts w:ascii="Times New Roman" w:hAnsi="Times New Roman"/>
          <w:i/>
          <w:iCs/>
        </w:rPr>
        <w:t>Line</w:t>
      </w:r>
      <w:proofErr w:type="gramEnd"/>
      <w:r w:rsidR="005E145B" w:rsidRPr="005E145B">
        <w:rPr>
          <w:rFonts w:ascii="Times New Roman" w:hAnsi="Times New Roman"/>
          <w:i/>
          <w:iCs/>
        </w:rPr>
        <w:t xml:space="preserve"> 2.</w:t>
      </w:r>
    </w:p>
    <w:p w14:paraId="63CC50FD" w14:textId="77777777" w:rsidR="009A7839" w:rsidRDefault="009A7839" w:rsidP="009A7839">
      <w:pPr>
        <w:pStyle w:val="ListParagraph"/>
        <w:jc w:val="both"/>
        <w:rPr>
          <w:rFonts w:ascii="Calibri" w:eastAsia="Times New Roman" w:hAnsi="Calibri" w:cs="Times New Roman"/>
          <w:color w:val="000000"/>
        </w:rPr>
      </w:pPr>
    </w:p>
    <w:p w14:paraId="222E4674" w14:textId="1DC9BF16" w:rsidR="00933E9F" w:rsidRPr="009A7839" w:rsidRDefault="00933E9F" w:rsidP="00261E89">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 of why</w:t>
      </w:r>
      <w:r w:rsidR="00C9627F">
        <w:rPr>
          <w:rFonts w:ascii="Times New Roman" w:eastAsia="Times New Roman" w:hAnsi="Times New Roman" w:cs="Times New Roman"/>
        </w:rPr>
        <w:t xml:space="preserve"> “</w:t>
      </w:r>
      <w:r w:rsidR="00C9627F" w:rsidRPr="00C9627F">
        <w:rPr>
          <w:rFonts w:ascii="Times New Roman" w:eastAsia="Times New Roman" w:hAnsi="Times New Roman" w:cs="Times New Roman"/>
        </w:rPr>
        <w:t>Actual PBOP expense</w:t>
      </w:r>
      <w:r w:rsidR="00C9627F">
        <w:rPr>
          <w:rFonts w:ascii="Times New Roman" w:eastAsia="Times New Roman" w:hAnsi="Times New Roman" w:cs="Times New Roman"/>
        </w:rPr>
        <w:t>” decreased by approximately 9% from $2,177,753 to $1,988,840.</w:t>
      </w:r>
    </w:p>
    <w:p w14:paraId="304BE775" w14:textId="77777777" w:rsidR="009A7839" w:rsidRDefault="009A7839" w:rsidP="009A7839">
      <w:pPr>
        <w:pStyle w:val="ListParagraph"/>
        <w:jc w:val="both"/>
        <w:rPr>
          <w:rFonts w:ascii="Times New Roman" w:eastAsia="Times New Roman" w:hAnsi="Times New Roman" w:cs="Times New Roman"/>
        </w:rPr>
      </w:pPr>
    </w:p>
    <w:p w14:paraId="33DA3933" w14:textId="77777777" w:rsidR="004A169C" w:rsidRPr="004A169C" w:rsidRDefault="004A169C"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 xml:space="preserve">Response: </w:t>
      </w:r>
      <w:r w:rsidRPr="004A169C">
        <w:rPr>
          <w:rFonts w:ascii="Times New Roman" w:eastAsia="Times New Roman" w:hAnsi="Times New Roman" w:cs="Times New Roman"/>
          <w:i/>
        </w:rPr>
        <w:t>The decrease in PBOP expense is primarily related to an increase in the discount rate used to measure the plan.  The discount rate is set at the end of the calendar year for the measurement of the plan as of 1/1 the subsequent year.  At the end of 2013, discount rates increased approximately 89 basis points.  As a result, the discount rate used by the Actuary increased from 4.11% to 5.0% resulting in a decrease in the net periodic benefit cost of the plan.</w:t>
      </w:r>
    </w:p>
    <w:p w14:paraId="6AFB3C68" w14:textId="77777777" w:rsidR="009A7839" w:rsidRDefault="009A7839" w:rsidP="009A7839">
      <w:pPr>
        <w:pStyle w:val="ListParagraph"/>
        <w:jc w:val="both"/>
        <w:rPr>
          <w:rFonts w:ascii="Calibri" w:eastAsia="Times New Roman" w:hAnsi="Calibri" w:cs="Times New Roman"/>
          <w:color w:val="000000"/>
        </w:rPr>
      </w:pPr>
    </w:p>
    <w:p w14:paraId="1092BE30" w14:textId="3C8CC9A8" w:rsidR="00C57906" w:rsidRPr="009A7839" w:rsidRDefault="00C9627F" w:rsidP="00C57906">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w:t>
      </w:r>
      <w:r w:rsidR="00350AAF">
        <w:rPr>
          <w:rFonts w:ascii="Times New Roman" w:eastAsia="Times New Roman" w:hAnsi="Times New Roman" w:cs="Times New Roman"/>
        </w:rPr>
        <w:t xml:space="preserve"> and </w:t>
      </w:r>
      <w:r w:rsidR="00350AAF" w:rsidRPr="00261E89">
        <w:rPr>
          <w:rFonts w:ascii="Times New Roman" w:eastAsia="Times New Roman" w:hAnsi="Times New Roman" w:cs="Times New Roman"/>
        </w:rPr>
        <w:t>supporting documentation</w:t>
      </w:r>
      <w:r w:rsidR="00350AAF">
        <w:rPr>
          <w:rFonts w:ascii="Times New Roman" w:eastAsia="Times New Roman" w:hAnsi="Times New Roman" w:cs="Times New Roman"/>
        </w:rPr>
        <w:t xml:space="preserve"> </w:t>
      </w:r>
      <w:r w:rsidRPr="001552BB">
        <w:rPr>
          <w:rFonts w:ascii="Times New Roman" w:eastAsia="Times New Roman" w:hAnsi="Times New Roman" w:cs="Times New Roman"/>
        </w:rPr>
        <w:t>f</w:t>
      </w:r>
      <w:r w:rsidR="00350AAF">
        <w:rPr>
          <w:rFonts w:ascii="Times New Roman" w:eastAsia="Times New Roman" w:hAnsi="Times New Roman" w:cs="Times New Roman"/>
        </w:rPr>
        <w:t>or</w:t>
      </w:r>
      <w:r w:rsidRPr="001552BB">
        <w:rPr>
          <w:rFonts w:ascii="Times New Roman" w:eastAsia="Times New Roman" w:hAnsi="Times New Roman" w:cs="Times New Roman"/>
        </w:rPr>
        <w:t xml:space="preserve"> why</w:t>
      </w:r>
      <w:r>
        <w:rPr>
          <w:rFonts w:ascii="Times New Roman" w:eastAsia="Times New Roman" w:hAnsi="Times New Roman" w:cs="Times New Roman"/>
        </w:rPr>
        <w:t xml:space="preserve"> “</w:t>
      </w:r>
      <w:r w:rsidRPr="00C9627F">
        <w:rPr>
          <w:rFonts w:ascii="Times New Roman" w:eastAsia="Times New Roman" w:hAnsi="Times New Roman" w:cs="Times New Roman"/>
        </w:rPr>
        <w:t>A</w:t>
      </w:r>
      <w:r w:rsidR="00C57906">
        <w:rPr>
          <w:rFonts w:ascii="Times New Roman" w:eastAsia="Times New Roman" w:hAnsi="Times New Roman" w:cs="Times New Roman"/>
        </w:rPr>
        <w:t>&amp;G Salaries” increased by approximately 23% from $9,748,</w:t>
      </w:r>
      <w:r>
        <w:rPr>
          <w:rFonts w:ascii="Times New Roman" w:eastAsia="Times New Roman" w:hAnsi="Times New Roman" w:cs="Times New Roman"/>
        </w:rPr>
        <w:t>3</w:t>
      </w:r>
      <w:r w:rsidR="00C57906">
        <w:rPr>
          <w:rFonts w:ascii="Times New Roman" w:eastAsia="Times New Roman" w:hAnsi="Times New Roman" w:cs="Times New Roman"/>
        </w:rPr>
        <w:t>88 to $12</w:t>
      </w:r>
      <w:r>
        <w:rPr>
          <w:rFonts w:ascii="Times New Roman" w:eastAsia="Times New Roman" w:hAnsi="Times New Roman" w:cs="Times New Roman"/>
        </w:rPr>
        <w:t>,</w:t>
      </w:r>
      <w:r w:rsidR="00C57906">
        <w:rPr>
          <w:rFonts w:ascii="Times New Roman" w:eastAsia="Times New Roman" w:hAnsi="Times New Roman" w:cs="Times New Roman"/>
        </w:rPr>
        <w:t>009</w:t>
      </w:r>
      <w:r>
        <w:rPr>
          <w:rFonts w:ascii="Times New Roman" w:eastAsia="Times New Roman" w:hAnsi="Times New Roman" w:cs="Times New Roman"/>
        </w:rPr>
        <w:t>,</w:t>
      </w:r>
      <w:r w:rsidR="00C57906">
        <w:rPr>
          <w:rFonts w:ascii="Times New Roman" w:eastAsia="Times New Roman" w:hAnsi="Times New Roman" w:cs="Times New Roman"/>
        </w:rPr>
        <w:t>5</w:t>
      </w:r>
      <w:r>
        <w:rPr>
          <w:rFonts w:ascii="Times New Roman" w:eastAsia="Times New Roman" w:hAnsi="Times New Roman" w:cs="Times New Roman"/>
        </w:rPr>
        <w:t>8</w:t>
      </w:r>
      <w:r w:rsidR="00C57906">
        <w:rPr>
          <w:rFonts w:ascii="Times New Roman" w:eastAsia="Times New Roman" w:hAnsi="Times New Roman" w:cs="Times New Roman"/>
        </w:rPr>
        <w:t>7</w:t>
      </w:r>
      <w:r>
        <w:rPr>
          <w:rFonts w:ascii="Times New Roman" w:eastAsia="Times New Roman" w:hAnsi="Times New Roman" w:cs="Times New Roman"/>
        </w:rPr>
        <w:t>.</w:t>
      </w:r>
      <w:r w:rsidR="00C57906" w:rsidRPr="00C57906">
        <w:rPr>
          <w:rFonts w:ascii="Times New Roman" w:eastAsia="Times New Roman" w:hAnsi="Times New Roman" w:cs="Times New Roman"/>
        </w:rPr>
        <w:t xml:space="preserve"> </w:t>
      </w:r>
    </w:p>
    <w:p w14:paraId="434957DE" w14:textId="77777777" w:rsidR="009A7839" w:rsidRDefault="009A7839" w:rsidP="009A7839">
      <w:pPr>
        <w:pStyle w:val="ListParagraph"/>
        <w:jc w:val="both"/>
        <w:rPr>
          <w:rFonts w:ascii="Times New Roman" w:eastAsia="Times New Roman" w:hAnsi="Times New Roman" w:cs="Times New Roman"/>
        </w:rPr>
      </w:pPr>
    </w:p>
    <w:p w14:paraId="5F7FBDB2" w14:textId="06E019F7" w:rsidR="009A7839" w:rsidRDefault="009A7839" w:rsidP="009A7839">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00397A83">
        <w:rPr>
          <w:rFonts w:ascii="Times New Roman" w:eastAsia="Times New Roman" w:hAnsi="Times New Roman" w:cs="Times New Roman"/>
          <w:i/>
        </w:rPr>
        <w:t xml:space="preserve"> See response to No. 19 above.</w:t>
      </w:r>
    </w:p>
    <w:p w14:paraId="6FBCC3AD" w14:textId="77777777" w:rsidR="009A7839" w:rsidRDefault="009A7839" w:rsidP="009A7839">
      <w:pPr>
        <w:pStyle w:val="ListParagraph"/>
        <w:jc w:val="both"/>
        <w:rPr>
          <w:rFonts w:ascii="Calibri" w:eastAsia="Times New Roman" w:hAnsi="Calibri" w:cs="Times New Roman"/>
          <w:color w:val="000000"/>
        </w:rPr>
      </w:pPr>
    </w:p>
    <w:p w14:paraId="6580D051" w14:textId="42F5DC9E" w:rsidR="00C57906" w:rsidRPr="009A7839" w:rsidRDefault="00C57906" w:rsidP="00C57906">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 of why</w:t>
      </w:r>
      <w:r>
        <w:rPr>
          <w:rFonts w:ascii="Times New Roman" w:eastAsia="Times New Roman" w:hAnsi="Times New Roman" w:cs="Times New Roman"/>
        </w:rPr>
        <w:t xml:space="preserve"> “</w:t>
      </w:r>
      <w:r w:rsidRPr="00C57906">
        <w:rPr>
          <w:rFonts w:ascii="Times New Roman" w:eastAsia="Times New Roman" w:hAnsi="Times New Roman" w:cs="Times New Roman"/>
        </w:rPr>
        <w:t>Office Supplies and Expenses</w:t>
      </w:r>
      <w:r>
        <w:rPr>
          <w:rFonts w:ascii="Times New Roman" w:eastAsia="Times New Roman" w:hAnsi="Times New Roman" w:cs="Times New Roman"/>
        </w:rPr>
        <w:t>” increased by approximately 6% from $3,288,752 to $3,497,134.</w:t>
      </w:r>
      <w:r w:rsidRPr="00C57906">
        <w:rPr>
          <w:rFonts w:ascii="Times New Roman" w:eastAsia="Times New Roman" w:hAnsi="Times New Roman" w:cs="Times New Roman"/>
        </w:rPr>
        <w:t xml:space="preserve"> </w:t>
      </w:r>
    </w:p>
    <w:p w14:paraId="37ABB07F" w14:textId="77777777" w:rsidR="009A7839" w:rsidRDefault="009A7839" w:rsidP="009A7839">
      <w:pPr>
        <w:pStyle w:val="ListParagraph"/>
        <w:jc w:val="both"/>
        <w:rPr>
          <w:rFonts w:ascii="Times New Roman" w:eastAsia="Times New Roman" w:hAnsi="Times New Roman" w:cs="Times New Roman"/>
        </w:rPr>
      </w:pPr>
    </w:p>
    <w:p w14:paraId="2DF22454" w14:textId="7BA11122" w:rsidR="004A169C" w:rsidRPr="005D50F6" w:rsidRDefault="004A169C" w:rsidP="004A169C">
      <w:pPr>
        <w:pStyle w:val="ListParagraph"/>
        <w:tabs>
          <w:tab w:val="left" w:pos="810"/>
        </w:tabs>
        <w:jc w:val="both"/>
        <w:rPr>
          <w:rFonts w:ascii="Times New Roman" w:eastAsia="Times New Roman" w:hAnsi="Times New Roman" w:cs="Times New Roman"/>
          <w:i/>
        </w:rPr>
      </w:pPr>
      <w:r w:rsidRPr="005D50F6">
        <w:rPr>
          <w:rFonts w:ascii="Times New Roman" w:eastAsia="Times New Roman" w:hAnsi="Times New Roman" w:cs="Times New Roman"/>
          <w:i/>
        </w:rPr>
        <w:t xml:space="preserve">Response: </w:t>
      </w:r>
      <w:r w:rsidR="005D50F6" w:rsidRPr="005D50F6">
        <w:rPr>
          <w:rFonts w:ascii="Times New Roman" w:eastAsia="Times New Roman" w:hAnsi="Times New Roman" w:cs="Times New Roman"/>
          <w:i/>
        </w:rPr>
        <w:t>Corporate donations to United Way agencies were erroneously recorded in this account totaling $194,029 during 2014 only and will be reclassified to the appropriate account and reduce the revenue requirement slightly.  The remaining increase in this account is due to fluctuations associated with normal business activity.</w:t>
      </w:r>
    </w:p>
    <w:p w14:paraId="07633947" w14:textId="1BD82D32" w:rsidR="005C33A4" w:rsidRPr="004A169C" w:rsidRDefault="005C33A4" w:rsidP="005C33A4">
      <w:pPr>
        <w:pStyle w:val="ListParagraph"/>
        <w:tabs>
          <w:tab w:val="left" w:pos="810"/>
        </w:tabs>
        <w:jc w:val="both"/>
        <w:rPr>
          <w:rFonts w:ascii="Times New Roman" w:eastAsia="Times New Roman" w:hAnsi="Times New Roman" w:cs="Times New Roman"/>
          <w:i/>
        </w:rPr>
      </w:pPr>
    </w:p>
    <w:p w14:paraId="509EBA26" w14:textId="77777777" w:rsidR="009A7839" w:rsidRDefault="009A7839" w:rsidP="009A7839">
      <w:pPr>
        <w:pStyle w:val="ListParagraph"/>
        <w:jc w:val="both"/>
        <w:rPr>
          <w:rFonts w:ascii="Calibri" w:eastAsia="Times New Roman" w:hAnsi="Calibri" w:cs="Times New Roman"/>
          <w:color w:val="000000"/>
        </w:rPr>
      </w:pPr>
    </w:p>
    <w:p w14:paraId="27D61410" w14:textId="77FFDFBF" w:rsidR="00C57906" w:rsidRPr="009A7839" w:rsidRDefault="00C57906" w:rsidP="00C57906">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 of why</w:t>
      </w:r>
      <w:r>
        <w:rPr>
          <w:rFonts w:ascii="Times New Roman" w:eastAsia="Times New Roman" w:hAnsi="Times New Roman" w:cs="Times New Roman"/>
        </w:rPr>
        <w:t xml:space="preserve"> “</w:t>
      </w:r>
      <w:r w:rsidRPr="00C57906">
        <w:rPr>
          <w:rFonts w:ascii="Times New Roman" w:eastAsia="Times New Roman" w:hAnsi="Times New Roman" w:cs="Times New Roman"/>
        </w:rPr>
        <w:t>Transferred Credit</w:t>
      </w:r>
      <w:r>
        <w:rPr>
          <w:rFonts w:ascii="Times New Roman" w:eastAsia="Times New Roman" w:hAnsi="Times New Roman" w:cs="Times New Roman"/>
        </w:rPr>
        <w:t>” increased by approximately 9% from ($2,661,940 to $2,900,532.</w:t>
      </w:r>
      <w:r w:rsidRPr="00C57906">
        <w:rPr>
          <w:rFonts w:ascii="Times New Roman" w:eastAsia="Times New Roman" w:hAnsi="Times New Roman" w:cs="Times New Roman"/>
        </w:rPr>
        <w:t xml:space="preserve"> </w:t>
      </w:r>
    </w:p>
    <w:p w14:paraId="74581E9D" w14:textId="77777777" w:rsidR="009A7839" w:rsidRDefault="009A7839" w:rsidP="009A7839">
      <w:pPr>
        <w:pStyle w:val="ListParagraph"/>
        <w:jc w:val="both"/>
        <w:rPr>
          <w:rFonts w:ascii="Times New Roman" w:eastAsia="Times New Roman" w:hAnsi="Times New Roman" w:cs="Times New Roman"/>
        </w:rPr>
      </w:pPr>
    </w:p>
    <w:p w14:paraId="441F6A44" w14:textId="61AE3D7A" w:rsidR="002521B7" w:rsidRPr="002521B7" w:rsidRDefault="009A7839" w:rsidP="002521B7">
      <w:pPr>
        <w:pStyle w:val="ListParagraph"/>
        <w:jc w:val="both"/>
        <w:rPr>
          <w:rFonts w:ascii="Times New Roman" w:hAnsi="Times New Roman"/>
          <w:i/>
          <w:iCs/>
        </w:rPr>
      </w:pPr>
      <w:r>
        <w:rPr>
          <w:rFonts w:ascii="Times New Roman" w:eastAsia="Times New Roman" w:hAnsi="Times New Roman" w:cs="Times New Roman"/>
          <w:i/>
        </w:rPr>
        <w:t>Response:</w:t>
      </w:r>
      <w:r w:rsidR="002521B7" w:rsidRPr="002521B7">
        <w:rPr>
          <w:rFonts w:ascii="Times New Roman" w:hAnsi="Times New Roman"/>
          <w:i/>
          <w:iCs/>
        </w:rPr>
        <w:t xml:space="preserve"> </w:t>
      </w:r>
      <w:r w:rsidR="002521B7">
        <w:rPr>
          <w:rFonts w:ascii="Times New Roman" w:hAnsi="Times New Roman"/>
          <w:i/>
          <w:iCs/>
        </w:rPr>
        <w:t>The increase relates to overhead account increases explained elsewhere. As those costs go up, the “transferred credit” account will also increase as it is reallocating costs from certain expenses to capital for our various business units.</w:t>
      </w:r>
      <w:r w:rsidR="00B63165">
        <w:rPr>
          <w:rFonts w:ascii="Times New Roman" w:hAnsi="Times New Roman"/>
          <w:i/>
          <w:iCs/>
        </w:rPr>
        <w:t xml:space="preserve"> </w:t>
      </w:r>
      <w:r w:rsidR="002521B7">
        <w:rPr>
          <w:rFonts w:ascii="Times New Roman" w:hAnsi="Times New Roman"/>
          <w:i/>
          <w:iCs/>
        </w:rPr>
        <w:t>(Overhead allocation process</w:t>
      </w:r>
      <w:r w:rsidR="00B63165">
        <w:rPr>
          <w:rFonts w:ascii="Times New Roman" w:hAnsi="Times New Roman"/>
          <w:i/>
          <w:iCs/>
        </w:rPr>
        <w:t>)</w:t>
      </w:r>
    </w:p>
    <w:p w14:paraId="739B72EE" w14:textId="77777777" w:rsidR="009A7839" w:rsidRDefault="009A7839" w:rsidP="009A7839">
      <w:pPr>
        <w:pStyle w:val="ListParagraph"/>
        <w:jc w:val="both"/>
        <w:rPr>
          <w:rFonts w:ascii="Calibri" w:eastAsia="Times New Roman" w:hAnsi="Calibri" w:cs="Times New Roman"/>
          <w:color w:val="000000"/>
        </w:rPr>
      </w:pPr>
    </w:p>
    <w:p w14:paraId="6F0C5B91" w14:textId="1228EB17" w:rsidR="00C57906" w:rsidRPr="009A7839" w:rsidRDefault="00C57906" w:rsidP="00C57906">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w:t>
      </w:r>
      <w:r w:rsidR="00350AAF">
        <w:rPr>
          <w:rFonts w:ascii="Times New Roman" w:eastAsia="Times New Roman" w:hAnsi="Times New Roman" w:cs="Times New Roman"/>
        </w:rPr>
        <w:t xml:space="preserve"> and </w:t>
      </w:r>
      <w:r w:rsidR="00350AAF" w:rsidRPr="001552BB">
        <w:rPr>
          <w:rFonts w:ascii="Times New Roman" w:eastAsia="Times New Roman" w:hAnsi="Times New Roman" w:cs="Times New Roman"/>
        </w:rPr>
        <w:t>supporting documentation</w:t>
      </w:r>
      <w:r w:rsidR="00350AAF">
        <w:rPr>
          <w:rFonts w:ascii="Times New Roman" w:eastAsia="Times New Roman" w:hAnsi="Times New Roman" w:cs="Times New Roman"/>
        </w:rPr>
        <w:t xml:space="preserve"> </w:t>
      </w:r>
      <w:r w:rsidR="00350AAF" w:rsidRPr="001552BB">
        <w:rPr>
          <w:rFonts w:ascii="Times New Roman" w:eastAsia="Times New Roman" w:hAnsi="Times New Roman" w:cs="Times New Roman"/>
        </w:rPr>
        <w:t>f</w:t>
      </w:r>
      <w:r w:rsidR="00350AAF">
        <w:rPr>
          <w:rFonts w:ascii="Times New Roman" w:eastAsia="Times New Roman" w:hAnsi="Times New Roman" w:cs="Times New Roman"/>
        </w:rPr>
        <w:t>or</w:t>
      </w:r>
      <w:r w:rsidRPr="001552BB">
        <w:rPr>
          <w:rFonts w:ascii="Times New Roman" w:eastAsia="Times New Roman" w:hAnsi="Times New Roman" w:cs="Times New Roman"/>
        </w:rPr>
        <w:t xml:space="preserve"> </w:t>
      </w:r>
      <w:r w:rsidR="00350AAF">
        <w:rPr>
          <w:rFonts w:ascii="Times New Roman" w:eastAsia="Times New Roman" w:hAnsi="Times New Roman" w:cs="Times New Roman"/>
        </w:rPr>
        <w:t>w</w:t>
      </w:r>
      <w:r w:rsidRPr="001552BB">
        <w:rPr>
          <w:rFonts w:ascii="Times New Roman" w:eastAsia="Times New Roman" w:hAnsi="Times New Roman" w:cs="Times New Roman"/>
        </w:rPr>
        <w:t>hy</w:t>
      </w:r>
      <w:r>
        <w:rPr>
          <w:rFonts w:ascii="Times New Roman" w:eastAsia="Times New Roman" w:hAnsi="Times New Roman" w:cs="Times New Roman"/>
        </w:rPr>
        <w:t xml:space="preserve"> “</w:t>
      </w:r>
      <w:r w:rsidRPr="00C57906">
        <w:rPr>
          <w:rFonts w:ascii="Times New Roman" w:eastAsia="Times New Roman" w:hAnsi="Times New Roman" w:cs="Times New Roman"/>
        </w:rPr>
        <w:t>Outside Services</w:t>
      </w:r>
      <w:r>
        <w:rPr>
          <w:rFonts w:ascii="Times New Roman" w:eastAsia="Times New Roman" w:hAnsi="Times New Roman" w:cs="Times New Roman"/>
        </w:rPr>
        <w:t>” decreased by approximately 9% from $3,410,479 to $3,110,063.</w:t>
      </w:r>
    </w:p>
    <w:p w14:paraId="2D950514" w14:textId="77777777" w:rsidR="009A7839" w:rsidRDefault="009A7839" w:rsidP="009A7839">
      <w:pPr>
        <w:pStyle w:val="ListParagraph"/>
        <w:jc w:val="both"/>
        <w:rPr>
          <w:rFonts w:ascii="Times New Roman" w:eastAsia="Times New Roman" w:hAnsi="Times New Roman" w:cs="Times New Roman"/>
        </w:rPr>
      </w:pPr>
    </w:p>
    <w:p w14:paraId="398E0F34" w14:textId="22193C4C" w:rsidR="009A7839" w:rsidRDefault="009A7839" w:rsidP="009A7839">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00397A83">
        <w:rPr>
          <w:rFonts w:ascii="Times New Roman" w:eastAsia="Times New Roman" w:hAnsi="Times New Roman" w:cs="Times New Roman"/>
          <w:i/>
        </w:rPr>
        <w:t xml:space="preserve"> We are required to file an Integrated Resource Plan (IRP) every 3 years.  The change in outside service expense is mainly related to expenses associated with this required filing.</w:t>
      </w:r>
    </w:p>
    <w:p w14:paraId="48F0AA67" w14:textId="77777777" w:rsidR="009A7839" w:rsidRDefault="009A7839" w:rsidP="009A7839">
      <w:pPr>
        <w:pStyle w:val="ListParagraph"/>
        <w:jc w:val="both"/>
        <w:rPr>
          <w:rFonts w:ascii="Calibri" w:eastAsia="Times New Roman" w:hAnsi="Calibri" w:cs="Times New Roman"/>
          <w:color w:val="000000"/>
        </w:rPr>
      </w:pPr>
    </w:p>
    <w:p w14:paraId="437D8E25" w14:textId="09088792" w:rsidR="00C57906" w:rsidRPr="009A7839" w:rsidRDefault="00C57906" w:rsidP="00C57906">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lastRenderedPageBreak/>
        <w:t xml:space="preserve">Please provide a detailed explanation </w:t>
      </w:r>
      <w:r w:rsidR="00350AAF">
        <w:rPr>
          <w:rFonts w:ascii="Times New Roman" w:eastAsia="Times New Roman" w:hAnsi="Times New Roman" w:cs="Times New Roman"/>
        </w:rPr>
        <w:t xml:space="preserve">and </w:t>
      </w:r>
      <w:r w:rsidR="00350AAF" w:rsidRPr="001552BB">
        <w:rPr>
          <w:rFonts w:ascii="Times New Roman" w:eastAsia="Times New Roman" w:hAnsi="Times New Roman" w:cs="Times New Roman"/>
        </w:rPr>
        <w:t>supporting documentation</w:t>
      </w:r>
      <w:r w:rsidR="00350AAF">
        <w:rPr>
          <w:rFonts w:ascii="Times New Roman" w:eastAsia="Times New Roman" w:hAnsi="Times New Roman" w:cs="Times New Roman"/>
        </w:rPr>
        <w:t xml:space="preserve"> </w:t>
      </w:r>
      <w:r w:rsidR="00350AAF" w:rsidRPr="001552BB">
        <w:rPr>
          <w:rFonts w:ascii="Times New Roman" w:eastAsia="Times New Roman" w:hAnsi="Times New Roman" w:cs="Times New Roman"/>
        </w:rPr>
        <w:t>f</w:t>
      </w:r>
      <w:r w:rsidR="00350AAF">
        <w:rPr>
          <w:rFonts w:ascii="Times New Roman" w:eastAsia="Times New Roman" w:hAnsi="Times New Roman" w:cs="Times New Roman"/>
        </w:rPr>
        <w:t>or</w:t>
      </w:r>
      <w:r w:rsidR="00350AAF" w:rsidRPr="001552BB">
        <w:rPr>
          <w:rFonts w:ascii="Times New Roman" w:eastAsia="Times New Roman" w:hAnsi="Times New Roman" w:cs="Times New Roman"/>
        </w:rPr>
        <w:t xml:space="preserve"> </w:t>
      </w:r>
      <w:r w:rsidRPr="001552BB">
        <w:rPr>
          <w:rFonts w:ascii="Times New Roman" w:eastAsia="Times New Roman" w:hAnsi="Times New Roman" w:cs="Times New Roman"/>
        </w:rPr>
        <w:t>why</w:t>
      </w:r>
      <w:r>
        <w:rPr>
          <w:rFonts w:ascii="Times New Roman" w:eastAsia="Times New Roman" w:hAnsi="Times New Roman" w:cs="Times New Roman"/>
        </w:rPr>
        <w:t xml:space="preserve"> “</w:t>
      </w:r>
      <w:r w:rsidRPr="00C57906">
        <w:rPr>
          <w:rFonts w:ascii="Times New Roman" w:eastAsia="Times New Roman" w:hAnsi="Times New Roman" w:cs="Times New Roman"/>
        </w:rPr>
        <w:t>Injuries and Damages</w:t>
      </w:r>
      <w:r>
        <w:rPr>
          <w:rFonts w:ascii="Times New Roman" w:eastAsia="Times New Roman" w:hAnsi="Times New Roman" w:cs="Times New Roman"/>
        </w:rPr>
        <w:t>” decreased by approximately 11% from $920,790 to $823,637.</w:t>
      </w:r>
      <w:r w:rsidRPr="00C57906">
        <w:rPr>
          <w:rFonts w:ascii="Times New Roman" w:eastAsia="Times New Roman" w:hAnsi="Times New Roman" w:cs="Times New Roman"/>
        </w:rPr>
        <w:t xml:space="preserve"> </w:t>
      </w:r>
    </w:p>
    <w:p w14:paraId="53C61EF6" w14:textId="77777777" w:rsidR="009A7839" w:rsidRDefault="009A7839" w:rsidP="009A7839">
      <w:pPr>
        <w:pStyle w:val="ListParagraph"/>
        <w:jc w:val="both"/>
        <w:rPr>
          <w:rFonts w:ascii="Times New Roman" w:eastAsia="Times New Roman" w:hAnsi="Times New Roman" w:cs="Times New Roman"/>
        </w:rPr>
      </w:pPr>
    </w:p>
    <w:p w14:paraId="173C0E8E" w14:textId="77777777" w:rsidR="005C33A4" w:rsidRDefault="004A169C"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Pr="004A169C">
        <w:rPr>
          <w:rFonts w:ascii="Times New Roman" w:eastAsia="Times New Roman" w:hAnsi="Times New Roman" w:cs="Times New Roman"/>
          <w:i/>
        </w:rPr>
        <w:t xml:space="preserve"> The decrease in this account is directly related to the decrease discussed in question 23. Throughout 2014 Empire had a positive claims experience that resulted in lower payments.  Additionally, as discussed in question 23, the reserve for the provision for injuries and damages was revised downward, which lowers the amount of expense recognized. Please see the attached</w:t>
      </w:r>
      <w:r w:rsidR="005C33A4">
        <w:rPr>
          <w:rFonts w:ascii="Times New Roman" w:eastAsia="Times New Roman" w:hAnsi="Times New Roman" w:cs="Times New Roman"/>
          <w:i/>
        </w:rPr>
        <w:t xml:space="preserve"> </w:t>
      </w:r>
      <w:r w:rsidRPr="004A169C">
        <w:rPr>
          <w:rFonts w:ascii="Times New Roman" w:eastAsia="Times New Roman" w:hAnsi="Times New Roman" w:cs="Times New Roman"/>
          <w:i/>
        </w:rPr>
        <w:t>reconciliation of changes to the reserve account for further detail.</w:t>
      </w:r>
      <w:r w:rsidR="005C33A4">
        <w:rPr>
          <w:rFonts w:ascii="Times New Roman" w:eastAsia="Times New Roman" w:hAnsi="Times New Roman" w:cs="Times New Roman"/>
          <w:i/>
        </w:rPr>
        <w:t xml:space="preserve"> </w:t>
      </w:r>
    </w:p>
    <w:p w14:paraId="75806131" w14:textId="3F0C5287" w:rsidR="004A169C" w:rsidRPr="004A169C" w:rsidRDefault="005C33A4"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(Attachment - DR 23.Reconciliation of decrease in account 228.2.xlsx)</w:t>
      </w:r>
    </w:p>
    <w:p w14:paraId="729EB2A2" w14:textId="77777777" w:rsidR="009A7839" w:rsidRDefault="009A7839" w:rsidP="009A7839">
      <w:pPr>
        <w:pStyle w:val="ListParagraph"/>
        <w:jc w:val="both"/>
        <w:rPr>
          <w:rFonts w:ascii="Calibri" w:eastAsia="Times New Roman" w:hAnsi="Calibri" w:cs="Times New Roman"/>
          <w:color w:val="000000"/>
        </w:rPr>
      </w:pPr>
    </w:p>
    <w:p w14:paraId="4E653CDC" w14:textId="318AF930" w:rsidR="00C57906" w:rsidRPr="009A7839" w:rsidRDefault="00C57906" w:rsidP="00F216EB">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 of why</w:t>
      </w:r>
      <w:r>
        <w:rPr>
          <w:rFonts w:ascii="Times New Roman" w:eastAsia="Times New Roman" w:hAnsi="Times New Roman" w:cs="Times New Roman"/>
        </w:rPr>
        <w:t xml:space="preserve"> “</w:t>
      </w:r>
      <w:r w:rsidR="00F216EB" w:rsidRPr="00F216EB">
        <w:rPr>
          <w:rFonts w:ascii="Times New Roman" w:eastAsia="Times New Roman" w:hAnsi="Times New Roman" w:cs="Times New Roman"/>
        </w:rPr>
        <w:t>Pensions and Benefits</w:t>
      </w:r>
      <w:r>
        <w:rPr>
          <w:rFonts w:ascii="Times New Roman" w:eastAsia="Times New Roman" w:hAnsi="Times New Roman" w:cs="Times New Roman"/>
        </w:rPr>
        <w:t xml:space="preserve">” decreased by approximately </w:t>
      </w:r>
      <w:r w:rsidR="00F216EB">
        <w:rPr>
          <w:rFonts w:ascii="Times New Roman" w:eastAsia="Times New Roman" w:hAnsi="Times New Roman" w:cs="Times New Roman"/>
        </w:rPr>
        <w:t>5</w:t>
      </w:r>
      <w:r>
        <w:rPr>
          <w:rFonts w:ascii="Times New Roman" w:eastAsia="Times New Roman" w:hAnsi="Times New Roman" w:cs="Times New Roman"/>
        </w:rPr>
        <w:t>% from $</w:t>
      </w:r>
      <w:r w:rsidR="00F216EB">
        <w:rPr>
          <w:rFonts w:ascii="Times New Roman" w:eastAsia="Times New Roman" w:hAnsi="Times New Roman" w:cs="Times New Roman"/>
        </w:rPr>
        <w:t>21,715</w:t>
      </w:r>
      <w:r>
        <w:rPr>
          <w:rFonts w:ascii="Times New Roman" w:eastAsia="Times New Roman" w:hAnsi="Times New Roman" w:cs="Times New Roman"/>
        </w:rPr>
        <w:t>,</w:t>
      </w:r>
      <w:r w:rsidR="00F216EB">
        <w:rPr>
          <w:rFonts w:ascii="Times New Roman" w:eastAsia="Times New Roman" w:hAnsi="Times New Roman" w:cs="Times New Roman"/>
        </w:rPr>
        <w:t>47</w:t>
      </w:r>
      <w:r>
        <w:rPr>
          <w:rFonts w:ascii="Times New Roman" w:eastAsia="Times New Roman" w:hAnsi="Times New Roman" w:cs="Times New Roman"/>
        </w:rPr>
        <w:t>7 to $</w:t>
      </w:r>
      <w:r w:rsidR="00F216EB">
        <w:rPr>
          <w:rFonts w:ascii="Times New Roman" w:eastAsia="Times New Roman" w:hAnsi="Times New Roman" w:cs="Times New Roman"/>
        </w:rPr>
        <w:t>20,670</w:t>
      </w:r>
      <w:r>
        <w:rPr>
          <w:rFonts w:ascii="Times New Roman" w:eastAsia="Times New Roman" w:hAnsi="Times New Roman" w:cs="Times New Roman"/>
        </w:rPr>
        <w:t>,</w:t>
      </w:r>
      <w:r w:rsidR="00F216EB">
        <w:rPr>
          <w:rFonts w:ascii="Times New Roman" w:eastAsia="Times New Roman" w:hAnsi="Times New Roman" w:cs="Times New Roman"/>
        </w:rPr>
        <w:t>955.</w:t>
      </w:r>
      <w:r w:rsidRPr="00C57906">
        <w:rPr>
          <w:rFonts w:ascii="Times New Roman" w:eastAsia="Times New Roman" w:hAnsi="Times New Roman" w:cs="Times New Roman"/>
        </w:rPr>
        <w:t xml:space="preserve"> </w:t>
      </w:r>
    </w:p>
    <w:p w14:paraId="4D37E6F0" w14:textId="77777777" w:rsidR="009A7839" w:rsidRDefault="009A7839" w:rsidP="009A7839">
      <w:pPr>
        <w:pStyle w:val="ListParagraph"/>
        <w:jc w:val="both"/>
        <w:rPr>
          <w:rFonts w:ascii="Times New Roman" w:eastAsia="Times New Roman" w:hAnsi="Times New Roman" w:cs="Times New Roman"/>
        </w:rPr>
      </w:pPr>
    </w:p>
    <w:p w14:paraId="71550F22" w14:textId="484720B8" w:rsidR="004A169C" w:rsidRDefault="004A169C"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Pr="004A169C">
        <w:rPr>
          <w:rFonts w:ascii="Times New Roman" w:eastAsia="Times New Roman" w:hAnsi="Times New Roman" w:cs="Times New Roman"/>
          <w:i/>
        </w:rPr>
        <w:t xml:space="preserve"> Decreased costs in the active employee’s healthcare plan accounted for the majority of the decrease ($0.9 million).  The Pension, SERP and OPEB plans further reduced expenses ($0.3 million) due to lower net periodic benefit costs as a result of higher discount rates.  These decreases were partially offset by an increase of approximately $0.1 million in the 401(k) plan. Please see attached file</w:t>
      </w:r>
      <w:r w:rsidR="005C33A4">
        <w:rPr>
          <w:rFonts w:ascii="Times New Roman" w:eastAsia="Times New Roman" w:hAnsi="Times New Roman" w:cs="Times New Roman"/>
          <w:i/>
        </w:rPr>
        <w:t xml:space="preserve"> </w:t>
      </w:r>
      <w:r w:rsidRPr="004A169C">
        <w:rPr>
          <w:rFonts w:ascii="Times New Roman" w:eastAsia="Times New Roman" w:hAnsi="Times New Roman" w:cs="Times New Roman"/>
          <w:i/>
        </w:rPr>
        <w:t>for further detail.</w:t>
      </w:r>
    </w:p>
    <w:p w14:paraId="1D5BCFF8" w14:textId="4CF5F411" w:rsidR="005C33A4" w:rsidRPr="004A169C" w:rsidRDefault="005C33A4" w:rsidP="005C33A4">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(Attachment - DR 31.Reconciliation of decrease in Pensions and Benefits.xlsx)</w:t>
      </w:r>
    </w:p>
    <w:p w14:paraId="74A36937" w14:textId="77777777" w:rsidR="009A7839" w:rsidRDefault="009A7839" w:rsidP="009A7839">
      <w:pPr>
        <w:pStyle w:val="ListParagraph"/>
        <w:jc w:val="both"/>
        <w:rPr>
          <w:rFonts w:ascii="Calibri" w:eastAsia="Times New Roman" w:hAnsi="Calibri" w:cs="Times New Roman"/>
          <w:color w:val="000000"/>
        </w:rPr>
      </w:pPr>
    </w:p>
    <w:p w14:paraId="2190AF68" w14:textId="11E327E4" w:rsidR="00C57906" w:rsidRPr="009A7839" w:rsidRDefault="00C57906" w:rsidP="00F216EB">
      <w:pPr>
        <w:pStyle w:val="ListParagraph"/>
        <w:numPr>
          <w:ilvl w:val="0"/>
          <w:numId w:val="1"/>
        </w:numPr>
        <w:jc w:val="both"/>
        <w:rPr>
          <w:rFonts w:ascii="Calibri" w:eastAsia="Times New Roman" w:hAnsi="Calibri" w:cs="Times New Roman"/>
          <w:color w:val="000000"/>
        </w:rPr>
      </w:pPr>
      <w:r w:rsidRPr="001552BB">
        <w:rPr>
          <w:rFonts w:ascii="Times New Roman" w:eastAsia="Times New Roman" w:hAnsi="Times New Roman" w:cs="Times New Roman"/>
        </w:rPr>
        <w:t>Please provide a detailed explanation of why</w:t>
      </w:r>
      <w:r>
        <w:rPr>
          <w:rFonts w:ascii="Times New Roman" w:eastAsia="Times New Roman" w:hAnsi="Times New Roman" w:cs="Times New Roman"/>
        </w:rPr>
        <w:t xml:space="preserve"> “</w:t>
      </w:r>
      <w:r w:rsidR="00F216EB" w:rsidRPr="00F216EB">
        <w:rPr>
          <w:rFonts w:ascii="Times New Roman" w:eastAsia="Times New Roman" w:hAnsi="Times New Roman" w:cs="Times New Roman"/>
        </w:rPr>
        <w:t>Regulatory Commission Expenses</w:t>
      </w:r>
      <w:r>
        <w:rPr>
          <w:rFonts w:ascii="Times New Roman" w:eastAsia="Times New Roman" w:hAnsi="Times New Roman" w:cs="Times New Roman"/>
        </w:rPr>
        <w:t xml:space="preserve">” decreased by approximately </w:t>
      </w:r>
      <w:r w:rsidR="00F216EB">
        <w:rPr>
          <w:rFonts w:ascii="Times New Roman" w:eastAsia="Times New Roman" w:hAnsi="Times New Roman" w:cs="Times New Roman"/>
        </w:rPr>
        <w:t>6</w:t>
      </w:r>
      <w:r>
        <w:rPr>
          <w:rFonts w:ascii="Times New Roman" w:eastAsia="Times New Roman" w:hAnsi="Times New Roman" w:cs="Times New Roman"/>
        </w:rPr>
        <w:t>% from $</w:t>
      </w:r>
      <w:r w:rsidR="00F216EB">
        <w:rPr>
          <w:rFonts w:ascii="Times New Roman" w:eastAsia="Times New Roman" w:hAnsi="Times New Roman" w:cs="Times New Roman"/>
        </w:rPr>
        <w:t>1,831,5</w:t>
      </w:r>
      <w:r>
        <w:rPr>
          <w:rFonts w:ascii="Times New Roman" w:eastAsia="Times New Roman" w:hAnsi="Times New Roman" w:cs="Times New Roman"/>
        </w:rPr>
        <w:t>0</w:t>
      </w:r>
      <w:r w:rsidR="00F216EB">
        <w:rPr>
          <w:rFonts w:ascii="Times New Roman" w:eastAsia="Times New Roman" w:hAnsi="Times New Roman" w:cs="Times New Roman"/>
        </w:rPr>
        <w:t>4</w:t>
      </w:r>
      <w:r>
        <w:rPr>
          <w:rFonts w:ascii="Times New Roman" w:eastAsia="Times New Roman" w:hAnsi="Times New Roman" w:cs="Times New Roman"/>
        </w:rPr>
        <w:t xml:space="preserve"> to $</w:t>
      </w:r>
      <w:r w:rsidR="00F216EB">
        <w:rPr>
          <w:rFonts w:ascii="Times New Roman" w:eastAsia="Times New Roman" w:hAnsi="Times New Roman" w:cs="Times New Roman"/>
        </w:rPr>
        <w:t>1,719</w:t>
      </w:r>
      <w:r>
        <w:rPr>
          <w:rFonts w:ascii="Times New Roman" w:eastAsia="Times New Roman" w:hAnsi="Times New Roman" w:cs="Times New Roman"/>
        </w:rPr>
        <w:t>,</w:t>
      </w:r>
      <w:r w:rsidR="00F216EB">
        <w:rPr>
          <w:rFonts w:ascii="Times New Roman" w:eastAsia="Times New Roman" w:hAnsi="Times New Roman" w:cs="Times New Roman"/>
        </w:rPr>
        <w:t>496.</w:t>
      </w:r>
    </w:p>
    <w:p w14:paraId="3C084FA1" w14:textId="77777777" w:rsidR="009A7839" w:rsidRDefault="009A7839" w:rsidP="009A7839">
      <w:pPr>
        <w:pStyle w:val="ListParagraph"/>
        <w:jc w:val="both"/>
        <w:rPr>
          <w:rFonts w:ascii="Times New Roman" w:eastAsia="Times New Roman" w:hAnsi="Times New Roman" w:cs="Times New Roman"/>
        </w:rPr>
      </w:pPr>
    </w:p>
    <w:p w14:paraId="4FA0529C" w14:textId="5EB83636" w:rsidR="009A7839" w:rsidRDefault="009A7839" w:rsidP="009A7839">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w:t>
      </w:r>
      <w:r w:rsidR="00A613A3">
        <w:rPr>
          <w:rFonts w:ascii="Times New Roman" w:eastAsia="Times New Roman" w:hAnsi="Times New Roman" w:cs="Times New Roman"/>
          <w:i/>
        </w:rPr>
        <w:t xml:space="preserve">  </w:t>
      </w:r>
      <w:r w:rsidR="00FD3D15" w:rsidRPr="00FD3D15">
        <w:rPr>
          <w:rFonts w:ascii="Times New Roman" w:eastAsia="Times New Roman" w:hAnsi="Times New Roman" w:cs="Times New Roman"/>
          <w:i/>
        </w:rPr>
        <w:t>See the attached analysis of regulatory costs.  The primary difference is related to FERC regulatory costs</w:t>
      </w:r>
      <w:r w:rsidR="00A613A3">
        <w:rPr>
          <w:rFonts w:ascii="Times New Roman" w:eastAsia="Times New Roman" w:hAnsi="Times New Roman" w:cs="Times New Roman"/>
          <w:i/>
        </w:rPr>
        <w:t>.</w:t>
      </w:r>
    </w:p>
    <w:p w14:paraId="25E39581" w14:textId="77777777" w:rsidR="009A7839" w:rsidRDefault="009A7839" w:rsidP="009A7839">
      <w:pPr>
        <w:pStyle w:val="ListParagraph"/>
        <w:jc w:val="both"/>
        <w:rPr>
          <w:rFonts w:ascii="Calibri" w:eastAsia="Times New Roman" w:hAnsi="Calibri" w:cs="Times New Roman"/>
          <w:color w:val="000000"/>
        </w:rPr>
      </w:pPr>
    </w:p>
    <w:p w14:paraId="2D60C3CC" w14:textId="7E94C9B1" w:rsidR="00F216EB" w:rsidRPr="009A7839" w:rsidRDefault="00F216EB" w:rsidP="00F216EB">
      <w:pPr>
        <w:pStyle w:val="ListParagraph"/>
        <w:numPr>
          <w:ilvl w:val="0"/>
          <w:numId w:val="1"/>
        </w:numPr>
        <w:jc w:val="both"/>
        <w:rPr>
          <w:rFonts w:ascii="Calibri" w:eastAsia="Times New Roman" w:hAnsi="Calibri" w:cs="Times New Roman"/>
          <w:color w:val="000000"/>
        </w:rPr>
      </w:pPr>
      <w:r>
        <w:t>Please p</w:t>
      </w:r>
      <w:r w:rsidR="00350AAF">
        <w:t xml:space="preserve">rovide a detailed explanation </w:t>
      </w:r>
      <w:r w:rsidR="00350AAF" w:rsidRPr="00261E89">
        <w:t>and supporting documentation for</w:t>
      </w:r>
      <w:r>
        <w:t xml:space="preserve"> why “</w:t>
      </w:r>
      <w:r w:rsidRPr="00F216EB">
        <w:t>Maintenance of General Plant</w:t>
      </w:r>
      <w:r>
        <w:t>” increased by approximately 68% from $365,732 to $614,892.</w:t>
      </w:r>
    </w:p>
    <w:p w14:paraId="26EB2A51" w14:textId="77777777" w:rsidR="009A7839" w:rsidRDefault="009A7839" w:rsidP="009A7839">
      <w:pPr>
        <w:pStyle w:val="ListParagraph"/>
        <w:jc w:val="both"/>
      </w:pPr>
    </w:p>
    <w:p w14:paraId="395FB0B6" w14:textId="6E00310F" w:rsidR="004A169C" w:rsidRDefault="004A169C" w:rsidP="004A169C">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 xml:space="preserve">Response: </w:t>
      </w:r>
      <w:r w:rsidRPr="004A169C">
        <w:rPr>
          <w:rFonts w:ascii="Times New Roman" w:eastAsia="Times New Roman" w:hAnsi="Times New Roman" w:cs="Times New Roman"/>
          <w:i/>
        </w:rPr>
        <w:t>The increase is primarily due to an increase in building maintenance during 2014.  Please see attached file for further detail.</w:t>
      </w:r>
    </w:p>
    <w:p w14:paraId="413858A0" w14:textId="72085BFE" w:rsidR="005C33A4" w:rsidRPr="004A169C" w:rsidRDefault="005C33A4" w:rsidP="005C33A4">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(Attachment - DR 33.Reconciliation of increase in Maintenance of General Plant.xlsx)</w:t>
      </w:r>
    </w:p>
    <w:p w14:paraId="1866F7AD" w14:textId="77777777" w:rsidR="005C33A4" w:rsidRPr="004A169C" w:rsidRDefault="005C33A4" w:rsidP="004A169C">
      <w:pPr>
        <w:pStyle w:val="ListParagraph"/>
        <w:tabs>
          <w:tab w:val="left" w:pos="810"/>
        </w:tabs>
        <w:jc w:val="both"/>
        <w:rPr>
          <w:rFonts w:ascii="Times New Roman" w:eastAsia="Times New Roman" w:hAnsi="Times New Roman" w:cs="Times New Roman"/>
          <w:i/>
        </w:rPr>
      </w:pPr>
    </w:p>
    <w:p w14:paraId="714DFF57" w14:textId="048EB399" w:rsidR="00F216EB" w:rsidRPr="009A7839" w:rsidRDefault="00F216EB" w:rsidP="00F216EB">
      <w:pPr>
        <w:pStyle w:val="ListParagraph"/>
        <w:numPr>
          <w:ilvl w:val="0"/>
          <w:numId w:val="1"/>
        </w:numPr>
        <w:jc w:val="both"/>
        <w:rPr>
          <w:rFonts w:ascii="Calibri" w:eastAsia="Times New Roman" w:hAnsi="Calibri" w:cs="Times New Roman"/>
          <w:color w:val="000000"/>
        </w:rPr>
      </w:pPr>
      <w:r>
        <w:t>Please p</w:t>
      </w:r>
      <w:r w:rsidR="00350AAF">
        <w:t>rovide a detailed explanation and supporting documentation for</w:t>
      </w:r>
      <w:r>
        <w:t xml:space="preserve"> why “Missouri Property Taxes” increased by approximately </w:t>
      </w:r>
      <w:r w:rsidR="0094117B">
        <w:t>11</w:t>
      </w:r>
      <w:r>
        <w:t>% from $</w:t>
      </w:r>
      <w:r w:rsidR="0094117B">
        <w:t>15</w:t>
      </w:r>
      <w:r>
        <w:t>,2</w:t>
      </w:r>
      <w:r w:rsidR="0094117B">
        <w:t>26</w:t>
      </w:r>
      <w:r>
        <w:t>,</w:t>
      </w:r>
      <w:r w:rsidR="0094117B">
        <w:t>824</w:t>
      </w:r>
      <w:r>
        <w:t xml:space="preserve"> to $</w:t>
      </w:r>
      <w:r w:rsidR="0094117B">
        <w:t>16</w:t>
      </w:r>
      <w:r>
        <w:t>,9</w:t>
      </w:r>
      <w:r w:rsidR="0094117B">
        <w:t>35,7</w:t>
      </w:r>
      <w:r>
        <w:t>3</w:t>
      </w:r>
      <w:r w:rsidR="0094117B">
        <w:t>1</w:t>
      </w:r>
      <w:r>
        <w:t>.</w:t>
      </w:r>
    </w:p>
    <w:p w14:paraId="26799DC3" w14:textId="77777777" w:rsidR="009A7839" w:rsidRDefault="009A7839" w:rsidP="009A7839">
      <w:pPr>
        <w:pStyle w:val="ListParagraph"/>
        <w:jc w:val="both"/>
      </w:pPr>
    </w:p>
    <w:p w14:paraId="15684417" w14:textId="77777777" w:rsidR="007A6BBD" w:rsidRDefault="007A6BBD" w:rsidP="007A6BBD">
      <w:pPr>
        <w:pStyle w:val="ListParagraph"/>
        <w:tabs>
          <w:tab w:val="left" w:pos="810"/>
        </w:tabs>
        <w:jc w:val="both"/>
        <w:rPr>
          <w:rFonts w:ascii="Times New Roman" w:eastAsia="Times New Roman" w:hAnsi="Times New Roman" w:cs="Times New Roman"/>
          <w:i/>
        </w:rPr>
      </w:pPr>
      <w:r>
        <w:rPr>
          <w:rFonts w:ascii="Times New Roman" w:eastAsia="Times New Roman" w:hAnsi="Times New Roman" w:cs="Times New Roman"/>
          <w:i/>
        </w:rPr>
        <w:t>Response:  The unit values as determined by the Missouri State Tax Commission for the years 2014 and 2013 were $1.275B and $1.075B, respectively.  The large increase was due primarily to higher NOI and increased CWIP.  The lesser increase in property tax expense (11.2%) versus the overall unit value increase (18.6%) was due to the capitalization of the property tax liability related to the increase in CWIP.</w:t>
      </w:r>
    </w:p>
    <w:p w14:paraId="5C08DC61" w14:textId="77777777" w:rsidR="007A6BBD" w:rsidRDefault="007A6BBD" w:rsidP="007A6BBD">
      <w:pPr>
        <w:pStyle w:val="ListParagraph"/>
        <w:tabs>
          <w:tab w:val="left" w:pos="810"/>
        </w:tabs>
        <w:jc w:val="both"/>
        <w:rPr>
          <w:rFonts w:ascii="Times New Roman" w:eastAsia="Times New Roman" w:hAnsi="Times New Roman" w:cs="Times New Roman"/>
          <w:i/>
        </w:rPr>
      </w:pPr>
    </w:p>
    <w:p w14:paraId="418AF7D7" w14:textId="77777777" w:rsidR="00693196" w:rsidRDefault="00693196" w:rsidP="009A7839">
      <w:pPr>
        <w:pStyle w:val="ListParagraph"/>
        <w:tabs>
          <w:tab w:val="left" w:pos="810"/>
        </w:tabs>
        <w:jc w:val="both"/>
        <w:rPr>
          <w:rFonts w:ascii="Times New Roman" w:eastAsia="Times New Roman" w:hAnsi="Times New Roman" w:cs="Times New Roman"/>
          <w:i/>
        </w:rPr>
      </w:pPr>
    </w:p>
    <w:p w14:paraId="0B52B825" w14:textId="77777777" w:rsidR="00693196" w:rsidRDefault="00693196" w:rsidP="009A7839">
      <w:pPr>
        <w:pStyle w:val="ListParagraph"/>
        <w:tabs>
          <w:tab w:val="left" w:pos="810"/>
        </w:tabs>
        <w:jc w:val="both"/>
        <w:rPr>
          <w:rFonts w:ascii="Times New Roman" w:eastAsia="Times New Roman" w:hAnsi="Times New Roman" w:cs="Times New Roman"/>
          <w:i/>
        </w:rPr>
      </w:pPr>
    </w:p>
    <w:sectPr w:rsidR="0069319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FAE3" w14:textId="77777777" w:rsidR="00D07B1E" w:rsidRDefault="00D07B1E" w:rsidP="00F4576D">
      <w:pPr>
        <w:spacing w:after="0" w:line="240" w:lineRule="auto"/>
      </w:pPr>
      <w:r>
        <w:separator/>
      </w:r>
    </w:p>
  </w:endnote>
  <w:endnote w:type="continuationSeparator" w:id="0">
    <w:p w14:paraId="08270F15" w14:textId="77777777" w:rsidR="00D07B1E" w:rsidRDefault="00D07B1E" w:rsidP="00F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065"/>
      <w:docPartObj>
        <w:docPartGallery w:val="Page Numbers (Bottom of Page)"/>
        <w:docPartUnique/>
      </w:docPartObj>
    </w:sdtPr>
    <w:sdtEndPr>
      <w:rPr>
        <w:noProof/>
      </w:rPr>
    </w:sdtEndPr>
    <w:sdtContent>
      <w:p w14:paraId="574E1535" w14:textId="68A5F750" w:rsidR="00261E89" w:rsidRDefault="00261E89">
        <w:pPr>
          <w:pStyle w:val="Footer"/>
          <w:jc w:val="center"/>
        </w:pPr>
        <w:r>
          <w:fldChar w:fldCharType="begin"/>
        </w:r>
        <w:r>
          <w:instrText xml:space="preserve"> PAGE   \* MERGEFORMAT </w:instrText>
        </w:r>
        <w:r>
          <w:fldChar w:fldCharType="separate"/>
        </w:r>
        <w:r w:rsidR="00DD22D1">
          <w:rPr>
            <w:noProof/>
          </w:rPr>
          <w:t>1</w:t>
        </w:r>
        <w:r>
          <w:rPr>
            <w:noProof/>
          </w:rPr>
          <w:fldChar w:fldCharType="end"/>
        </w:r>
      </w:p>
    </w:sdtContent>
  </w:sdt>
  <w:p w14:paraId="0C93A1E5" w14:textId="77777777" w:rsidR="00D07B1E" w:rsidRDefault="00D07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342E1" w14:textId="77777777" w:rsidR="00D07B1E" w:rsidRDefault="00D07B1E" w:rsidP="00F4576D">
      <w:pPr>
        <w:spacing w:after="0" w:line="240" w:lineRule="auto"/>
      </w:pPr>
      <w:r>
        <w:separator/>
      </w:r>
    </w:p>
  </w:footnote>
  <w:footnote w:type="continuationSeparator" w:id="0">
    <w:p w14:paraId="380863ED" w14:textId="77777777" w:rsidR="00D07B1E" w:rsidRDefault="00D07B1E" w:rsidP="00F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3D65" w14:textId="6BD3F94E" w:rsidR="00D07B1E" w:rsidRDefault="00DD39C6" w:rsidP="00F4576D">
    <w:pPr>
      <w:spacing w:after="0"/>
      <w:jc w:val="center"/>
    </w:pPr>
    <w:r>
      <w:t>Missouri Cities</w:t>
    </w:r>
  </w:p>
  <w:p w14:paraId="39BDA890" w14:textId="2EC8823E" w:rsidR="00D07B1E" w:rsidRPr="00F4576D" w:rsidRDefault="00D07B1E" w:rsidP="00F4576D">
    <w:pPr>
      <w:spacing w:after="0"/>
      <w:jc w:val="center"/>
      <w:rPr>
        <w:u w:val="single"/>
      </w:rPr>
    </w:pPr>
    <w:r>
      <w:rPr>
        <w:u w:val="single"/>
      </w:rPr>
      <w:t>T</w:t>
    </w:r>
    <w:r w:rsidRPr="00F4576D">
      <w:rPr>
        <w:u w:val="single"/>
      </w:rPr>
      <w:t>FR Questions Concerning 2015 Update</w:t>
    </w:r>
  </w:p>
  <w:p w14:paraId="3BF87B66" w14:textId="167630B6" w:rsidR="00D07B1E" w:rsidRPr="00F4576D" w:rsidRDefault="00D07B1E" w:rsidP="00271C93">
    <w:pPr>
      <w:tabs>
        <w:tab w:val="left" w:pos="3330"/>
        <w:tab w:val="center" w:pos="4680"/>
      </w:tabs>
      <w:spacing w:after="0"/>
    </w:pPr>
    <w:r>
      <w:tab/>
    </w:r>
    <w:r>
      <w:tab/>
    </w:r>
    <w:r w:rsidR="00261E89">
      <w:t>2</w:t>
    </w:r>
    <w:r w:rsidR="00261E89" w:rsidRPr="00261E89">
      <w:rPr>
        <w:vertAlign w:val="superscript"/>
      </w:rPr>
      <w:t>nd</w:t>
    </w:r>
    <w:r w:rsidR="00261E89">
      <w:t xml:space="preserve"> Set of Questions - </w:t>
    </w:r>
    <w:r w:rsidR="001F7E22">
      <w:t xml:space="preserve">(June </w:t>
    </w:r>
    <w:r w:rsidR="005120E3">
      <w:t>26</w:t>
    </w:r>
    <w:r w:rsidRPr="00F4576D">
      <w:t>, 2015</w:t>
    </w:r>
    <w:r>
      <w:t>)</w:t>
    </w:r>
  </w:p>
  <w:p w14:paraId="7F1D1630" w14:textId="77777777" w:rsidR="00D07B1E" w:rsidRDefault="00D07B1E" w:rsidP="00F457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684"/>
    <w:multiLevelType w:val="hybridMultilevel"/>
    <w:tmpl w:val="112C06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1E41B0"/>
    <w:multiLevelType w:val="hybridMultilevel"/>
    <w:tmpl w:val="74461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683387"/>
    <w:multiLevelType w:val="hybridMultilevel"/>
    <w:tmpl w:val="EDA6A7F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7CD2B7C"/>
    <w:multiLevelType w:val="hybridMultilevel"/>
    <w:tmpl w:val="7DAE159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4D2613"/>
    <w:multiLevelType w:val="hybridMultilevel"/>
    <w:tmpl w:val="01EE4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EF21291"/>
    <w:multiLevelType w:val="hybridMultilevel"/>
    <w:tmpl w:val="01EE45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A54097"/>
    <w:multiLevelType w:val="hybridMultilevel"/>
    <w:tmpl w:val="2C3ED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82AE2"/>
    <w:multiLevelType w:val="hybridMultilevel"/>
    <w:tmpl w:val="103AC61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6676735"/>
    <w:multiLevelType w:val="hybridMultilevel"/>
    <w:tmpl w:val="5E4022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7F606E"/>
    <w:multiLevelType w:val="hybridMultilevel"/>
    <w:tmpl w:val="5D38C952"/>
    <w:lvl w:ilvl="0" w:tplc="FD042A9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92897"/>
    <w:multiLevelType w:val="hybridMultilevel"/>
    <w:tmpl w:val="E506A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F1124"/>
    <w:multiLevelType w:val="hybridMultilevel"/>
    <w:tmpl w:val="27BA83E4"/>
    <w:lvl w:ilvl="0" w:tplc="DBD2B458">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5763D"/>
    <w:multiLevelType w:val="hybridMultilevel"/>
    <w:tmpl w:val="81900B6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394BEB"/>
    <w:multiLevelType w:val="hybridMultilevel"/>
    <w:tmpl w:val="51582B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1"/>
  </w:num>
  <w:num w:numId="3">
    <w:abstractNumId w:val="12"/>
  </w:num>
  <w:num w:numId="4">
    <w:abstractNumId w:val="10"/>
  </w:num>
  <w:num w:numId="5">
    <w:abstractNumId w:val="6"/>
  </w:num>
  <w:num w:numId="6">
    <w:abstractNumId w:val="5"/>
  </w:num>
  <w:num w:numId="7">
    <w:abstractNumId w:val="3"/>
  </w:num>
  <w:num w:numId="8">
    <w:abstractNumId w:val="1"/>
  </w:num>
  <w:num w:numId="9">
    <w:abstractNumId w:val="7"/>
  </w:num>
  <w:num w:numId="10">
    <w:abstractNumId w:val="0"/>
  </w:num>
  <w:num w:numId="11">
    <w:abstractNumId w:val="2"/>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5E"/>
    <w:rsid w:val="000405CE"/>
    <w:rsid w:val="000D037E"/>
    <w:rsid w:val="000F1AA7"/>
    <w:rsid w:val="000F44DD"/>
    <w:rsid w:val="00106593"/>
    <w:rsid w:val="00133147"/>
    <w:rsid w:val="00134CED"/>
    <w:rsid w:val="0015189A"/>
    <w:rsid w:val="001756CA"/>
    <w:rsid w:val="00182E57"/>
    <w:rsid w:val="00183337"/>
    <w:rsid w:val="00196E5C"/>
    <w:rsid w:val="001B2FF9"/>
    <w:rsid w:val="001B7FC1"/>
    <w:rsid w:val="001F7E22"/>
    <w:rsid w:val="00235A05"/>
    <w:rsid w:val="002521B7"/>
    <w:rsid w:val="00261E89"/>
    <w:rsid w:val="00271C93"/>
    <w:rsid w:val="002B0E98"/>
    <w:rsid w:val="002D71C5"/>
    <w:rsid w:val="003010F9"/>
    <w:rsid w:val="00321088"/>
    <w:rsid w:val="00326D1D"/>
    <w:rsid w:val="00330077"/>
    <w:rsid w:val="00333D78"/>
    <w:rsid w:val="003426C9"/>
    <w:rsid w:val="00350AAF"/>
    <w:rsid w:val="00356559"/>
    <w:rsid w:val="00386B97"/>
    <w:rsid w:val="00397A83"/>
    <w:rsid w:val="003C46D6"/>
    <w:rsid w:val="00416A79"/>
    <w:rsid w:val="004A169C"/>
    <w:rsid w:val="005120E3"/>
    <w:rsid w:val="00530C26"/>
    <w:rsid w:val="0054747F"/>
    <w:rsid w:val="00585D0C"/>
    <w:rsid w:val="00593DB2"/>
    <w:rsid w:val="005B6EEE"/>
    <w:rsid w:val="005C33A4"/>
    <w:rsid w:val="005D50F6"/>
    <w:rsid w:val="005E145B"/>
    <w:rsid w:val="006458C9"/>
    <w:rsid w:val="00651E9B"/>
    <w:rsid w:val="00656FA4"/>
    <w:rsid w:val="00693196"/>
    <w:rsid w:val="006F43F8"/>
    <w:rsid w:val="006F5E70"/>
    <w:rsid w:val="00706081"/>
    <w:rsid w:val="00724340"/>
    <w:rsid w:val="00761AED"/>
    <w:rsid w:val="0078232D"/>
    <w:rsid w:val="00787803"/>
    <w:rsid w:val="007878E3"/>
    <w:rsid w:val="007A6BBD"/>
    <w:rsid w:val="007D6548"/>
    <w:rsid w:val="0085789C"/>
    <w:rsid w:val="008605D3"/>
    <w:rsid w:val="008E672A"/>
    <w:rsid w:val="0090127E"/>
    <w:rsid w:val="00903484"/>
    <w:rsid w:val="009046B0"/>
    <w:rsid w:val="00933E9F"/>
    <w:rsid w:val="009356A5"/>
    <w:rsid w:val="0094117B"/>
    <w:rsid w:val="0095576D"/>
    <w:rsid w:val="00970B21"/>
    <w:rsid w:val="00993796"/>
    <w:rsid w:val="00995D93"/>
    <w:rsid w:val="009973F4"/>
    <w:rsid w:val="009A7839"/>
    <w:rsid w:val="009D6528"/>
    <w:rsid w:val="00A0588D"/>
    <w:rsid w:val="00A613A3"/>
    <w:rsid w:val="00A91F6D"/>
    <w:rsid w:val="00A92B35"/>
    <w:rsid w:val="00AF7AB2"/>
    <w:rsid w:val="00B63165"/>
    <w:rsid w:val="00BC2952"/>
    <w:rsid w:val="00C418E3"/>
    <w:rsid w:val="00C573A9"/>
    <w:rsid w:val="00C57906"/>
    <w:rsid w:val="00C9627F"/>
    <w:rsid w:val="00CB1AD0"/>
    <w:rsid w:val="00CE27CE"/>
    <w:rsid w:val="00D017FC"/>
    <w:rsid w:val="00D07B1E"/>
    <w:rsid w:val="00D4615E"/>
    <w:rsid w:val="00D4636F"/>
    <w:rsid w:val="00D73DF5"/>
    <w:rsid w:val="00DC5B21"/>
    <w:rsid w:val="00DD22D1"/>
    <w:rsid w:val="00DD39C6"/>
    <w:rsid w:val="00DE3D21"/>
    <w:rsid w:val="00DE7BD2"/>
    <w:rsid w:val="00DF7246"/>
    <w:rsid w:val="00E0192D"/>
    <w:rsid w:val="00E507D5"/>
    <w:rsid w:val="00E6715A"/>
    <w:rsid w:val="00E9580D"/>
    <w:rsid w:val="00EB0E6A"/>
    <w:rsid w:val="00F216EB"/>
    <w:rsid w:val="00F3300A"/>
    <w:rsid w:val="00F416D1"/>
    <w:rsid w:val="00F4576D"/>
    <w:rsid w:val="00FA3E3E"/>
    <w:rsid w:val="00FB77CB"/>
    <w:rsid w:val="00FC2983"/>
    <w:rsid w:val="00FD190C"/>
    <w:rsid w:val="00F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AF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paragraph" w:styleId="BalloonText">
    <w:name w:val="Balloon Text"/>
    <w:basedOn w:val="Normal"/>
    <w:link w:val="BalloonTextChar"/>
    <w:uiPriority w:val="99"/>
    <w:semiHidden/>
    <w:unhideWhenUsed/>
    <w:rsid w:val="0033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57"/>
    <w:pPr>
      <w:ind w:left="720"/>
      <w:contextualSpacing/>
    </w:pPr>
  </w:style>
  <w:style w:type="paragraph" w:styleId="Header">
    <w:name w:val="header"/>
    <w:basedOn w:val="Normal"/>
    <w:link w:val="HeaderChar"/>
    <w:uiPriority w:val="99"/>
    <w:unhideWhenUsed/>
    <w:rsid w:val="00F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6D"/>
  </w:style>
  <w:style w:type="paragraph" w:styleId="Footer">
    <w:name w:val="footer"/>
    <w:basedOn w:val="Normal"/>
    <w:link w:val="FooterChar"/>
    <w:uiPriority w:val="99"/>
    <w:unhideWhenUsed/>
    <w:rsid w:val="00F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6D"/>
  </w:style>
  <w:style w:type="paragraph" w:styleId="BalloonText">
    <w:name w:val="Balloon Text"/>
    <w:basedOn w:val="Normal"/>
    <w:link w:val="BalloonTextChar"/>
    <w:uiPriority w:val="99"/>
    <w:semiHidden/>
    <w:unhideWhenUsed/>
    <w:rsid w:val="0033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37">
      <w:bodyDiv w:val="1"/>
      <w:marLeft w:val="0"/>
      <w:marRight w:val="0"/>
      <w:marTop w:val="0"/>
      <w:marBottom w:val="0"/>
      <w:divBdr>
        <w:top w:val="none" w:sz="0" w:space="0" w:color="auto"/>
        <w:left w:val="none" w:sz="0" w:space="0" w:color="auto"/>
        <w:bottom w:val="none" w:sz="0" w:space="0" w:color="auto"/>
        <w:right w:val="none" w:sz="0" w:space="0" w:color="auto"/>
      </w:divBdr>
    </w:div>
    <w:div w:id="78909067">
      <w:bodyDiv w:val="1"/>
      <w:marLeft w:val="0"/>
      <w:marRight w:val="0"/>
      <w:marTop w:val="0"/>
      <w:marBottom w:val="0"/>
      <w:divBdr>
        <w:top w:val="none" w:sz="0" w:space="0" w:color="auto"/>
        <w:left w:val="none" w:sz="0" w:space="0" w:color="auto"/>
        <w:bottom w:val="none" w:sz="0" w:space="0" w:color="auto"/>
        <w:right w:val="none" w:sz="0" w:space="0" w:color="auto"/>
      </w:divBdr>
    </w:div>
    <w:div w:id="187764620">
      <w:bodyDiv w:val="1"/>
      <w:marLeft w:val="0"/>
      <w:marRight w:val="0"/>
      <w:marTop w:val="0"/>
      <w:marBottom w:val="0"/>
      <w:divBdr>
        <w:top w:val="none" w:sz="0" w:space="0" w:color="auto"/>
        <w:left w:val="none" w:sz="0" w:space="0" w:color="auto"/>
        <w:bottom w:val="none" w:sz="0" w:space="0" w:color="auto"/>
        <w:right w:val="none" w:sz="0" w:space="0" w:color="auto"/>
      </w:divBdr>
    </w:div>
    <w:div w:id="286855603">
      <w:bodyDiv w:val="1"/>
      <w:marLeft w:val="0"/>
      <w:marRight w:val="0"/>
      <w:marTop w:val="0"/>
      <w:marBottom w:val="0"/>
      <w:divBdr>
        <w:top w:val="none" w:sz="0" w:space="0" w:color="auto"/>
        <w:left w:val="none" w:sz="0" w:space="0" w:color="auto"/>
        <w:bottom w:val="none" w:sz="0" w:space="0" w:color="auto"/>
        <w:right w:val="none" w:sz="0" w:space="0" w:color="auto"/>
      </w:divBdr>
    </w:div>
    <w:div w:id="381909298">
      <w:bodyDiv w:val="1"/>
      <w:marLeft w:val="0"/>
      <w:marRight w:val="0"/>
      <w:marTop w:val="0"/>
      <w:marBottom w:val="0"/>
      <w:divBdr>
        <w:top w:val="none" w:sz="0" w:space="0" w:color="auto"/>
        <w:left w:val="none" w:sz="0" w:space="0" w:color="auto"/>
        <w:bottom w:val="none" w:sz="0" w:space="0" w:color="auto"/>
        <w:right w:val="none" w:sz="0" w:space="0" w:color="auto"/>
      </w:divBdr>
    </w:div>
    <w:div w:id="508787817">
      <w:bodyDiv w:val="1"/>
      <w:marLeft w:val="0"/>
      <w:marRight w:val="0"/>
      <w:marTop w:val="0"/>
      <w:marBottom w:val="0"/>
      <w:divBdr>
        <w:top w:val="none" w:sz="0" w:space="0" w:color="auto"/>
        <w:left w:val="none" w:sz="0" w:space="0" w:color="auto"/>
        <w:bottom w:val="none" w:sz="0" w:space="0" w:color="auto"/>
        <w:right w:val="none" w:sz="0" w:space="0" w:color="auto"/>
      </w:divBdr>
    </w:div>
    <w:div w:id="529218613">
      <w:bodyDiv w:val="1"/>
      <w:marLeft w:val="0"/>
      <w:marRight w:val="0"/>
      <w:marTop w:val="0"/>
      <w:marBottom w:val="0"/>
      <w:divBdr>
        <w:top w:val="none" w:sz="0" w:space="0" w:color="auto"/>
        <w:left w:val="none" w:sz="0" w:space="0" w:color="auto"/>
        <w:bottom w:val="none" w:sz="0" w:space="0" w:color="auto"/>
        <w:right w:val="none" w:sz="0" w:space="0" w:color="auto"/>
      </w:divBdr>
    </w:div>
    <w:div w:id="827667724">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
    <w:div w:id="904266846">
      <w:bodyDiv w:val="1"/>
      <w:marLeft w:val="0"/>
      <w:marRight w:val="0"/>
      <w:marTop w:val="0"/>
      <w:marBottom w:val="0"/>
      <w:divBdr>
        <w:top w:val="none" w:sz="0" w:space="0" w:color="auto"/>
        <w:left w:val="none" w:sz="0" w:space="0" w:color="auto"/>
        <w:bottom w:val="none" w:sz="0" w:space="0" w:color="auto"/>
        <w:right w:val="none" w:sz="0" w:space="0" w:color="auto"/>
      </w:divBdr>
    </w:div>
    <w:div w:id="1052465256">
      <w:bodyDiv w:val="1"/>
      <w:marLeft w:val="0"/>
      <w:marRight w:val="0"/>
      <w:marTop w:val="0"/>
      <w:marBottom w:val="0"/>
      <w:divBdr>
        <w:top w:val="none" w:sz="0" w:space="0" w:color="auto"/>
        <w:left w:val="none" w:sz="0" w:space="0" w:color="auto"/>
        <w:bottom w:val="none" w:sz="0" w:space="0" w:color="auto"/>
        <w:right w:val="none" w:sz="0" w:space="0" w:color="auto"/>
      </w:divBdr>
    </w:div>
    <w:div w:id="1090199636">
      <w:bodyDiv w:val="1"/>
      <w:marLeft w:val="0"/>
      <w:marRight w:val="0"/>
      <w:marTop w:val="0"/>
      <w:marBottom w:val="0"/>
      <w:divBdr>
        <w:top w:val="none" w:sz="0" w:space="0" w:color="auto"/>
        <w:left w:val="none" w:sz="0" w:space="0" w:color="auto"/>
        <w:bottom w:val="none" w:sz="0" w:space="0" w:color="auto"/>
        <w:right w:val="none" w:sz="0" w:space="0" w:color="auto"/>
      </w:divBdr>
    </w:div>
    <w:div w:id="1112475094">
      <w:bodyDiv w:val="1"/>
      <w:marLeft w:val="0"/>
      <w:marRight w:val="0"/>
      <w:marTop w:val="0"/>
      <w:marBottom w:val="0"/>
      <w:divBdr>
        <w:top w:val="none" w:sz="0" w:space="0" w:color="auto"/>
        <w:left w:val="none" w:sz="0" w:space="0" w:color="auto"/>
        <w:bottom w:val="none" w:sz="0" w:space="0" w:color="auto"/>
        <w:right w:val="none" w:sz="0" w:space="0" w:color="auto"/>
      </w:divBdr>
    </w:div>
    <w:div w:id="1227717896">
      <w:bodyDiv w:val="1"/>
      <w:marLeft w:val="0"/>
      <w:marRight w:val="0"/>
      <w:marTop w:val="0"/>
      <w:marBottom w:val="0"/>
      <w:divBdr>
        <w:top w:val="none" w:sz="0" w:space="0" w:color="auto"/>
        <w:left w:val="none" w:sz="0" w:space="0" w:color="auto"/>
        <w:bottom w:val="none" w:sz="0" w:space="0" w:color="auto"/>
        <w:right w:val="none" w:sz="0" w:space="0" w:color="auto"/>
      </w:divBdr>
    </w:div>
    <w:div w:id="1328631738">
      <w:bodyDiv w:val="1"/>
      <w:marLeft w:val="0"/>
      <w:marRight w:val="0"/>
      <w:marTop w:val="0"/>
      <w:marBottom w:val="0"/>
      <w:divBdr>
        <w:top w:val="none" w:sz="0" w:space="0" w:color="auto"/>
        <w:left w:val="none" w:sz="0" w:space="0" w:color="auto"/>
        <w:bottom w:val="none" w:sz="0" w:space="0" w:color="auto"/>
        <w:right w:val="none" w:sz="0" w:space="0" w:color="auto"/>
      </w:divBdr>
    </w:div>
    <w:div w:id="1334651194">
      <w:bodyDiv w:val="1"/>
      <w:marLeft w:val="0"/>
      <w:marRight w:val="0"/>
      <w:marTop w:val="0"/>
      <w:marBottom w:val="0"/>
      <w:divBdr>
        <w:top w:val="none" w:sz="0" w:space="0" w:color="auto"/>
        <w:left w:val="none" w:sz="0" w:space="0" w:color="auto"/>
        <w:bottom w:val="none" w:sz="0" w:space="0" w:color="auto"/>
        <w:right w:val="none" w:sz="0" w:space="0" w:color="auto"/>
      </w:divBdr>
    </w:div>
    <w:div w:id="1456100210">
      <w:bodyDiv w:val="1"/>
      <w:marLeft w:val="0"/>
      <w:marRight w:val="0"/>
      <w:marTop w:val="0"/>
      <w:marBottom w:val="0"/>
      <w:divBdr>
        <w:top w:val="none" w:sz="0" w:space="0" w:color="auto"/>
        <w:left w:val="none" w:sz="0" w:space="0" w:color="auto"/>
        <w:bottom w:val="none" w:sz="0" w:space="0" w:color="auto"/>
        <w:right w:val="none" w:sz="0" w:space="0" w:color="auto"/>
      </w:divBdr>
    </w:div>
    <w:div w:id="1531529172">
      <w:bodyDiv w:val="1"/>
      <w:marLeft w:val="0"/>
      <w:marRight w:val="0"/>
      <w:marTop w:val="0"/>
      <w:marBottom w:val="0"/>
      <w:divBdr>
        <w:top w:val="none" w:sz="0" w:space="0" w:color="auto"/>
        <w:left w:val="none" w:sz="0" w:space="0" w:color="auto"/>
        <w:bottom w:val="none" w:sz="0" w:space="0" w:color="auto"/>
        <w:right w:val="none" w:sz="0" w:space="0" w:color="auto"/>
      </w:divBdr>
    </w:div>
    <w:div w:id="1537154719">
      <w:bodyDiv w:val="1"/>
      <w:marLeft w:val="0"/>
      <w:marRight w:val="0"/>
      <w:marTop w:val="0"/>
      <w:marBottom w:val="0"/>
      <w:divBdr>
        <w:top w:val="none" w:sz="0" w:space="0" w:color="auto"/>
        <w:left w:val="none" w:sz="0" w:space="0" w:color="auto"/>
        <w:bottom w:val="none" w:sz="0" w:space="0" w:color="auto"/>
        <w:right w:val="none" w:sz="0" w:space="0" w:color="auto"/>
      </w:divBdr>
    </w:div>
    <w:div w:id="1569420535">
      <w:bodyDiv w:val="1"/>
      <w:marLeft w:val="0"/>
      <w:marRight w:val="0"/>
      <w:marTop w:val="0"/>
      <w:marBottom w:val="0"/>
      <w:divBdr>
        <w:top w:val="none" w:sz="0" w:space="0" w:color="auto"/>
        <w:left w:val="none" w:sz="0" w:space="0" w:color="auto"/>
        <w:bottom w:val="none" w:sz="0" w:space="0" w:color="auto"/>
        <w:right w:val="none" w:sz="0" w:space="0" w:color="auto"/>
      </w:divBdr>
    </w:div>
    <w:div w:id="1908418168">
      <w:bodyDiv w:val="1"/>
      <w:marLeft w:val="0"/>
      <w:marRight w:val="0"/>
      <w:marTop w:val="0"/>
      <w:marBottom w:val="0"/>
      <w:divBdr>
        <w:top w:val="none" w:sz="0" w:space="0" w:color="auto"/>
        <w:left w:val="none" w:sz="0" w:space="0" w:color="auto"/>
        <w:bottom w:val="none" w:sz="0" w:space="0" w:color="auto"/>
        <w:right w:val="none" w:sz="0" w:space="0" w:color="auto"/>
      </w:divBdr>
    </w:div>
    <w:div w:id="1919559350">
      <w:bodyDiv w:val="1"/>
      <w:marLeft w:val="0"/>
      <w:marRight w:val="0"/>
      <w:marTop w:val="0"/>
      <w:marBottom w:val="0"/>
      <w:divBdr>
        <w:top w:val="none" w:sz="0" w:space="0" w:color="auto"/>
        <w:left w:val="none" w:sz="0" w:space="0" w:color="auto"/>
        <w:bottom w:val="none" w:sz="0" w:space="0" w:color="auto"/>
        <w:right w:val="none" w:sz="0" w:space="0" w:color="auto"/>
      </w:divBdr>
    </w:div>
    <w:div w:id="1932813435">
      <w:bodyDiv w:val="1"/>
      <w:marLeft w:val="0"/>
      <w:marRight w:val="0"/>
      <w:marTop w:val="0"/>
      <w:marBottom w:val="0"/>
      <w:divBdr>
        <w:top w:val="none" w:sz="0" w:space="0" w:color="auto"/>
        <w:left w:val="none" w:sz="0" w:space="0" w:color="auto"/>
        <w:bottom w:val="none" w:sz="0" w:space="0" w:color="auto"/>
        <w:right w:val="none" w:sz="0" w:space="0" w:color="auto"/>
      </w:divBdr>
    </w:div>
    <w:div w:id="2012249246">
      <w:bodyDiv w:val="1"/>
      <w:marLeft w:val="0"/>
      <w:marRight w:val="0"/>
      <w:marTop w:val="0"/>
      <w:marBottom w:val="0"/>
      <w:divBdr>
        <w:top w:val="none" w:sz="0" w:space="0" w:color="auto"/>
        <w:left w:val="none" w:sz="0" w:space="0" w:color="auto"/>
        <w:bottom w:val="none" w:sz="0" w:space="0" w:color="auto"/>
        <w:right w:val="none" w:sz="0" w:space="0" w:color="auto"/>
      </w:divBdr>
    </w:div>
    <w:div w:id="2044743544">
      <w:bodyDiv w:val="1"/>
      <w:marLeft w:val="0"/>
      <w:marRight w:val="0"/>
      <w:marTop w:val="0"/>
      <w:marBottom w:val="0"/>
      <w:divBdr>
        <w:top w:val="none" w:sz="0" w:space="0" w:color="auto"/>
        <w:left w:val="none" w:sz="0" w:space="0" w:color="auto"/>
        <w:bottom w:val="none" w:sz="0" w:space="0" w:color="auto"/>
        <w:right w:val="none" w:sz="0" w:space="0" w:color="auto"/>
      </w:divBdr>
    </w:div>
    <w:div w:id="2114858177">
      <w:bodyDiv w:val="1"/>
      <w:marLeft w:val="0"/>
      <w:marRight w:val="0"/>
      <w:marTop w:val="0"/>
      <w:marBottom w:val="0"/>
      <w:divBdr>
        <w:top w:val="none" w:sz="0" w:space="0" w:color="auto"/>
        <w:left w:val="none" w:sz="0" w:space="0" w:color="auto"/>
        <w:bottom w:val="none" w:sz="0" w:space="0" w:color="auto"/>
        <w:right w:val="none" w:sz="0" w:space="0" w:color="auto"/>
      </w:divBdr>
    </w:div>
    <w:div w:id="212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690AE1689FA42BC26B5CD96E43519" ma:contentTypeVersion="0" ma:contentTypeDescription="Create a new document." ma:contentTypeScope="" ma:versionID="aea6e69111be2eebfda56e7d48b6a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FBAB-1BDE-4DF3-836A-CA29D04449CA}">
  <ds:schemaRefs>
    <ds:schemaRef ds:uri="http://schemas.microsoft.com/sharepoint/v3/contenttype/forms"/>
  </ds:schemaRefs>
</ds:datastoreItem>
</file>

<file path=customXml/itemProps2.xml><?xml version="1.0" encoding="utf-8"?>
<ds:datastoreItem xmlns:ds="http://schemas.openxmlformats.org/officeDocument/2006/customXml" ds:itemID="{CE9FA608-8ACF-458F-A51A-94917DC5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DB7ECA-9BAA-4E34-ACA5-89093522E735}">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9DE6599-6681-42E5-BE4D-C3F5EA50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Bill Eichman</cp:lastModifiedBy>
  <cp:revision>8</cp:revision>
  <cp:lastPrinted>2015-07-10T12:58:00Z</cp:lastPrinted>
  <dcterms:created xsi:type="dcterms:W3CDTF">2015-07-10T19:47:00Z</dcterms:created>
  <dcterms:modified xsi:type="dcterms:W3CDTF">2015-07-10T20:29:00Z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0x010100131690AE1689FA42BC26B5CD96E43519</vt:lpwstr>
  </property>
</Properties>
</file>