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A3" w:rsidRPr="005370AB" w:rsidRDefault="0024290D" w:rsidP="00D633A5">
      <w:pPr>
        <w:ind w:left="1080" w:hanging="1080"/>
        <w:rPr>
          <w:b/>
          <w:color w:val="FF0000"/>
        </w:rPr>
      </w:pPr>
      <w:r>
        <w:rPr>
          <w:b/>
        </w:rPr>
        <w:t>Date:</w:t>
      </w:r>
      <w:r>
        <w:rPr>
          <w:b/>
        </w:rPr>
        <w:tab/>
      </w:r>
      <w:r w:rsidR="00D633A5" w:rsidRPr="00D633A5">
        <w:rPr>
          <w:b/>
          <w:bCs/>
        </w:rPr>
        <w:t>5 August 2015</w:t>
      </w:r>
    </w:p>
    <w:p w:rsidR="00057440" w:rsidRPr="00887120" w:rsidRDefault="00057440" w:rsidP="0024290D">
      <w:pPr>
        <w:ind w:left="1080" w:hanging="1080"/>
        <w:rPr>
          <w:sz w:val="20"/>
          <w:szCs w:val="20"/>
        </w:rPr>
      </w:pPr>
    </w:p>
    <w:p w:rsidR="00D533C0" w:rsidRDefault="00D533C0" w:rsidP="0024290D">
      <w:pPr>
        <w:ind w:left="1080" w:hanging="1080"/>
        <w:rPr>
          <w:b/>
        </w:rPr>
      </w:pPr>
      <w:r>
        <w:rPr>
          <w:b/>
        </w:rPr>
        <w:t>Title:</w:t>
      </w:r>
      <w:r w:rsidR="0024290D">
        <w:rPr>
          <w:b/>
        </w:rPr>
        <w:tab/>
      </w:r>
      <w:r w:rsidR="005370AB">
        <w:rPr>
          <w:b/>
        </w:rPr>
        <w:t>Annulment of Transmission Service Re</w:t>
      </w:r>
      <w:r w:rsidR="00AD1568">
        <w:rPr>
          <w:b/>
        </w:rPr>
        <w:t>servation</w:t>
      </w:r>
      <w:r w:rsidR="004A1A5A">
        <w:rPr>
          <w:b/>
        </w:rPr>
        <w:t xml:space="preserve"> (TSR)</w:t>
      </w:r>
    </w:p>
    <w:p w:rsidR="00D533C0" w:rsidRDefault="00D533C0" w:rsidP="0024290D">
      <w:pPr>
        <w:ind w:left="1080" w:hanging="1080"/>
        <w:rPr>
          <w:b/>
        </w:rPr>
      </w:pPr>
    </w:p>
    <w:p w:rsidR="002069E1" w:rsidRPr="0024290D" w:rsidRDefault="00D533C0" w:rsidP="0024290D">
      <w:pPr>
        <w:ind w:left="1080" w:hanging="1080"/>
        <w:rPr>
          <w:sz w:val="20"/>
          <w:szCs w:val="20"/>
        </w:rPr>
      </w:pPr>
      <w:r w:rsidRPr="0024290D">
        <w:rPr>
          <w:b/>
        </w:rPr>
        <w:t>Purpose</w:t>
      </w:r>
      <w:r w:rsidR="00057440" w:rsidRPr="0024290D">
        <w:rPr>
          <w:b/>
        </w:rPr>
        <w:t>:</w:t>
      </w:r>
      <w:r w:rsidR="0024290D" w:rsidRPr="0024290D">
        <w:rPr>
          <w:b/>
        </w:rPr>
        <w:tab/>
      </w:r>
      <w:r w:rsidR="0098291F" w:rsidRPr="00AD1568">
        <w:rPr>
          <w:i/>
        </w:rPr>
        <w:t xml:space="preserve">Outlines </w:t>
      </w:r>
      <w:r w:rsidR="004A1A5A">
        <w:rPr>
          <w:i/>
        </w:rPr>
        <w:t>CSU’</w:t>
      </w:r>
      <w:r w:rsidR="004A1A5A" w:rsidRPr="00AD1568">
        <w:rPr>
          <w:i/>
        </w:rPr>
        <w:t xml:space="preserve">s </w:t>
      </w:r>
      <w:r w:rsidR="004A1A5A">
        <w:rPr>
          <w:i/>
        </w:rPr>
        <w:t>business practice</w:t>
      </w:r>
      <w:r w:rsidR="004A1A5A" w:rsidRPr="00AD1568">
        <w:rPr>
          <w:i/>
        </w:rPr>
        <w:t xml:space="preserve"> for annul</w:t>
      </w:r>
      <w:r w:rsidR="004A1A5A">
        <w:rPr>
          <w:i/>
        </w:rPr>
        <w:t xml:space="preserve">ling a </w:t>
      </w:r>
      <w:r w:rsidR="004A1A5A" w:rsidRPr="00AD1568">
        <w:rPr>
          <w:i/>
        </w:rPr>
        <w:t>TSR</w:t>
      </w:r>
      <w:r w:rsidR="0098291F">
        <w:rPr>
          <w:i/>
        </w:rPr>
        <w:t>.</w:t>
      </w:r>
      <w:r w:rsidR="00AD1568" w:rsidRPr="00AD1568">
        <w:rPr>
          <w:rFonts w:ascii="Calibri" w:hAnsi="Calibri" w:cs="Calibri"/>
          <w:color w:val="000000"/>
        </w:rPr>
        <w:t xml:space="preserve"> </w:t>
      </w:r>
      <w:r w:rsidR="00AD1568" w:rsidRPr="00AD1568">
        <w:rPr>
          <w:i/>
        </w:rPr>
        <w:t xml:space="preserve"> </w:t>
      </w:r>
      <w:r w:rsidR="00AD1568">
        <w:rPr>
          <w:i/>
        </w:rPr>
        <w:br/>
      </w:r>
    </w:p>
    <w:p w:rsidR="002069E1" w:rsidRPr="0024290D" w:rsidRDefault="00D533C0" w:rsidP="0024290D">
      <w:pPr>
        <w:ind w:left="1080" w:hanging="1080"/>
        <w:rPr>
          <w:i/>
        </w:rPr>
      </w:pPr>
      <w:r w:rsidRPr="0024290D">
        <w:rPr>
          <w:b/>
        </w:rPr>
        <w:t>Scope</w:t>
      </w:r>
      <w:r w:rsidR="002069E1" w:rsidRPr="0024290D">
        <w:rPr>
          <w:b/>
        </w:rPr>
        <w:t>:</w:t>
      </w:r>
      <w:r w:rsidR="0024290D" w:rsidRPr="0024290D">
        <w:rPr>
          <w:b/>
        </w:rPr>
        <w:tab/>
      </w:r>
      <w:r w:rsidR="0098291F">
        <w:rPr>
          <w:i/>
        </w:rPr>
        <w:t>Applicable</w:t>
      </w:r>
      <w:r w:rsidR="00AD1568">
        <w:rPr>
          <w:i/>
        </w:rPr>
        <w:t xml:space="preserve"> to</w:t>
      </w:r>
      <w:r w:rsidR="005370AB">
        <w:rPr>
          <w:i/>
        </w:rPr>
        <w:t xml:space="preserve"> </w:t>
      </w:r>
      <w:r w:rsidR="00AD1568">
        <w:rPr>
          <w:i/>
        </w:rPr>
        <w:t>T</w:t>
      </w:r>
      <w:r w:rsidR="0098291F">
        <w:rPr>
          <w:i/>
        </w:rPr>
        <w:t xml:space="preserve">ransmission </w:t>
      </w:r>
      <w:r w:rsidR="00AD1568">
        <w:rPr>
          <w:i/>
        </w:rPr>
        <w:t>C</w:t>
      </w:r>
      <w:r w:rsidR="0098291F">
        <w:rPr>
          <w:i/>
        </w:rPr>
        <w:t>ustomer (TC)</w:t>
      </w:r>
      <w:r w:rsidR="00AD1568">
        <w:rPr>
          <w:i/>
        </w:rPr>
        <w:t xml:space="preserve"> </w:t>
      </w:r>
      <w:r w:rsidR="005370AB">
        <w:rPr>
          <w:i/>
        </w:rPr>
        <w:t xml:space="preserve">requests </w:t>
      </w:r>
      <w:r w:rsidR="008E63D7">
        <w:rPr>
          <w:i/>
        </w:rPr>
        <w:t>for</w:t>
      </w:r>
      <w:r w:rsidR="005370AB">
        <w:rPr>
          <w:i/>
        </w:rPr>
        <w:t xml:space="preserve"> annulment of a CONFIRMED TSR</w:t>
      </w:r>
      <w:r w:rsidR="002069E1" w:rsidRPr="0024290D">
        <w:rPr>
          <w:i/>
        </w:rPr>
        <w:t>.</w:t>
      </w:r>
    </w:p>
    <w:p w:rsidR="00853E86" w:rsidRDefault="00853E86">
      <w:pPr>
        <w:rPr>
          <w:i/>
          <w:sz w:val="20"/>
          <w:szCs w:val="20"/>
        </w:rPr>
      </w:pPr>
    </w:p>
    <w:p w:rsidR="00853E86" w:rsidRDefault="00C76351" w:rsidP="00853E86">
      <w:pPr>
        <w:rPr>
          <w:b/>
        </w:rPr>
      </w:pPr>
      <w:r>
        <w:rPr>
          <w:b/>
        </w:rPr>
        <w:t>Plan/Process</w:t>
      </w:r>
      <w:r w:rsidR="00853E86">
        <w:rPr>
          <w:b/>
        </w:rPr>
        <w:t>:</w:t>
      </w:r>
    </w:p>
    <w:p w:rsidR="00AD1568" w:rsidRPr="00F65C3B" w:rsidRDefault="00AD1568" w:rsidP="00F65C3B">
      <w:pPr>
        <w:pStyle w:val="BlockText"/>
        <w:ind w:left="270" w:right="360"/>
        <w:jc w:val="center"/>
        <w:rPr>
          <w:rStyle w:val="IntenseEmphasis"/>
          <w:rFonts w:cstheme="minorHAnsi"/>
        </w:rPr>
      </w:pPr>
      <w:r w:rsidRPr="00F65C3B">
        <w:rPr>
          <w:rStyle w:val="IntenseEmphasis"/>
          <w:rFonts w:cstheme="minorHAnsi"/>
        </w:rPr>
        <w:t>Note:</w:t>
      </w:r>
    </w:p>
    <w:p w:rsidR="00E10FB8" w:rsidRPr="00E10FB8" w:rsidRDefault="00AD1568" w:rsidP="00E10FB8">
      <w:pPr>
        <w:pStyle w:val="BlockText"/>
        <w:numPr>
          <w:ilvl w:val="0"/>
          <w:numId w:val="18"/>
        </w:numPr>
        <w:ind w:left="630" w:right="360"/>
      </w:pPr>
      <w:r w:rsidRPr="00E10FB8">
        <w:t xml:space="preserve">CSU will only annul a TSR with </w:t>
      </w:r>
      <w:r w:rsidR="00F65C3B">
        <w:t>CONFIRMED</w:t>
      </w:r>
      <w:r w:rsidR="00F65C3B" w:rsidRPr="00E10FB8">
        <w:t xml:space="preserve"> </w:t>
      </w:r>
      <w:r w:rsidRPr="00E10FB8">
        <w:t xml:space="preserve">status </w:t>
      </w:r>
      <w:r w:rsidR="00E10FB8">
        <w:t>&amp;</w:t>
      </w:r>
      <w:r w:rsidRPr="00E10FB8">
        <w:t xml:space="preserve"> </w:t>
      </w:r>
      <w:r w:rsidR="00256190">
        <w:t>without</w:t>
      </w:r>
      <w:r w:rsidR="00E10FB8">
        <w:t xml:space="preserve"> an implemented schedule</w:t>
      </w:r>
    </w:p>
    <w:p w:rsidR="00E10FB8" w:rsidRPr="00E10FB8" w:rsidRDefault="00683D92" w:rsidP="00E10FB8">
      <w:pPr>
        <w:pStyle w:val="BlockText"/>
        <w:numPr>
          <w:ilvl w:val="0"/>
          <w:numId w:val="18"/>
        </w:numPr>
        <w:ind w:left="630" w:right="360"/>
      </w:pPr>
      <w:r w:rsidRPr="00E10FB8">
        <w:t xml:space="preserve">CSU will not accept requests for TSRs starting in the </w:t>
      </w:r>
      <w:r w:rsidRPr="00256190">
        <w:rPr>
          <w:u w:val="single"/>
        </w:rPr>
        <w:t>current</w:t>
      </w:r>
      <w:r w:rsidRPr="00E10FB8">
        <w:t xml:space="preserve"> or </w:t>
      </w:r>
      <w:r w:rsidRPr="00256190">
        <w:rPr>
          <w:u w:val="single"/>
        </w:rPr>
        <w:t>next</w:t>
      </w:r>
      <w:r w:rsidRPr="00E10FB8">
        <w:t xml:space="preserve"> </w:t>
      </w:r>
      <w:r w:rsidR="00E10FB8" w:rsidRPr="00E10FB8">
        <w:t xml:space="preserve">scheduling </w:t>
      </w:r>
      <w:r w:rsidRPr="00E10FB8">
        <w:t>hour.</w:t>
      </w:r>
    </w:p>
    <w:p w:rsidR="00853E86" w:rsidRPr="00E10FB8" w:rsidRDefault="00683D92" w:rsidP="00E10FB8">
      <w:pPr>
        <w:pStyle w:val="BlockText"/>
        <w:numPr>
          <w:ilvl w:val="0"/>
          <w:numId w:val="18"/>
        </w:numPr>
        <w:ind w:left="630" w:right="360"/>
      </w:pPr>
      <w:r w:rsidRPr="00E10FB8">
        <w:t>CSU may annul a TSR if CSU incorrectly accepts that TSR.</w:t>
      </w:r>
    </w:p>
    <w:p w:rsidR="00256190" w:rsidRDefault="00256190" w:rsidP="00256190">
      <w:pPr>
        <w:pStyle w:val="BlockText"/>
        <w:ind w:left="270" w:right="360"/>
        <w:rPr>
          <w:rStyle w:val="IntenseEmphasis"/>
          <w:rFonts w:cstheme="minorHAnsi"/>
          <w:b w:val="0"/>
        </w:rPr>
      </w:pPr>
    </w:p>
    <w:p w:rsidR="004A1A5A" w:rsidRPr="00256190" w:rsidRDefault="0098291F" w:rsidP="00256190">
      <w:pPr>
        <w:pStyle w:val="BlockText"/>
        <w:ind w:left="270" w:right="360"/>
        <w:rPr>
          <w:rStyle w:val="IntenseEmphasis"/>
          <w:rFonts w:cstheme="minorHAnsi"/>
          <w:b w:val="0"/>
        </w:rPr>
      </w:pPr>
      <w:r w:rsidRPr="00256190">
        <w:rPr>
          <w:rStyle w:val="IntenseEmphasis"/>
          <w:rFonts w:cstheme="minorHAnsi"/>
          <w:b w:val="0"/>
        </w:rPr>
        <w:t>CSU may annul a TSR if an unintentional mistake is made entering a valid request. Th</w:t>
      </w:r>
      <w:r w:rsidR="00256190">
        <w:rPr>
          <w:rStyle w:val="IntenseEmphasis"/>
          <w:rFonts w:cstheme="minorHAnsi"/>
          <w:b w:val="0"/>
        </w:rPr>
        <w:t xml:space="preserve">is </w:t>
      </w:r>
      <w:r w:rsidRPr="00256190">
        <w:rPr>
          <w:rStyle w:val="IntenseEmphasis"/>
          <w:rFonts w:cstheme="minorHAnsi"/>
          <w:b w:val="0"/>
        </w:rPr>
        <w:t>determination will be at the sole discretion of the Electric System Operations Superintendent, or designee, under the specific conditions present at the time.</w:t>
      </w:r>
      <w:r w:rsidR="00256190" w:rsidRPr="00256190">
        <w:rPr>
          <w:rFonts w:ascii="Arial" w:hAnsi="Arial" w:cs="Arial"/>
          <w:color w:val="000000"/>
          <w:sz w:val="20"/>
          <w:szCs w:val="20"/>
        </w:rPr>
        <w:t xml:space="preserve"> </w:t>
      </w:r>
      <w:r w:rsidR="00256190" w:rsidRPr="00256190">
        <w:rPr>
          <w:rFonts w:cstheme="minorHAnsi"/>
          <w:bCs/>
        </w:rPr>
        <w:t xml:space="preserve">A reservation will not be annulled </w:t>
      </w:r>
      <w:r w:rsidR="00F65C3B">
        <w:rPr>
          <w:rFonts w:cstheme="minorHAnsi"/>
          <w:bCs/>
        </w:rPr>
        <w:t>on the basis of</w:t>
      </w:r>
      <w:r w:rsidR="00256190" w:rsidRPr="00256190">
        <w:rPr>
          <w:rFonts w:cstheme="minorHAnsi"/>
          <w:bCs/>
        </w:rPr>
        <w:t xml:space="preserve"> the customer</w:t>
      </w:r>
      <w:r w:rsidR="00256190" w:rsidRPr="00256190">
        <w:rPr>
          <w:rFonts w:cstheme="minorHAnsi"/>
          <w:bCs/>
          <w:iCs w:val="0"/>
        </w:rPr>
        <w:t xml:space="preserve"> </w:t>
      </w:r>
      <w:r w:rsidR="00256190" w:rsidRPr="00256190">
        <w:rPr>
          <w:rFonts w:cstheme="minorHAnsi"/>
          <w:bCs/>
        </w:rPr>
        <w:t>decid</w:t>
      </w:r>
      <w:r w:rsidR="00F65C3B">
        <w:rPr>
          <w:rFonts w:cstheme="minorHAnsi"/>
          <w:bCs/>
        </w:rPr>
        <w:t>ing</w:t>
      </w:r>
      <w:r w:rsidR="00256190" w:rsidRPr="00256190">
        <w:rPr>
          <w:rFonts w:cstheme="minorHAnsi"/>
          <w:bCs/>
        </w:rPr>
        <w:t xml:space="preserve"> they cannot use the service.</w:t>
      </w:r>
    </w:p>
    <w:p w:rsidR="00AF30AE" w:rsidRPr="004A1A5A" w:rsidRDefault="00AF30AE" w:rsidP="00853E86"/>
    <w:p w:rsidR="00BF4D29" w:rsidRDefault="00256190" w:rsidP="00BF4D29">
      <w:pPr>
        <w:numPr>
          <w:ilvl w:val="0"/>
          <w:numId w:val="4"/>
        </w:numPr>
        <w:tabs>
          <w:tab w:val="clear" w:pos="720"/>
        </w:tabs>
        <w:ind w:left="360"/>
      </w:pPr>
      <w:r w:rsidRPr="00BF4D29">
        <w:rPr>
          <w:bCs/>
          <w:iCs/>
        </w:rPr>
        <w:t xml:space="preserve">To request </w:t>
      </w:r>
      <w:r w:rsidR="00BF4D29">
        <w:rPr>
          <w:bCs/>
          <w:iCs/>
        </w:rPr>
        <w:t>a</w:t>
      </w:r>
      <w:r w:rsidRPr="00BF4D29">
        <w:rPr>
          <w:bCs/>
          <w:iCs/>
        </w:rPr>
        <w:t xml:space="preserve"> reservation</w:t>
      </w:r>
      <w:r w:rsidR="0098291F" w:rsidRPr="00BF4D29">
        <w:rPr>
          <w:bCs/>
          <w:iCs/>
        </w:rPr>
        <w:t xml:space="preserve"> be annul</w:t>
      </w:r>
      <w:r w:rsidR="00BF4D29" w:rsidRPr="00BF4D29">
        <w:rPr>
          <w:bCs/>
          <w:iCs/>
        </w:rPr>
        <w:t>led</w:t>
      </w:r>
      <w:r w:rsidR="0098291F" w:rsidRPr="00BF4D29">
        <w:rPr>
          <w:bCs/>
          <w:iCs/>
        </w:rPr>
        <w:t xml:space="preserve">, the customer must notify </w:t>
      </w:r>
      <w:r w:rsidR="0098291F">
        <w:t>CSU’s System Operations</w:t>
      </w:r>
      <w:r>
        <w:t>,</w:t>
      </w:r>
      <w:r w:rsidR="0098291F">
        <w:t xml:space="preserve"> (719) 668-4091</w:t>
      </w:r>
      <w:r>
        <w:t>,</w:t>
      </w:r>
      <w:r w:rsidR="0098291F">
        <w:t xml:space="preserve"> </w:t>
      </w:r>
      <w:r w:rsidR="0098291F" w:rsidRPr="00BF4D29">
        <w:rPr>
          <w:bCs/>
          <w:iCs/>
        </w:rPr>
        <w:t xml:space="preserve">within 20 minutes </w:t>
      </w:r>
      <w:r w:rsidR="00BF4D29" w:rsidRPr="00BF4D29">
        <w:rPr>
          <w:bCs/>
          <w:iCs/>
        </w:rPr>
        <w:t xml:space="preserve">of </w:t>
      </w:r>
      <w:r w:rsidR="0098291F" w:rsidRPr="00BF4D29">
        <w:rPr>
          <w:bCs/>
          <w:iCs/>
        </w:rPr>
        <w:t>the reservation</w:t>
      </w:r>
      <w:r w:rsidRPr="00BF4D29">
        <w:rPr>
          <w:bCs/>
          <w:iCs/>
        </w:rPr>
        <w:t>’s queue time</w:t>
      </w:r>
      <w:r w:rsidR="0098291F" w:rsidRPr="00BF4D29">
        <w:rPr>
          <w:bCs/>
          <w:iCs/>
        </w:rPr>
        <w:t xml:space="preserve"> for any hourly</w:t>
      </w:r>
      <w:r w:rsidRPr="00BF4D29">
        <w:rPr>
          <w:bCs/>
          <w:iCs/>
        </w:rPr>
        <w:t xml:space="preserve"> or daily</w:t>
      </w:r>
      <w:r w:rsidR="0098291F" w:rsidRPr="00BF4D29">
        <w:rPr>
          <w:bCs/>
          <w:iCs/>
        </w:rPr>
        <w:t xml:space="preserve"> service</w:t>
      </w:r>
      <w:r w:rsidRPr="00BF4D29">
        <w:rPr>
          <w:bCs/>
          <w:iCs/>
        </w:rPr>
        <w:t xml:space="preserve"> (</w:t>
      </w:r>
      <w:r w:rsidR="0098291F" w:rsidRPr="00BF4D29">
        <w:rPr>
          <w:bCs/>
          <w:iCs/>
        </w:rPr>
        <w:t>24 hrs</w:t>
      </w:r>
      <w:r w:rsidRPr="00BF4D29">
        <w:rPr>
          <w:bCs/>
          <w:iCs/>
        </w:rPr>
        <w:t xml:space="preserve"> for any weekly or longer service)</w:t>
      </w:r>
      <w:r w:rsidR="00BF4D29">
        <w:rPr>
          <w:bCs/>
          <w:iCs/>
        </w:rPr>
        <w:t>, provide the reason for the request,</w:t>
      </w:r>
      <w:r w:rsidR="0098291F" w:rsidRPr="00BF4D29">
        <w:rPr>
          <w:bCs/>
          <w:iCs/>
        </w:rPr>
        <w:t xml:space="preserve"> </w:t>
      </w:r>
      <w:r w:rsidR="00E10FB8">
        <w:t xml:space="preserve">AND </w:t>
      </w:r>
      <w:r w:rsidR="00683D92">
        <w:t xml:space="preserve">submit a pre-confirmed </w:t>
      </w:r>
      <w:r w:rsidR="00BF4D29" w:rsidRPr="00BF4D29">
        <w:rPr>
          <w:i/>
        </w:rPr>
        <w:t>replacement</w:t>
      </w:r>
      <w:r w:rsidR="00BF4D29">
        <w:t xml:space="preserve"> request on OASIS.</w:t>
      </w:r>
    </w:p>
    <w:p w:rsidR="00BF4D29" w:rsidRDefault="00BF4D29" w:rsidP="00BF4D29"/>
    <w:p w:rsidR="00AF30AE" w:rsidRPr="00BF4D29" w:rsidRDefault="00AF30AE" w:rsidP="0098291F">
      <w:pPr>
        <w:numPr>
          <w:ilvl w:val="0"/>
          <w:numId w:val="4"/>
        </w:numPr>
        <w:tabs>
          <w:tab w:val="clear" w:pos="720"/>
        </w:tabs>
        <w:ind w:left="360"/>
      </w:pPr>
      <w:r w:rsidRPr="00BF4D29">
        <w:rPr>
          <w:sz w:val="23"/>
          <w:szCs w:val="23"/>
        </w:rPr>
        <w:t>The</w:t>
      </w:r>
      <w:r w:rsidR="00256190" w:rsidRPr="00BF4D29">
        <w:rPr>
          <w:sz w:val="23"/>
          <w:szCs w:val="23"/>
        </w:rPr>
        <w:t xml:space="preserve"> </w:t>
      </w:r>
      <w:r w:rsidR="00BF4D29" w:rsidRPr="00BF4D29">
        <w:rPr>
          <w:i/>
          <w:sz w:val="23"/>
          <w:szCs w:val="23"/>
        </w:rPr>
        <w:t>replacement</w:t>
      </w:r>
      <w:r w:rsidR="00BF4D29" w:rsidRPr="00BF4D29">
        <w:rPr>
          <w:sz w:val="23"/>
          <w:szCs w:val="23"/>
        </w:rPr>
        <w:t xml:space="preserve"> </w:t>
      </w:r>
      <w:r w:rsidRPr="00BF4D29">
        <w:rPr>
          <w:sz w:val="23"/>
          <w:szCs w:val="23"/>
        </w:rPr>
        <w:t>request must be of an equal or greater MW</w:t>
      </w:r>
      <w:r w:rsidRPr="00BF4D29">
        <w:rPr>
          <w:sz w:val="16"/>
          <w:szCs w:val="16"/>
        </w:rPr>
        <w:t xml:space="preserve"> </w:t>
      </w:r>
      <w:r w:rsidRPr="00BF4D29">
        <w:rPr>
          <w:sz w:val="23"/>
          <w:szCs w:val="23"/>
        </w:rPr>
        <w:t xml:space="preserve">and Service Increment Type and include a Customer Comment noting the TC’s request </w:t>
      </w:r>
      <w:r w:rsidR="00BF4D29" w:rsidRPr="00BF4D29">
        <w:rPr>
          <w:sz w:val="23"/>
          <w:szCs w:val="23"/>
        </w:rPr>
        <w:t>for</w:t>
      </w:r>
      <w:r w:rsidRPr="00BF4D29">
        <w:rPr>
          <w:sz w:val="23"/>
          <w:szCs w:val="23"/>
        </w:rPr>
        <w:t xml:space="preserve"> annulment</w:t>
      </w:r>
      <w:r w:rsidR="00BF4D29" w:rsidRPr="00BF4D29">
        <w:rPr>
          <w:sz w:val="23"/>
          <w:szCs w:val="23"/>
        </w:rPr>
        <w:t>,</w:t>
      </w:r>
      <w:r w:rsidRPr="00BF4D29">
        <w:rPr>
          <w:sz w:val="23"/>
          <w:szCs w:val="23"/>
        </w:rPr>
        <w:t xml:space="preserve"> </w:t>
      </w:r>
      <w:r w:rsidR="00BF4D29" w:rsidRPr="00BF4D29">
        <w:rPr>
          <w:sz w:val="23"/>
          <w:szCs w:val="23"/>
        </w:rPr>
        <w:t>and reason, along with</w:t>
      </w:r>
      <w:r w:rsidRPr="00BF4D29">
        <w:rPr>
          <w:sz w:val="23"/>
          <w:szCs w:val="23"/>
        </w:rPr>
        <w:t xml:space="preserve"> the associated TSR reference number of the </w:t>
      </w:r>
      <w:r w:rsidR="00BF4D29" w:rsidRPr="00BF4D29">
        <w:rPr>
          <w:i/>
          <w:sz w:val="23"/>
          <w:szCs w:val="23"/>
        </w:rPr>
        <w:t>original</w:t>
      </w:r>
      <w:r w:rsidR="00BF4D29" w:rsidRPr="00BF4D29">
        <w:rPr>
          <w:sz w:val="23"/>
          <w:szCs w:val="23"/>
        </w:rPr>
        <w:t xml:space="preserve"> </w:t>
      </w:r>
      <w:r w:rsidRPr="00BF4D29">
        <w:rPr>
          <w:sz w:val="23"/>
          <w:szCs w:val="23"/>
        </w:rPr>
        <w:t>reservation.</w:t>
      </w:r>
    </w:p>
    <w:p w:rsidR="00BF4D29" w:rsidRDefault="00BF4D29" w:rsidP="00BF4D29"/>
    <w:p w:rsidR="00702CBD" w:rsidRPr="00AF30AE" w:rsidRDefault="00AF30AE" w:rsidP="0098291F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sz w:val="23"/>
          <w:szCs w:val="23"/>
        </w:rPr>
        <w:t>CSU will determine whether an unintentional mistake was made</w:t>
      </w:r>
      <w:r w:rsidR="00BF4D29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evaluate the ability to accept the </w:t>
      </w:r>
      <w:r w:rsidR="00BF4D29" w:rsidRPr="00BF4D29">
        <w:rPr>
          <w:i/>
          <w:sz w:val="23"/>
          <w:szCs w:val="23"/>
        </w:rPr>
        <w:t>replacement</w:t>
      </w:r>
      <w:r w:rsidR="00BF4D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request, and if CSU determines that it can, it will accept the </w:t>
      </w:r>
      <w:r w:rsidR="00BF4D29" w:rsidRPr="00BF4D29">
        <w:rPr>
          <w:i/>
          <w:sz w:val="23"/>
          <w:szCs w:val="23"/>
        </w:rPr>
        <w:t>replacement</w:t>
      </w:r>
      <w:r w:rsidR="00BF4D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request and </w:t>
      </w:r>
      <w:r w:rsidR="00BF4D29" w:rsidRPr="00BF4D29">
        <w:rPr>
          <w:sz w:val="23"/>
          <w:szCs w:val="23"/>
        </w:rPr>
        <w:t>ANNUL</w:t>
      </w:r>
      <w:r w:rsidR="00BF4D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</w:t>
      </w:r>
      <w:r w:rsidR="00BF4D29" w:rsidRPr="00BF4D29">
        <w:rPr>
          <w:i/>
          <w:sz w:val="23"/>
          <w:szCs w:val="23"/>
        </w:rPr>
        <w:t>original</w:t>
      </w:r>
      <w:r>
        <w:rPr>
          <w:sz w:val="23"/>
          <w:szCs w:val="23"/>
        </w:rPr>
        <w:t xml:space="preserve">. If CSU determines that it cannot accept the </w:t>
      </w:r>
      <w:r w:rsidR="00BF4D29" w:rsidRPr="00BF4D29">
        <w:rPr>
          <w:i/>
          <w:sz w:val="23"/>
          <w:szCs w:val="23"/>
        </w:rPr>
        <w:t>replacement</w:t>
      </w:r>
      <w:r w:rsidR="00BF4D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request, it will </w:t>
      </w:r>
      <w:r w:rsidR="00BF4D29">
        <w:rPr>
          <w:sz w:val="23"/>
          <w:szCs w:val="23"/>
        </w:rPr>
        <w:t xml:space="preserve">REJECT </w:t>
      </w:r>
      <w:r>
        <w:rPr>
          <w:sz w:val="23"/>
          <w:szCs w:val="23"/>
        </w:rPr>
        <w:t xml:space="preserve">the </w:t>
      </w:r>
      <w:r w:rsidR="00BF4D29" w:rsidRPr="00BF4D29">
        <w:rPr>
          <w:i/>
          <w:sz w:val="23"/>
          <w:szCs w:val="23"/>
        </w:rPr>
        <w:t>replacement</w:t>
      </w:r>
      <w:r w:rsidR="00BF4D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request and </w:t>
      </w:r>
      <w:r w:rsidR="00BF4D29">
        <w:rPr>
          <w:sz w:val="23"/>
          <w:szCs w:val="23"/>
        </w:rPr>
        <w:t xml:space="preserve">NOT ANNUL </w:t>
      </w:r>
      <w:r>
        <w:rPr>
          <w:sz w:val="23"/>
          <w:szCs w:val="23"/>
        </w:rPr>
        <w:t xml:space="preserve">the </w:t>
      </w:r>
      <w:r w:rsidR="00BF4D29" w:rsidRPr="00BF4D29">
        <w:rPr>
          <w:i/>
          <w:sz w:val="23"/>
          <w:szCs w:val="23"/>
        </w:rPr>
        <w:t>original</w:t>
      </w:r>
      <w:r>
        <w:rPr>
          <w:sz w:val="23"/>
          <w:szCs w:val="23"/>
        </w:rPr>
        <w:t>.</w:t>
      </w:r>
      <w:r w:rsidR="00BF4D29">
        <w:rPr>
          <w:sz w:val="23"/>
          <w:szCs w:val="23"/>
        </w:rPr>
        <w:t xml:space="preserve"> All decisions will be noted in Seller Comments.</w:t>
      </w:r>
    </w:p>
    <w:p w:rsidR="00AF30AE" w:rsidRDefault="00AF30AE" w:rsidP="0098291F">
      <w:pPr>
        <w:pStyle w:val="ListParagraph"/>
        <w:ind w:left="360"/>
      </w:pPr>
    </w:p>
    <w:p w:rsidR="00AF30AE" w:rsidRPr="00D70D4F" w:rsidRDefault="00AF30AE" w:rsidP="0098291F">
      <w:pPr>
        <w:numPr>
          <w:ilvl w:val="0"/>
          <w:numId w:val="4"/>
        </w:numPr>
        <w:tabs>
          <w:tab w:val="clear" w:pos="720"/>
        </w:tabs>
        <w:ind w:left="360"/>
      </w:pPr>
      <w:r w:rsidRPr="00AF30AE">
        <w:t xml:space="preserve">If </w:t>
      </w:r>
      <w:r>
        <w:t>CSU</w:t>
      </w:r>
      <w:r w:rsidRPr="00AF30AE">
        <w:t xml:space="preserve"> approves a request in error (e.g. </w:t>
      </w:r>
      <w:r w:rsidR="00BF4D29">
        <w:t>invalid</w:t>
      </w:r>
      <w:r w:rsidRPr="00AF30AE">
        <w:t xml:space="preserve"> request</w:t>
      </w:r>
      <w:r>
        <w:t xml:space="preserve">, </w:t>
      </w:r>
      <w:r w:rsidRPr="00AF30AE">
        <w:t xml:space="preserve">or transmission capacity unavailable), </w:t>
      </w:r>
      <w:r>
        <w:t>CSU</w:t>
      </w:r>
      <w:r w:rsidRPr="00AF30AE">
        <w:t xml:space="preserve"> will notify the </w:t>
      </w:r>
      <w:r w:rsidR="004E3B40">
        <w:t>customer</w:t>
      </w:r>
      <w:r w:rsidRPr="00AF30AE">
        <w:t xml:space="preserve"> of the circumstances and w</w:t>
      </w:r>
      <w:r w:rsidR="00BF4D29">
        <w:t>ill set the TSR to ANNULLED</w:t>
      </w:r>
      <w:r w:rsidRPr="00AF30AE">
        <w:t xml:space="preserve"> status</w:t>
      </w:r>
      <w:r w:rsidR="00BF4D29">
        <w:t>, noting</w:t>
      </w:r>
      <w:r w:rsidRPr="00AF30AE">
        <w:t xml:space="preserve"> the reason in the Seller Comment.</w:t>
      </w:r>
    </w:p>
    <w:p w:rsidR="00763ACA" w:rsidRDefault="00763ACA" w:rsidP="0037730A"/>
    <w:sectPr w:rsidR="00763ACA" w:rsidSect="00A31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29" w:rsidRDefault="00BF4D29">
      <w:r>
        <w:separator/>
      </w:r>
    </w:p>
  </w:endnote>
  <w:endnote w:type="continuationSeparator" w:id="0">
    <w:p w:rsidR="00BF4D29" w:rsidRDefault="00B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40" w:rsidRDefault="00C15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40" w:rsidRDefault="00C155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28"/>
      <w:gridCol w:w="3780"/>
      <w:gridCol w:w="270"/>
      <w:gridCol w:w="1620"/>
      <w:gridCol w:w="3168"/>
    </w:tblGrid>
    <w:tr w:rsidR="00BF4D29" w:rsidRPr="00D70D4F" w:rsidTr="005370AB">
      <w:tc>
        <w:tcPr>
          <w:tcW w:w="1728" w:type="dxa"/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  <w:r w:rsidRPr="00D70D4F">
            <w:rPr>
              <w:b/>
              <w:i/>
            </w:rPr>
            <w:t>Written by:</w:t>
          </w:r>
        </w:p>
      </w:tc>
      <w:tc>
        <w:tcPr>
          <w:tcW w:w="3780" w:type="dxa"/>
          <w:tcBorders>
            <w:bottom w:val="single" w:sz="4" w:space="0" w:color="000000" w:themeColor="text1"/>
          </w:tcBorders>
        </w:tcPr>
        <w:p w:rsidR="00BF4D29" w:rsidRPr="00D70D4F" w:rsidRDefault="00BF4D29" w:rsidP="00D70D4F">
          <w:pPr>
            <w:rPr>
              <w:b/>
              <w:i/>
              <w:sz w:val="20"/>
              <w:szCs w:val="20"/>
            </w:rPr>
          </w:pPr>
          <w:r w:rsidRPr="00D70D4F">
            <w:rPr>
              <w:b/>
            </w:rPr>
            <w:t>Warren</w:t>
          </w:r>
          <w:r w:rsidRPr="00D70D4F">
            <w:rPr>
              <w:b/>
              <w:i/>
              <w:sz w:val="20"/>
              <w:szCs w:val="20"/>
            </w:rPr>
            <w:t xml:space="preserve"> </w:t>
          </w:r>
          <w:r w:rsidRPr="00D70D4F">
            <w:rPr>
              <w:b/>
            </w:rPr>
            <w:t>Rust</w:t>
          </w:r>
        </w:p>
      </w:tc>
      <w:tc>
        <w:tcPr>
          <w:tcW w:w="270" w:type="dxa"/>
        </w:tcPr>
        <w:p w:rsidR="00BF4D29" w:rsidRPr="00D70D4F" w:rsidRDefault="00BF4D29" w:rsidP="00D70D4F">
          <w:pPr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620" w:type="dxa"/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  <w:r w:rsidRPr="00D70D4F">
            <w:rPr>
              <w:b/>
              <w:i/>
            </w:rPr>
            <w:t>Effective On:</w:t>
          </w:r>
        </w:p>
      </w:tc>
      <w:tc>
        <w:tcPr>
          <w:tcW w:w="3168" w:type="dxa"/>
          <w:tcBorders>
            <w:bottom w:val="single" w:sz="4" w:space="0" w:color="000000" w:themeColor="text1"/>
          </w:tcBorders>
        </w:tcPr>
        <w:p w:rsidR="00BF4D29" w:rsidRPr="00D70D4F" w:rsidRDefault="00D633A5" w:rsidP="00D70D4F">
          <w:pPr>
            <w:rPr>
              <w:b/>
            </w:rPr>
          </w:pPr>
          <w:r>
            <w:rPr>
              <w:b/>
            </w:rPr>
            <w:t>5 August 2015</w:t>
          </w:r>
        </w:p>
      </w:tc>
    </w:tr>
    <w:tr w:rsidR="00BF4D29" w:rsidRPr="00D70D4F" w:rsidTr="005370AB">
      <w:tc>
        <w:tcPr>
          <w:tcW w:w="1728" w:type="dxa"/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</w:p>
      </w:tc>
      <w:tc>
        <w:tcPr>
          <w:tcW w:w="3780" w:type="dxa"/>
          <w:tcBorders>
            <w:top w:val="single" w:sz="4" w:space="0" w:color="000000" w:themeColor="text1"/>
          </w:tcBorders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</w:p>
      </w:tc>
      <w:tc>
        <w:tcPr>
          <w:tcW w:w="270" w:type="dxa"/>
        </w:tcPr>
        <w:p w:rsidR="00BF4D29" w:rsidRPr="00D70D4F" w:rsidRDefault="00BF4D29" w:rsidP="00D70D4F">
          <w:pPr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620" w:type="dxa"/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</w:p>
      </w:tc>
      <w:tc>
        <w:tcPr>
          <w:tcW w:w="3168" w:type="dxa"/>
          <w:tcBorders>
            <w:top w:val="single" w:sz="4" w:space="0" w:color="000000" w:themeColor="text1"/>
          </w:tcBorders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</w:p>
      </w:tc>
    </w:tr>
    <w:tr w:rsidR="00BF4D29" w:rsidRPr="00D70D4F" w:rsidTr="005370AB">
      <w:tc>
        <w:tcPr>
          <w:tcW w:w="1728" w:type="dxa"/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  <w:r w:rsidRPr="00D70D4F">
            <w:rPr>
              <w:b/>
              <w:i/>
            </w:rPr>
            <w:t>Review On:</w:t>
          </w:r>
        </w:p>
      </w:tc>
      <w:tc>
        <w:tcPr>
          <w:tcW w:w="3780" w:type="dxa"/>
          <w:tcBorders>
            <w:bottom w:val="single" w:sz="4" w:space="0" w:color="000000" w:themeColor="text1"/>
          </w:tcBorders>
        </w:tcPr>
        <w:p w:rsidR="00BF4D29" w:rsidRPr="00D70D4F" w:rsidRDefault="00D633A5" w:rsidP="00D70D4F">
          <w:pPr>
            <w:rPr>
              <w:b/>
            </w:rPr>
          </w:pPr>
          <w:r>
            <w:rPr>
              <w:b/>
            </w:rPr>
            <w:t>30 August 2016</w:t>
          </w:r>
        </w:p>
      </w:tc>
      <w:tc>
        <w:tcPr>
          <w:tcW w:w="270" w:type="dxa"/>
        </w:tcPr>
        <w:p w:rsidR="00BF4D29" w:rsidRPr="00D70D4F" w:rsidRDefault="00BF4D29" w:rsidP="00D70D4F">
          <w:pPr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620" w:type="dxa"/>
        </w:tcPr>
        <w:p w:rsidR="00BF4D29" w:rsidRPr="00D70D4F" w:rsidRDefault="00BF4D29" w:rsidP="00D70D4F">
          <w:pPr>
            <w:jc w:val="center"/>
            <w:rPr>
              <w:b/>
              <w:i/>
            </w:rPr>
          </w:pPr>
          <w:r w:rsidRPr="00D70D4F">
            <w:rPr>
              <w:b/>
              <w:i/>
            </w:rPr>
            <w:t>Retire On:</w:t>
          </w:r>
        </w:p>
      </w:tc>
      <w:tc>
        <w:tcPr>
          <w:tcW w:w="3168" w:type="dxa"/>
          <w:tcBorders>
            <w:bottom w:val="single" w:sz="4" w:space="0" w:color="000000" w:themeColor="text1"/>
          </w:tcBorders>
        </w:tcPr>
        <w:p w:rsidR="00BF4D29" w:rsidRPr="00D70D4F" w:rsidRDefault="00BF4D29" w:rsidP="00D70D4F">
          <w:pPr>
            <w:rPr>
              <w:b/>
            </w:rPr>
          </w:pPr>
          <w:r w:rsidRPr="00D70D4F">
            <w:rPr>
              <w:b/>
            </w:rPr>
            <w:t>n/a</w:t>
          </w:r>
        </w:p>
      </w:tc>
    </w:tr>
  </w:tbl>
  <w:p w:rsidR="00BF4D29" w:rsidRDefault="00BF4D29" w:rsidP="0024290D">
    <w:pPr>
      <w:jc w:val="center"/>
      <w:rPr>
        <w:b/>
        <w:i/>
        <w:sz w:val="20"/>
        <w:szCs w:val="20"/>
      </w:rPr>
    </w:pPr>
  </w:p>
  <w:p w:rsidR="00BF4D29" w:rsidRPr="0024290D" w:rsidRDefault="00BF4D29" w:rsidP="0024290D">
    <w:pPr>
      <w:jc w:val="center"/>
      <w:rPr>
        <w:b/>
        <w:i/>
        <w:sz w:val="20"/>
        <w:szCs w:val="20"/>
      </w:rPr>
    </w:pPr>
    <w:r w:rsidRPr="00F833EE">
      <w:rPr>
        <w:b/>
        <w:i/>
        <w:sz w:val="20"/>
        <w:szCs w:val="20"/>
      </w:rPr>
      <w:t>Standing Orders must be reviewed and updated as necessary, and signed and dated at least annually.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29" w:rsidRDefault="00BF4D29">
      <w:r>
        <w:separator/>
      </w:r>
    </w:p>
  </w:footnote>
  <w:footnote w:type="continuationSeparator" w:id="0">
    <w:p w:rsidR="00BF4D29" w:rsidRDefault="00BF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40" w:rsidRDefault="00C15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40" w:rsidRDefault="00C15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29" w:rsidRDefault="00BF4D29" w:rsidP="0024290D">
    <w:pPr>
      <w:pStyle w:val="Header"/>
      <w:jc w:val="center"/>
      <w:rPr>
        <w:b/>
        <w:sz w:val="40"/>
        <w:szCs w:val="40"/>
      </w:rPr>
    </w:pPr>
    <w:r w:rsidRPr="00D533C0">
      <w:rPr>
        <w:b/>
        <w:sz w:val="40"/>
        <w:szCs w:val="40"/>
      </w:rPr>
      <w:t>Electric System Operations - Standing Order</w:t>
    </w:r>
  </w:p>
  <w:p w:rsidR="00BF4D29" w:rsidRDefault="00BF4D29" w:rsidP="00A312CA">
    <w:pPr>
      <w:rPr>
        <w:sz w:val="20"/>
        <w:szCs w:val="20"/>
      </w:rPr>
    </w:pPr>
    <w:r>
      <w:rPr>
        <w:sz w:val="20"/>
        <w:szCs w:val="20"/>
      </w:rPr>
      <w:t>Acknowledged:</w:t>
    </w:r>
  </w:p>
  <w:tbl>
    <w:tblPr>
      <w:tblStyle w:val="TableGrid"/>
      <w:tblW w:w="8609" w:type="dxa"/>
      <w:jc w:val="center"/>
      <w:tblInd w:w="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4"/>
      <w:gridCol w:w="296"/>
      <w:gridCol w:w="791"/>
      <w:gridCol w:w="283"/>
      <w:gridCol w:w="1356"/>
      <w:gridCol w:w="276"/>
      <w:gridCol w:w="1431"/>
      <w:gridCol w:w="296"/>
      <w:gridCol w:w="794"/>
      <w:gridCol w:w="283"/>
      <w:gridCol w:w="1359"/>
    </w:tblGrid>
    <w:tr w:rsidR="00BF4D29" w:rsidRPr="00D70D4F" w:rsidTr="003953F8">
      <w:trPr>
        <w:jc w:val="center"/>
      </w:trPr>
      <w:tc>
        <w:tcPr>
          <w:tcW w:w="1444" w:type="dxa"/>
        </w:tcPr>
        <w:p w:rsidR="00BF4D29" w:rsidRPr="00D70D4F" w:rsidRDefault="00BF4D29" w:rsidP="00D70D4F">
          <w:pPr>
            <w:pStyle w:val="Header"/>
          </w:pPr>
          <w:r w:rsidRPr="00D70D4F">
            <w:t>Name</w:t>
          </w:r>
        </w:p>
      </w:tc>
      <w:tc>
        <w:tcPr>
          <w:tcW w:w="296" w:type="dxa"/>
        </w:tcPr>
        <w:p w:rsidR="00BF4D29" w:rsidRPr="00D70D4F" w:rsidRDefault="00BF4D29" w:rsidP="00D70D4F">
          <w:pPr>
            <w:pStyle w:val="Header"/>
          </w:pPr>
        </w:p>
      </w:tc>
      <w:tc>
        <w:tcPr>
          <w:tcW w:w="791" w:type="dxa"/>
        </w:tcPr>
        <w:p w:rsidR="00BF4D29" w:rsidRPr="00D70D4F" w:rsidRDefault="00BF4D29" w:rsidP="00D70D4F">
          <w:pPr>
            <w:pStyle w:val="Header"/>
          </w:pPr>
          <w:r w:rsidRPr="00D70D4F">
            <w:t>Initial</w:t>
          </w:r>
        </w:p>
      </w:tc>
      <w:tc>
        <w:tcPr>
          <w:tcW w:w="283" w:type="dxa"/>
        </w:tcPr>
        <w:p w:rsidR="00BF4D29" w:rsidRPr="00D70D4F" w:rsidRDefault="00BF4D29" w:rsidP="00D70D4F">
          <w:pPr>
            <w:pStyle w:val="Header"/>
          </w:pPr>
          <w:r w:rsidRPr="00D70D4F">
            <w:t>/</w:t>
          </w:r>
        </w:p>
      </w:tc>
      <w:tc>
        <w:tcPr>
          <w:tcW w:w="1356" w:type="dxa"/>
        </w:tcPr>
        <w:p w:rsidR="00BF4D29" w:rsidRPr="00D70D4F" w:rsidRDefault="00BF4D29" w:rsidP="00D70D4F">
          <w:pPr>
            <w:pStyle w:val="Header"/>
          </w:pPr>
          <w:r w:rsidRPr="00D70D4F">
            <w:t>Date</w:t>
          </w:r>
        </w:p>
      </w:tc>
      <w:tc>
        <w:tcPr>
          <w:tcW w:w="276" w:type="dxa"/>
          <w:tcBorders>
            <w:right w:val="single" w:sz="4" w:space="0" w:color="000000" w:themeColor="text1"/>
          </w:tcBorders>
        </w:tcPr>
        <w:p w:rsidR="00BF4D29" w:rsidRPr="00D70D4F" w:rsidRDefault="00BF4D29" w:rsidP="00D70D4F">
          <w:pPr>
            <w:pStyle w:val="Header"/>
          </w:pPr>
        </w:p>
      </w:tc>
      <w:tc>
        <w:tcPr>
          <w:tcW w:w="1431" w:type="dxa"/>
          <w:tcBorders>
            <w:left w:val="single" w:sz="4" w:space="0" w:color="000000" w:themeColor="text1"/>
          </w:tcBorders>
        </w:tcPr>
        <w:p w:rsidR="00BF4D29" w:rsidRPr="00D70D4F" w:rsidRDefault="00BF4D29" w:rsidP="00D70D4F">
          <w:pPr>
            <w:pStyle w:val="Header"/>
          </w:pPr>
          <w:r w:rsidRPr="00D70D4F">
            <w:t>Name</w:t>
          </w:r>
        </w:p>
      </w:tc>
      <w:tc>
        <w:tcPr>
          <w:tcW w:w="296" w:type="dxa"/>
        </w:tcPr>
        <w:p w:rsidR="00BF4D29" w:rsidRPr="00D70D4F" w:rsidRDefault="00BF4D29" w:rsidP="00D70D4F">
          <w:pPr>
            <w:pStyle w:val="Header"/>
          </w:pPr>
        </w:p>
      </w:tc>
      <w:tc>
        <w:tcPr>
          <w:tcW w:w="794" w:type="dxa"/>
        </w:tcPr>
        <w:p w:rsidR="00BF4D29" w:rsidRPr="00D70D4F" w:rsidRDefault="00BF4D29" w:rsidP="00D70D4F">
          <w:pPr>
            <w:pStyle w:val="Header"/>
          </w:pPr>
          <w:r w:rsidRPr="00D70D4F">
            <w:t>Initial</w:t>
          </w:r>
        </w:p>
      </w:tc>
      <w:tc>
        <w:tcPr>
          <w:tcW w:w="283" w:type="dxa"/>
        </w:tcPr>
        <w:p w:rsidR="00BF4D29" w:rsidRPr="00D70D4F" w:rsidRDefault="00BF4D29" w:rsidP="00D70D4F">
          <w:pPr>
            <w:pStyle w:val="Header"/>
          </w:pPr>
          <w:r w:rsidRPr="00D70D4F">
            <w:t>/</w:t>
          </w:r>
        </w:p>
      </w:tc>
      <w:tc>
        <w:tcPr>
          <w:tcW w:w="1359" w:type="dxa"/>
        </w:tcPr>
        <w:p w:rsidR="00BF4D29" w:rsidRPr="00D70D4F" w:rsidRDefault="00BF4D29" w:rsidP="00D70D4F">
          <w:pPr>
            <w:pStyle w:val="Header"/>
          </w:pPr>
          <w:r w:rsidRPr="00D70D4F">
            <w:t>Date</w:t>
          </w:r>
        </w:p>
      </w:tc>
    </w:tr>
    <w:tr w:rsidR="00B204A9" w:rsidRPr="00D70D4F" w:rsidTr="003953F8">
      <w:trPr>
        <w:jc w:val="center"/>
      </w:trPr>
      <w:tc>
        <w:tcPr>
          <w:tcW w:w="1444" w:type="dxa"/>
        </w:tcPr>
        <w:p w:rsidR="00B204A9" w:rsidRPr="00D70D4F" w:rsidRDefault="00B204A9" w:rsidP="00C15540">
          <w:pPr>
            <w:pStyle w:val="Header"/>
          </w:pPr>
          <w:r>
            <w:t xml:space="preserve">B. </w:t>
          </w:r>
          <w:r w:rsidR="00C15540">
            <w:t>Glessner</w:t>
          </w:r>
        </w:p>
      </w:tc>
      <w:tc>
        <w:tcPr>
          <w:tcW w:w="296" w:type="dxa"/>
        </w:tcPr>
        <w:p w:rsidR="00B204A9" w:rsidRPr="00D70D4F" w:rsidRDefault="00B204A9" w:rsidP="0006689B">
          <w:pPr>
            <w:pStyle w:val="Header"/>
          </w:pPr>
          <w:r w:rsidRPr="00D70D4F">
            <w:t>-</w:t>
          </w:r>
        </w:p>
      </w:tc>
      <w:tc>
        <w:tcPr>
          <w:tcW w:w="791" w:type="dxa"/>
          <w:tcBorders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83" w:type="dxa"/>
          <w:tcBorders>
            <w:bottom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>/</w:t>
          </w:r>
        </w:p>
      </w:tc>
      <w:tc>
        <w:tcPr>
          <w:tcW w:w="1356" w:type="dxa"/>
          <w:tcBorders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76" w:type="dxa"/>
          <w:tcBorders>
            <w:right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1431" w:type="dxa"/>
          <w:tcBorders>
            <w:left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>
            <w:t>M. Shultz</w:t>
          </w:r>
        </w:p>
      </w:tc>
      <w:tc>
        <w:tcPr>
          <w:tcW w:w="296" w:type="dxa"/>
        </w:tcPr>
        <w:p w:rsidR="00B204A9" w:rsidRPr="00D70D4F" w:rsidRDefault="00B204A9" w:rsidP="0006689B">
          <w:pPr>
            <w:pStyle w:val="Header"/>
          </w:pPr>
          <w:r w:rsidRPr="00D70D4F">
            <w:t>-</w:t>
          </w:r>
        </w:p>
      </w:tc>
      <w:tc>
        <w:tcPr>
          <w:tcW w:w="794" w:type="dxa"/>
          <w:tcBorders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83" w:type="dxa"/>
          <w:tcBorders>
            <w:bottom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>/</w:t>
          </w:r>
        </w:p>
      </w:tc>
      <w:tc>
        <w:tcPr>
          <w:tcW w:w="1359" w:type="dxa"/>
          <w:tcBorders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</w:tr>
    <w:tr w:rsidR="00B204A9" w:rsidRPr="00D70D4F" w:rsidTr="003953F8">
      <w:trPr>
        <w:jc w:val="center"/>
      </w:trPr>
      <w:tc>
        <w:tcPr>
          <w:tcW w:w="1444" w:type="dxa"/>
        </w:tcPr>
        <w:p w:rsidR="00B204A9" w:rsidRPr="00D70D4F" w:rsidRDefault="00C15540" w:rsidP="0006689B">
          <w:pPr>
            <w:pStyle w:val="Header"/>
          </w:pPr>
          <w:r>
            <w:t xml:space="preserve">B. </w:t>
          </w:r>
          <w:r>
            <w:t>Ware</w:t>
          </w:r>
        </w:p>
      </w:tc>
      <w:tc>
        <w:tcPr>
          <w:tcW w:w="296" w:type="dxa"/>
        </w:tcPr>
        <w:p w:rsidR="00B204A9" w:rsidRPr="00D70D4F" w:rsidRDefault="00B204A9" w:rsidP="0006689B">
          <w:pPr>
            <w:pStyle w:val="Header"/>
          </w:pPr>
          <w:r w:rsidRPr="00D70D4F">
            <w:t>-</w:t>
          </w:r>
        </w:p>
      </w:tc>
      <w:tc>
        <w:tcPr>
          <w:tcW w:w="791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83" w:type="dxa"/>
          <w:tcBorders>
            <w:top w:val="single" w:sz="4" w:space="0" w:color="000000" w:themeColor="text1"/>
            <w:bottom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>/</w:t>
          </w:r>
        </w:p>
      </w:tc>
      <w:tc>
        <w:tcPr>
          <w:tcW w:w="1356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76" w:type="dxa"/>
          <w:tcBorders>
            <w:right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1431" w:type="dxa"/>
          <w:tcBorders>
            <w:left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 xml:space="preserve">P. Riley </w:t>
          </w:r>
        </w:p>
      </w:tc>
      <w:tc>
        <w:tcPr>
          <w:tcW w:w="296" w:type="dxa"/>
        </w:tcPr>
        <w:p w:rsidR="00B204A9" w:rsidRPr="00D70D4F" w:rsidRDefault="00B204A9" w:rsidP="0006689B">
          <w:pPr>
            <w:pStyle w:val="Header"/>
          </w:pPr>
          <w:r w:rsidRPr="00D70D4F">
            <w:t>-</w:t>
          </w:r>
        </w:p>
      </w:tc>
      <w:tc>
        <w:tcPr>
          <w:tcW w:w="794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83" w:type="dxa"/>
          <w:tcBorders>
            <w:top w:val="single" w:sz="4" w:space="0" w:color="000000" w:themeColor="text1"/>
            <w:bottom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>/</w:t>
          </w:r>
        </w:p>
      </w:tc>
      <w:tc>
        <w:tcPr>
          <w:tcW w:w="1359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</w:tr>
    <w:tr w:rsidR="00B204A9" w:rsidRPr="00D70D4F" w:rsidTr="003953F8">
      <w:trPr>
        <w:jc w:val="center"/>
      </w:trPr>
      <w:tc>
        <w:tcPr>
          <w:tcW w:w="1444" w:type="dxa"/>
        </w:tcPr>
        <w:p w:rsidR="00B204A9" w:rsidRPr="00D70D4F" w:rsidRDefault="00B204A9" w:rsidP="0006689B">
          <w:pPr>
            <w:pStyle w:val="Header"/>
          </w:pPr>
          <w:r>
            <w:t>M, Carlson</w:t>
          </w:r>
        </w:p>
      </w:tc>
      <w:tc>
        <w:tcPr>
          <w:tcW w:w="296" w:type="dxa"/>
        </w:tcPr>
        <w:p w:rsidR="00B204A9" w:rsidRPr="00D70D4F" w:rsidRDefault="00B204A9" w:rsidP="0006689B">
          <w:pPr>
            <w:pStyle w:val="Header"/>
          </w:pPr>
          <w:r w:rsidRPr="00D70D4F">
            <w:t>-</w:t>
          </w:r>
        </w:p>
      </w:tc>
      <w:tc>
        <w:tcPr>
          <w:tcW w:w="791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83" w:type="dxa"/>
          <w:tcBorders>
            <w:top w:val="single" w:sz="4" w:space="0" w:color="000000" w:themeColor="text1"/>
            <w:bottom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>/</w:t>
          </w:r>
        </w:p>
      </w:tc>
      <w:tc>
        <w:tcPr>
          <w:tcW w:w="1356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76" w:type="dxa"/>
          <w:tcBorders>
            <w:right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1431" w:type="dxa"/>
          <w:tcBorders>
            <w:left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>
            <w:t>T. Clevinger</w:t>
          </w:r>
        </w:p>
      </w:tc>
      <w:tc>
        <w:tcPr>
          <w:tcW w:w="296" w:type="dxa"/>
        </w:tcPr>
        <w:p w:rsidR="00B204A9" w:rsidRPr="00D70D4F" w:rsidRDefault="00B204A9" w:rsidP="0006689B">
          <w:pPr>
            <w:pStyle w:val="Header"/>
          </w:pPr>
          <w:r w:rsidRPr="00D70D4F">
            <w:t>-</w:t>
          </w:r>
        </w:p>
      </w:tc>
      <w:tc>
        <w:tcPr>
          <w:tcW w:w="794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  <w:tc>
        <w:tcPr>
          <w:tcW w:w="283" w:type="dxa"/>
          <w:tcBorders>
            <w:top w:val="single" w:sz="4" w:space="0" w:color="000000" w:themeColor="text1"/>
            <w:bottom w:val="single" w:sz="4" w:space="0" w:color="000000" w:themeColor="text1"/>
          </w:tcBorders>
        </w:tcPr>
        <w:p w:rsidR="00B204A9" w:rsidRPr="00D70D4F" w:rsidRDefault="00B204A9" w:rsidP="0006689B">
          <w:pPr>
            <w:pStyle w:val="Header"/>
          </w:pPr>
          <w:r w:rsidRPr="00D70D4F">
            <w:t>/</w:t>
          </w:r>
        </w:p>
      </w:tc>
      <w:tc>
        <w:tcPr>
          <w:tcW w:w="1359" w:type="dxa"/>
          <w:tcBorders>
            <w:top w:val="single" w:sz="4" w:space="0" w:color="auto"/>
            <w:bottom w:val="single" w:sz="4" w:space="0" w:color="auto"/>
          </w:tcBorders>
        </w:tcPr>
        <w:p w:rsidR="00B204A9" w:rsidRPr="00D70D4F" w:rsidRDefault="00B204A9" w:rsidP="0006689B">
          <w:pPr>
            <w:pStyle w:val="Header"/>
          </w:pPr>
        </w:p>
      </w:tc>
    </w:tr>
  </w:tbl>
  <w:p w:rsidR="00BF4D29" w:rsidRDefault="00BF4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405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DA0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42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F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44643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C7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C67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A05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62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4E31"/>
    <w:multiLevelType w:val="hybridMultilevel"/>
    <w:tmpl w:val="CF7C55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723329"/>
    <w:multiLevelType w:val="hybridMultilevel"/>
    <w:tmpl w:val="C656696E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22BC3D8D"/>
    <w:multiLevelType w:val="hybridMultilevel"/>
    <w:tmpl w:val="25A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82CD0"/>
    <w:multiLevelType w:val="hybridMultilevel"/>
    <w:tmpl w:val="A5A4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9564F"/>
    <w:multiLevelType w:val="hybridMultilevel"/>
    <w:tmpl w:val="BE98548C"/>
    <w:lvl w:ilvl="0" w:tplc="EC50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CBFA8">
      <w:start w:val="1"/>
      <w:numFmt w:val="decimal"/>
      <w:lvlText w:val="%2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762E"/>
    <w:multiLevelType w:val="hybridMultilevel"/>
    <w:tmpl w:val="164A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BFA8">
      <w:start w:val="1"/>
      <w:numFmt w:val="decimal"/>
      <w:lvlText w:val="%2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47D02"/>
    <w:multiLevelType w:val="hybridMultilevel"/>
    <w:tmpl w:val="6EA2B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F492F"/>
    <w:multiLevelType w:val="hybridMultilevel"/>
    <w:tmpl w:val="A5FEAE9C"/>
    <w:lvl w:ilvl="0" w:tplc="EC50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CBFA8">
      <w:start w:val="1"/>
      <w:numFmt w:val="decimal"/>
      <w:lvlText w:val="%2"/>
      <w:lvlJc w:val="left"/>
      <w:pPr>
        <w:ind w:left="1440" w:hanging="360"/>
      </w:pPr>
      <w:rPr>
        <w:rFonts w:hint="default"/>
        <w:b/>
        <w:i w:val="0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69E1"/>
    <w:rsid w:val="000160EF"/>
    <w:rsid w:val="000510A1"/>
    <w:rsid w:val="00057440"/>
    <w:rsid w:val="000702FD"/>
    <w:rsid w:val="00090ADE"/>
    <w:rsid w:val="00096596"/>
    <w:rsid w:val="00142BDC"/>
    <w:rsid w:val="001C4803"/>
    <w:rsid w:val="002069E1"/>
    <w:rsid w:val="002316AF"/>
    <w:rsid w:val="0024290D"/>
    <w:rsid w:val="00256190"/>
    <w:rsid w:val="00260FEB"/>
    <w:rsid w:val="002862C7"/>
    <w:rsid w:val="002D5815"/>
    <w:rsid w:val="0030504C"/>
    <w:rsid w:val="00306E7B"/>
    <w:rsid w:val="003759A5"/>
    <w:rsid w:val="0037730A"/>
    <w:rsid w:val="003953F8"/>
    <w:rsid w:val="003B1059"/>
    <w:rsid w:val="003B6DCB"/>
    <w:rsid w:val="003B6FC7"/>
    <w:rsid w:val="003C27DA"/>
    <w:rsid w:val="003D556A"/>
    <w:rsid w:val="003E30D8"/>
    <w:rsid w:val="00420E55"/>
    <w:rsid w:val="00452744"/>
    <w:rsid w:val="00455BFA"/>
    <w:rsid w:val="00497736"/>
    <w:rsid w:val="004A1A5A"/>
    <w:rsid w:val="004D6AC4"/>
    <w:rsid w:val="004E3B40"/>
    <w:rsid w:val="004F419D"/>
    <w:rsid w:val="005370AB"/>
    <w:rsid w:val="005376B6"/>
    <w:rsid w:val="0055322D"/>
    <w:rsid w:val="00572B97"/>
    <w:rsid w:val="005D49AD"/>
    <w:rsid w:val="005F7EE4"/>
    <w:rsid w:val="00603819"/>
    <w:rsid w:val="00617AB3"/>
    <w:rsid w:val="00683D92"/>
    <w:rsid w:val="006B1857"/>
    <w:rsid w:val="006D099C"/>
    <w:rsid w:val="00702CBD"/>
    <w:rsid w:val="00712993"/>
    <w:rsid w:val="00713D0A"/>
    <w:rsid w:val="00763ACA"/>
    <w:rsid w:val="007657E9"/>
    <w:rsid w:val="00796BCC"/>
    <w:rsid w:val="00841E78"/>
    <w:rsid w:val="0085156D"/>
    <w:rsid w:val="00853E86"/>
    <w:rsid w:val="00867298"/>
    <w:rsid w:val="00887120"/>
    <w:rsid w:val="00894DEC"/>
    <w:rsid w:val="008E44EC"/>
    <w:rsid w:val="008E63D7"/>
    <w:rsid w:val="00972EA3"/>
    <w:rsid w:val="0098291F"/>
    <w:rsid w:val="009E7FFC"/>
    <w:rsid w:val="00A312CA"/>
    <w:rsid w:val="00A614B5"/>
    <w:rsid w:val="00A811D4"/>
    <w:rsid w:val="00AD1568"/>
    <w:rsid w:val="00AF30AE"/>
    <w:rsid w:val="00B204A9"/>
    <w:rsid w:val="00B27E7B"/>
    <w:rsid w:val="00B405AB"/>
    <w:rsid w:val="00B426FC"/>
    <w:rsid w:val="00B4327D"/>
    <w:rsid w:val="00BB15DB"/>
    <w:rsid w:val="00BF4D29"/>
    <w:rsid w:val="00C06EEB"/>
    <w:rsid w:val="00C07003"/>
    <w:rsid w:val="00C15540"/>
    <w:rsid w:val="00C348A9"/>
    <w:rsid w:val="00C76351"/>
    <w:rsid w:val="00C962E7"/>
    <w:rsid w:val="00CC283A"/>
    <w:rsid w:val="00D0771F"/>
    <w:rsid w:val="00D22212"/>
    <w:rsid w:val="00D533C0"/>
    <w:rsid w:val="00D54DDE"/>
    <w:rsid w:val="00D55EB4"/>
    <w:rsid w:val="00D633A5"/>
    <w:rsid w:val="00D67385"/>
    <w:rsid w:val="00D70D4F"/>
    <w:rsid w:val="00D82997"/>
    <w:rsid w:val="00D92569"/>
    <w:rsid w:val="00DC169E"/>
    <w:rsid w:val="00DD335A"/>
    <w:rsid w:val="00DD5C21"/>
    <w:rsid w:val="00E10FB8"/>
    <w:rsid w:val="00E13C84"/>
    <w:rsid w:val="00E323C7"/>
    <w:rsid w:val="00EC417A"/>
    <w:rsid w:val="00ED1AB7"/>
    <w:rsid w:val="00EF012C"/>
    <w:rsid w:val="00F12307"/>
    <w:rsid w:val="00F4118A"/>
    <w:rsid w:val="00F65C3B"/>
    <w:rsid w:val="00F833EE"/>
    <w:rsid w:val="00F94DD8"/>
    <w:rsid w:val="00FD10C2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8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3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3C0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AD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D15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lockText">
    <w:name w:val="Block Text"/>
    <w:basedOn w:val="Normal"/>
    <w:rsid w:val="00E10FB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AF30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29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91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Suggested Standing Order Template</vt:lpstr>
    </vt:vector>
  </TitlesOfParts>
  <Company>DHHS / DPH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Standing Order Template</dc:title>
  <dc:creator>Warren Rust</dc:creator>
  <cp:lastModifiedBy>Warren Rust</cp:lastModifiedBy>
  <cp:revision>3</cp:revision>
  <cp:lastPrinted>2008-09-30T14:15:00Z</cp:lastPrinted>
  <dcterms:created xsi:type="dcterms:W3CDTF">2015-08-05T19:09:00Z</dcterms:created>
  <dcterms:modified xsi:type="dcterms:W3CDTF">2015-08-05T19:10:00Z</dcterms:modified>
</cp:coreProperties>
</file>