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ED" w:rsidRDefault="00013A5A">
      <w:pPr>
        <w:pStyle w:val="Title"/>
        <w:rPr>
          <w:rFonts w:ascii="Times New Roman" w:hAnsi="Times New Roman"/>
          <w:sz w:val="36"/>
          <w:szCs w:val="36"/>
        </w:rPr>
      </w:pPr>
      <w:bookmarkStart w:id="0" w:name="_GoBack"/>
      <w:bookmarkEnd w:id="0"/>
      <w:r>
        <w:rPr>
          <w:rFonts w:ascii="Times New Roman" w:hAnsi="Times New Roman"/>
          <w:sz w:val="36"/>
          <w:szCs w:val="36"/>
        </w:rPr>
        <w:t>B</w:t>
      </w:r>
      <w:r w:rsidR="00AF7203">
        <w:rPr>
          <w:rFonts w:ascii="Times New Roman" w:hAnsi="Times New Roman"/>
          <w:sz w:val="36"/>
          <w:szCs w:val="36"/>
        </w:rPr>
        <w:t xml:space="preserve">lack Hills </w:t>
      </w:r>
      <w:smartTag w:uri="urn:schemas-microsoft-com:office:smarttags" w:element="place">
        <w:smartTag w:uri="urn:schemas-microsoft-com:office:smarttags" w:element="State">
          <w:r w:rsidR="00AF7203">
            <w:rPr>
              <w:rFonts w:ascii="Times New Roman" w:hAnsi="Times New Roman"/>
              <w:sz w:val="36"/>
              <w:szCs w:val="36"/>
            </w:rPr>
            <w:t>Colorado</w:t>
          </w:r>
        </w:smartTag>
      </w:smartTag>
      <w:r w:rsidR="00AF7203">
        <w:rPr>
          <w:rFonts w:ascii="Times New Roman" w:hAnsi="Times New Roman"/>
          <w:sz w:val="36"/>
          <w:szCs w:val="36"/>
        </w:rPr>
        <w:t xml:space="preserve"> Electric</w:t>
      </w:r>
    </w:p>
    <w:p w:rsidR="0005513A" w:rsidRDefault="004011ED">
      <w:pPr>
        <w:pStyle w:val="Title"/>
        <w:rPr>
          <w:rFonts w:ascii="Times New Roman" w:hAnsi="Times New Roman"/>
          <w:sz w:val="36"/>
          <w:szCs w:val="36"/>
        </w:rPr>
      </w:pPr>
      <w:r>
        <w:rPr>
          <w:rFonts w:ascii="Times New Roman" w:hAnsi="Times New Roman"/>
          <w:sz w:val="36"/>
          <w:szCs w:val="36"/>
        </w:rPr>
        <w:t>20</w:t>
      </w:r>
      <w:r w:rsidR="00AF7203">
        <w:rPr>
          <w:rFonts w:ascii="Times New Roman" w:hAnsi="Times New Roman"/>
          <w:sz w:val="36"/>
          <w:szCs w:val="36"/>
        </w:rPr>
        <w:t>1</w:t>
      </w:r>
      <w:r w:rsidR="00FF1179">
        <w:rPr>
          <w:rFonts w:ascii="Times New Roman" w:hAnsi="Times New Roman"/>
          <w:sz w:val="36"/>
          <w:szCs w:val="36"/>
        </w:rPr>
        <w:t>2</w:t>
      </w:r>
      <w:r>
        <w:rPr>
          <w:rFonts w:ascii="Times New Roman" w:hAnsi="Times New Roman"/>
          <w:sz w:val="36"/>
          <w:szCs w:val="36"/>
        </w:rPr>
        <w:t xml:space="preserve"> Local Transmission Plan</w:t>
      </w:r>
    </w:p>
    <w:p w:rsidR="00FF1179" w:rsidRDefault="004011ED" w:rsidP="00FF1179">
      <w:pPr>
        <w:pStyle w:val="Title"/>
        <w:rPr>
          <w:rFonts w:ascii="Times New Roman" w:hAnsi="Times New Roman"/>
          <w:sz w:val="36"/>
          <w:szCs w:val="36"/>
        </w:rPr>
      </w:pPr>
      <w:r>
        <w:rPr>
          <w:rFonts w:ascii="Times New Roman" w:hAnsi="Times New Roman"/>
          <w:sz w:val="36"/>
          <w:szCs w:val="36"/>
        </w:rPr>
        <w:t>Study Scope</w:t>
      </w:r>
      <w:r w:rsidR="00743FE1">
        <w:rPr>
          <w:rFonts w:ascii="Times New Roman" w:hAnsi="Times New Roman"/>
          <w:sz w:val="36"/>
          <w:szCs w:val="36"/>
        </w:rPr>
        <w:t xml:space="preserve"> </w:t>
      </w:r>
    </w:p>
    <w:p w:rsidR="008776F4" w:rsidRDefault="0005513A" w:rsidP="00FF1179">
      <w:pPr>
        <w:pStyle w:val="Title"/>
        <w:rPr>
          <w:b w:val="0"/>
          <w:sz w:val="24"/>
          <w:szCs w:val="24"/>
        </w:rPr>
      </w:pPr>
      <w:r>
        <w:rPr>
          <w:b w:val="0"/>
          <w:sz w:val="24"/>
          <w:szCs w:val="24"/>
        </w:rPr>
        <w:tab/>
      </w:r>
    </w:p>
    <w:p w:rsidR="00BC763E" w:rsidRPr="004409D7" w:rsidRDefault="00FD4519" w:rsidP="004409C1">
      <w:pPr>
        <w:numPr>
          <w:ilvl w:val="0"/>
          <w:numId w:val="18"/>
        </w:numPr>
        <w:tabs>
          <w:tab w:val="clear" w:pos="720"/>
        </w:tabs>
        <w:ind w:left="360"/>
        <w:jc w:val="both"/>
        <w:rPr>
          <w:b/>
          <w:sz w:val="24"/>
          <w:szCs w:val="24"/>
        </w:rPr>
      </w:pPr>
      <w:r w:rsidRPr="004409D7">
        <w:rPr>
          <w:b/>
          <w:sz w:val="24"/>
          <w:szCs w:val="24"/>
        </w:rPr>
        <w:t>Background</w:t>
      </w:r>
    </w:p>
    <w:p w:rsidR="00BC763E" w:rsidRPr="00814A77" w:rsidRDefault="00BC763E" w:rsidP="004409C1">
      <w:pPr>
        <w:pStyle w:val="FootnoteText"/>
        <w:jc w:val="both"/>
        <w:rPr>
          <w:sz w:val="24"/>
          <w:szCs w:val="24"/>
        </w:rPr>
      </w:pPr>
    </w:p>
    <w:p w:rsidR="00F06940" w:rsidRDefault="00D51CA3" w:rsidP="004409C1">
      <w:pPr>
        <w:jc w:val="both"/>
        <w:rPr>
          <w:sz w:val="24"/>
          <w:szCs w:val="24"/>
        </w:rPr>
      </w:pPr>
      <w:r>
        <w:rPr>
          <w:sz w:val="24"/>
          <w:szCs w:val="24"/>
        </w:rPr>
        <w:t xml:space="preserve">As specified in Attachment K to the Black Hills </w:t>
      </w:r>
      <w:r w:rsidR="00640D7B">
        <w:rPr>
          <w:sz w:val="24"/>
          <w:szCs w:val="24"/>
        </w:rPr>
        <w:t>Colorado Transmission</w:t>
      </w:r>
      <w:r w:rsidR="006B50A6">
        <w:rPr>
          <w:sz w:val="24"/>
          <w:szCs w:val="24"/>
        </w:rPr>
        <w:t xml:space="preserve"> (BH</w:t>
      </w:r>
      <w:r w:rsidR="00640D7B">
        <w:rPr>
          <w:sz w:val="24"/>
          <w:szCs w:val="24"/>
        </w:rPr>
        <w:t>CT</w:t>
      </w:r>
      <w:r w:rsidR="006B50A6">
        <w:rPr>
          <w:sz w:val="24"/>
          <w:szCs w:val="24"/>
        </w:rPr>
        <w:t>)</w:t>
      </w:r>
      <w:r>
        <w:rPr>
          <w:sz w:val="24"/>
          <w:szCs w:val="24"/>
        </w:rPr>
        <w:t xml:space="preserve"> Open Access Transmission Tariff (OATT), t</w:t>
      </w:r>
      <w:r w:rsidR="00AF7203">
        <w:rPr>
          <w:sz w:val="24"/>
          <w:szCs w:val="24"/>
        </w:rPr>
        <w:t>he T</w:t>
      </w:r>
      <w:r w:rsidR="00A27C00">
        <w:rPr>
          <w:sz w:val="24"/>
          <w:szCs w:val="24"/>
        </w:rPr>
        <w:t>ransmission Provider</w:t>
      </w:r>
      <w:r w:rsidR="00AF7203">
        <w:rPr>
          <w:sz w:val="24"/>
          <w:szCs w:val="24"/>
        </w:rPr>
        <w:t xml:space="preserve"> (TP)</w:t>
      </w:r>
      <w:r w:rsidR="00BB5225">
        <w:rPr>
          <w:sz w:val="24"/>
          <w:szCs w:val="24"/>
        </w:rPr>
        <w:t xml:space="preserve"> will</w:t>
      </w:r>
      <w:r w:rsidR="00A25B20">
        <w:rPr>
          <w:sz w:val="24"/>
          <w:szCs w:val="24"/>
        </w:rPr>
        <w:t xml:space="preserve"> </w:t>
      </w:r>
      <w:r w:rsidR="006B50A6">
        <w:rPr>
          <w:sz w:val="24"/>
          <w:szCs w:val="24"/>
        </w:rPr>
        <w:t>develop</w:t>
      </w:r>
      <w:r w:rsidR="00A25B20">
        <w:rPr>
          <w:sz w:val="24"/>
          <w:szCs w:val="24"/>
        </w:rPr>
        <w:t xml:space="preserve"> a</w:t>
      </w:r>
      <w:r w:rsidR="00BC763E" w:rsidRPr="00814A77">
        <w:rPr>
          <w:sz w:val="24"/>
          <w:szCs w:val="24"/>
        </w:rPr>
        <w:t xml:space="preserve"> </w:t>
      </w:r>
      <w:r w:rsidR="00A27C00" w:rsidRPr="006B50A6">
        <w:rPr>
          <w:sz w:val="24"/>
          <w:szCs w:val="24"/>
        </w:rPr>
        <w:t>Local Transmission Plan (“LTP”)</w:t>
      </w:r>
      <w:r w:rsidR="00A25B20" w:rsidRPr="006B50A6">
        <w:rPr>
          <w:sz w:val="24"/>
          <w:szCs w:val="24"/>
        </w:rPr>
        <w:t xml:space="preserve"> </w:t>
      </w:r>
      <w:r w:rsidR="006B50A6" w:rsidRPr="006B50A6">
        <w:rPr>
          <w:sz w:val="24"/>
          <w:szCs w:val="24"/>
        </w:rPr>
        <w:t>on an annual basis</w:t>
      </w:r>
      <w:r w:rsidR="006B50A6">
        <w:rPr>
          <w:sz w:val="24"/>
          <w:szCs w:val="24"/>
        </w:rPr>
        <w:t xml:space="preserve"> to ensure the transmission system is designed to reliably accommodate resource and load growth as well as transmission service obligations</w:t>
      </w:r>
      <w:r w:rsidR="00A27C00" w:rsidRPr="006B50A6">
        <w:rPr>
          <w:sz w:val="24"/>
          <w:szCs w:val="24"/>
        </w:rPr>
        <w:t>.</w:t>
      </w:r>
      <w:r w:rsidR="00A27C00">
        <w:rPr>
          <w:sz w:val="24"/>
          <w:szCs w:val="24"/>
        </w:rPr>
        <w:t xml:space="preserve">  </w:t>
      </w:r>
      <w:r w:rsidR="006B50A6">
        <w:rPr>
          <w:sz w:val="24"/>
          <w:szCs w:val="24"/>
        </w:rPr>
        <w:t xml:space="preserve">The LTP study will utilize an open and coordinated process involving input from stakeholders consistent with </w:t>
      </w:r>
      <w:r w:rsidR="00640D7B">
        <w:rPr>
          <w:sz w:val="24"/>
          <w:szCs w:val="24"/>
        </w:rPr>
        <w:t xml:space="preserve">the principles, practices, policy, and procedures set forth in the Attachment K. </w:t>
      </w:r>
      <w:r w:rsidR="006B50A6">
        <w:rPr>
          <w:sz w:val="24"/>
          <w:szCs w:val="24"/>
        </w:rPr>
        <w:t xml:space="preserve"> </w:t>
      </w:r>
    </w:p>
    <w:p w:rsidR="00F06940" w:rsidRDefault="00F06940" w:rsidP="004409C1">
      <w:pPr>
        <w:jc w:val="both"/>
        <w:rPr>
          <w:sz w:val="24"/>
          <w:szCs w:val="24"/>
        </w:rPr>
      </w:pPr>
    </w:p>
    <w:p w:rsidR="00BC49BF" w:rsidRDefault="00F06940" w:rsidP="004409C1">
      <w:pPr>
        <w:jc w:val="both"/>
        <w:rPr>
          <w:sz w:val="24"/>
          <w:szCs w:val="24"/>
        </w:rPr>
      </w:pPr>
      <w:r>
        <w:rPr>
          <w:sz w:val="24"/>
          <w:szCs w:val="24"/>
        </w:rPr>
        <w:t>The Transmission Provider will</w:t>
      </w:r>
      <w:r w:rsidRPr="00814A77">
        <w:rPr>
          <w:sz w:val="24"/>
          <w:szCs w:val="24"/>
        </w:rPr>
        <w:t xml:space="preserve"> </w:t>
      </w:r>
      <w:r>
        <w:rPr>
          <w:sz w:val="24"/>
          <w:szCs w:val="24"/>
        </w:rPr>
        <w:t xml:space="preserve">evaluate the transmission system performance with forecasted network and native loads as well as planned system additions and upgrades.  When possible, system performance criteria violations found during the study will be corrected through the use of Remedial Action Schemes, operating procedures, or transmission facility additions, and additional study work will be performed as necessary.  These identified solutions will then be summarized in the BHCT LTP.  </w:t>
      </w:r>
      <w:r w:rsidR="00A27C00">
        <w:rPr>
          <w:sz w:val="24"/>
          <w:szCs w:val="24"/>
        </w:rPr>
        <w:t>Additional information on the LTP process can be found on th</w:t>
      </w:r>
      <w:r w:rsidR="00A27C00" w:rsidRPr="00640D7B">
        <w:rPr>
          <w:sz w:val="24"/>
          <w:szCs w:val="24"/>
        </w:rPr>
        <w:t>e BH</w:t>
      </w:r>
      <w:r w:rsidR="006B50A6" w:rsidRPr="00640D7B">
        <w:rPr>
          <w:sz w:val="24"/>
          <w:szCs w:val="24"/>
        </w:rPr>
        <w:t>CT</w:t>
      </w:r>
      <w:r w:rsidR="00A27C00" w:rsidRPr="00640D7B">
        <w:rPr>
          <w:sz w:val="24"/>
          <w:szCs w:val="24"/>
        </w:rPr>
        <w:t xml:space="preserve"> </w:t>
      </w:r>
      <w:r w:rsidR="00A6076F">
        <w:rPr>
          <w:sz w:val="24"/>
          <w:szCs w:val="24"/>
        </w:rPr>
        <w:t xml:space="preserve">OASIS </w:t>
      </w:r>
      <w:r w:rsidR="00A27C00" w:rsidRPr="00640D7B">
        <w:rPr>
          <w:sz w:val="24"/>
          <w:szCs w:val="24"/>
        </w:rPr>
        <w:t>website (</w:t>
      </w:r>
      <w:hyperlink r:id="rId8" w:history="1">
        <w:r w:rsidR="006B50A6" w:rsidRPr="00F06940">
          <w:rPr>
            <w:rStyle w:val="Hyperlink"/>
            <w:sz w:val="24"/>
            <w:szCs w:val="24"/>
          </w:rPr>
          <w:t>http://www.oatioasis.com/BHCT</w:t>
        </w:r>
      </w:hyperlink>
      <w:r w:rsidR="00A27C00" w:rsidRPr="00640D7B">
        <w:rPr>
          <w:sz w:val="24"/>
          <w:szCs w:val="24"/>
        </w:rPr>
        <w:t>) within the “</w:t>
      </w:r>
      <w:r w:rsidR="00733205">
        <w:rPr>
          <w:sz w:val="24"/>
          <w:szCs w:val="24"/>
        </w:rPr>
        <w:t>Transmission Planning</w:t>
      </w:r>
      <w:r w:rsidR="00A27C00" w:rsidRPr="00640D7B">
        <w:rPr>
          <w:sz w:val="24"/>
          <w:szCs w:val="24"/>
        </w:rPr>
        <w:t>” fold</w:t>
      </w:r>
      <w:r w:rsidR="00A27C00">
        <w:rPr>
          <w:sz w:val="24"/>
          <w:szCs w:val="24"/>
        </w:rPr>
        <w:t>er.</w:t>
      </w:r>
    </w:p>
    <w:p w:rsidR="005571AA" w:rsidRDefault="005571AA" w:rsidP="004409C1">
      <w:pPr>
        <w:jc w:val="both"/>
        <w:rPr>
          <w:sz w:val="24"/>
          <w:szCs w:val="24"/>
        </w:rPr>
      </w:pPr>
    </w:p>
    <w:p w:rsidR="00BB5225" w:rsidRDefault="00BB5225" w:rsidP="004409C1">
      <w:pPr>
        <w:jc w:val="both"/>
        <w:rPr>
          <w:sz w:val="24"/>
          <w:szCs w:val="24"/>
        </w:rPr>
      </w:pPr>
    </w:p>
    <w:p w:rsidR="00BB5225" w:rsidRDefault="004409D7" w:rsidP="004409C1">
      <w:pPr>
        <w:numPr>
          <w:ilvl w:val="0"/>
          <w:numId w:val="18"/>
        </w:numPr>
        <w:tabs>
          <w:tab w:val="clear" w:pos="720"/>
        </w:tabs>
        <w:ind w:left="360"/>
        <w:jc w:val="both"/>
        <w:rPr>
          <w:b/>
          <w:sz w:val="24"/>
          <w:szCs w:val="24"/>
        </w:rPr>
      </w:pPr>
      <w:r>
        <w:rPr>
          <w:b/>
          <w:sz w:val="24"/>
          <w:szCs w:val="24"/>
        </w:rPr>
        <w:t>Base Case Scenarios</w:t>
      </w:r>
    </w:p>
    <w:p w:rsidR="003C13A6" w:rsidRPr="004409D7" w:rsidRDefault="003C13A6" w:rsidP="003C13A6">
      <w:pPr>
        <w:ind w:left="360"/>
        <w:jc w:val="both"/>
        <w:rPr>
          <w:b/>
          <w:sz w:val="24"/>
          <w:szCs w:val="24"/>
        </w:rPr>
      </w:pPr>
    </w:p>
    <w:p w:rsidR="003C13A6" w:rsidRPr="003C13A6" w:rsidRDefault="003C13A6" w:rsidP="00773617">
      <w:pPr>
        <w:jc w:val="both"/>
        <w:rPr>
          <w:sz w:val="24"/>
          <w:szCs w:val="24"/>
        </w:rPr>
      </w:pPr>
      <w:r w:rsidRPr="003C13A6">
        <w:rPr>
          <w:sz w:val="24"/>
          <w:szCs w:val="24"/>
        </w:rPr>
        <w:t>The LTP will focus on 2017 for the near-term study period, including both peak and off-peak demand scenarios.  2022 was chosen for the peak and off-peak far-term study periods.  The study years were selected based on several factors including base case availability, in-service dates of planned system upgrades, and previously completed planning studies as well as regional study efforts under the Colorado Coordinated Planning Group.  All generation and transmission system upgrades currently under construction or submitted for regulatory review will be included in the base case scenarios.  Proposed projects may be included in the base case upon agreement of both the TP and TCPC.  Descriptions of any changes made to a starting case to create a base case scenario will be documented.</w:t>
      </w:r>
    </w:p>
    <w:p w:rsidR="003C13A6" w:rsidRPr="003C13A6" w:rsidRDefault="003C13A6" w:rsidP="003C13A6">
      <w:pPr>
        <w:pStyle w:val="ListParagraph"/>
        <w:jc w:val="both"/>
        <w:rPr>
          <w:sz w:val="24"/>
          <w:szCs w:val="24"/>
          <w:u w:val="single"/>
        </w:rPr>
      </w:pPr>
    </w:p>
    <w:p w:rsidR="003C13A6" w:rsidRDefault="00A6076F" w:rsidP="00773617">
      <w:pPr>
        <w:jc w:val="both"/>
        <w:rPr>
          <w:sz w:val="24"/>
          <w:szCs w:val="24"/>
        </w:rPr>
      </w:pPr>
      <w:r w:rsidRPr="00011D42">
        <w:rPr>
          <w:sz w:val="24"/>
          <w:szCs w:val="24"/>
        </w:rPr>
        <w:t>WECC-approved base cases</w:t>
      </w:r>
      <w:r>
        <w:rPr>
          <w:sz w:val="24"/>
          <w:szCs w:val="24"/>
        </w:rPr>
        <w:t>, updated as part of the 2012 CCPG Compliance Study,</w:t>
      </w:r>
      <w:r w:rsidRPr="00011D42">
        <w:rPr>
          <w:sz w:val="24"/>
          <w:szCs w:val="24"/>
        </w:rPr>
        <w:t xml:space="preserve"> will be used to develop the </w:t>
      </w:r>
      <w:r>
        <w:rPr>
          <w:sz w:val="24"/>
          <w:szCs w:val="24"/>
        </w:rPr>
        <w:t>study cases</w:t>
      </w:r>
      <w:r w:rsidR="005D0BA4">
        <w:rPr>
          <w:sz w:val="24"/>
          <w:szCs w:val="24"/>
        </w:rPr>
        <w:t xml:space="preserve"> when possible</w:t>
      </w:r>
      <w:r>
        <w:rPr>
          <w:sz w:val="24"/>
          <w:szCs w:val="24"/>
        </w:rPr>
        <w:t>, unless the TP and members of the TCPC agree to an alternate starting case</w:t>
      </w:r>
      <w:r w:rsidR="003C13A6" w:rsidRPr="003C13A6">
        <w:rPr>
          <w:sz w:val="24"/>
          <w:szCs w:val="24"/>
        </w:rPr>
        <w:t xml:space="preserve">. </w:t>
      </w:r>
      <w:r w:rsidR="003C13A6" w:rsidRPr="003C13A6">
        <w:rPr>
          <w:color w:val="FF0000"/>
          <w:sz w:val="24"/>
          <w:szCs w:val="24"/>
        </w:rPr>
        <w:t xml:space="preserve">  </w:t>
      </w:r>
      <w:r w:rsidR="003C13A6" w:rsidRPr="003C13A6">
        <w:rPr>
          <w:sz w:val="24"/>
          <w:szCs w:val="24"/>
        </w:rPr>
        <w:t xml:space="preserve">Table 1 includes the proposed study cases and their respective starting case.  These study cases are subject to change based on availability of base cases.  The TCPC will be consulted regarding any proposed changes to the cases in Table 1. </w:t>
      </w:r>
    </w:p>
    <w:p w:rsidR="00773617" w:rsidRPr="003C13A6" w:rsidRDefault="00773617" w:rsidP="00773617">
      <w:pPr>
        <w:jc w:val="both"/>
        <w:rPr>
          <w:sz w:val="24"/>
          <w:szCs w:val="24"/>
        </w:rPr>
      </w:pPr>
    </w:p>
    <w:p w:rsidR="00773617" w:rsidRDefault="00773617" w:rsidP="00773617">
      <w:pPr>
        <w:jc w:val="right"/>
        <w:rPr>
          <w:sz w:val="24"/>
          <w:szCs w:val="24"/>
        </w:rPr>
      </w:pPr>
      <w:r w:rsidRPr="00773617">
        <w:rPr>
          <w:b/>
          <w:sz w:val="24"/>
          <w:szCs w:val="24"/>
        </w:rPr>
        <w:t xml:space="preserve">Table 1: </w:t>
      </w:r>
      <w:r w:rsidR="00402598">
        <w:rPr>
          <w:b/>
          <w:sz w:val="24"/>
          <w:szCs w:val="24"/>
        </w:rPr>
        <w:t>LTP</w:t>
      </w:r>
      <w:r w:rsidRPr="00773617">
        <w:rPr>
          <w:b/>
          <w:sz w:val="24"/>
          <w:szCs w:val="24"/>
        </w:rPr>
        <w:t xml:space="preserve"> Study Case</w:t>
      </w:r>
      <w:r>
        <w:rPr>
          <w:sz w:val="24"/>
          <w:szCs w:val="24"/>
        </w:rPr>
        <w:t>s</w:t>
      </w:r>
    </w:p>
    <w:tbl>
      <w:tblPr>
        <w:tblW w:w="9329" w:type="dxa"/>
        <w:jc w:val="center"/>
        <w:tblInd w:w="55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44"/>
        <w:gridCol w:w="2346"/>
        <w:gridCol w:w="2296"/>
        <w:gridCol w:w="2343"/>
      </w:tblGrid>
      <w:tr w:rsidR="00773617" w:rsidRPr="00CC7426" w:rsidTr="00747D56">
        <w:trPr>
          <w:trHeight w:val="351"/>
          <w:jc w:val="center"/>
        </w:trPr>
        <w:tc>
          <w:tcPr>
            <w:tcW w:w="2344" w:type="dxa"/>
            <w:tcBorders>
              <w:top w:val="single" w:sz="12" w:space="0" w:color="auto"/>
              <w:bottom w:val="single" w:sz="12" w:space="0" w:color="auto"/>
              <w:right w:val="single" w:sz="12" w:space="0" w:color="auto"/>
            </w:tcBorders>
            <w:shd w:val="clear" w:color="auto" w:fill="C0C0C0"/>
            <w:vAlign w:val="center"/>
          </w:tcPr>
          <w:p w:rsidR="00773617" w:rsidRPr="00CC7426" w:rsidRDefault="00773617" w:rsidP="00747D56">
            <w:pPr>
              <w:jc w:val="center"/>
              <w:rPr>
                <w:b/>
              </w:rPr>
            </w:pPr>
            <w:r>
              <w:rPr>
                <w:b/>
              </w:rPr>
              <w:t>Near-Term</w:t>
            </w:r>
            <w:r w:rsidRPr="00CC7426">
              <w:rPr>
                <w:b/>
              </w:rPr>
              <w:t xml:space="preserve"> Study Case</w:t>
            </w:r>
          </w:p>
        </w:tc>
        <w:tc>
          <w:tcPr>
            <w:tcW w:w="2346" w:type="dxa"/>
            <w:tcBorders>
              <w:top w:val="single" w:sz="12" w:space="0" w:color="auto"/>
              <w:left w:val="single" w:sz="12" w:space="0" w:color="auto"/>
              <w:bottom w:val="single" w:sz="12" w:space="0" w:color="auto"/>
              <w:right w:val="single" w:sz="12" w:space="0" w:color="auto"/>
            </w:tcBorders>
            <w:shd w:val="clear" w:color="auto" w:fill="C0C0C0"/>
            <w:vAlign w:val="center"/>
          </w:tcPr>
          <w:p w:rsidR="00773617" w:rsidRPr="00CC7426" w:rsidRDefault="00773617" w:rsidP="00747D56">
            <w:pPr>
              <w:jc w:val="center"/>
              <w:rPr>
                <w:b/>
              </w:rPr>
            </w:pPr>
            <w:r w:rsidRPr="00CC7426">
              <w:rPr>
                <w:b/>
              </w:rPr>
              <w:t>Starting Case</w:t>
            </w:r>
          </w:p>
        </w:tc>
        <w:tc>
          <w:tcPr>
            <w:tcW w:w="2296" w:type="dxa"/>
            <w:tcBorders>
              <w:top w:val="single" w:sz="12" w:space="0" w:color="auto"/>
              <w:left w:val="single" w:sz="12" w:space="0" w:color="auto"/>
              <w:bottom w:val="single" w:sz="12" w:space="0" w:color="auto"/>
              <w:right w:val="single" w:sz="12" w:space="0" w:color="auto"/>
            </w:tcBorders>
            <w:shd w:val="clear" w:color="auto" w:fill="C0C0C0"/>
            <w:vAlign w:val="center"/>
          </w:tcPr>
          <w:p w:rsidR="00773617" w:rsidRPr="00CC7426" w:rsidRDefault="00773617" w:rsidP="00747D56">
            <w:pPr>
              <w:jc w:val="center"/>
              <w:rPr>
                <w:b/>
              </w:rPr>
            </w:pPr>
            <w:r>
              <w:rPr>
                <w:b/>
              </w:rPr>
              <w:t>Far-Term</w:t>
            </w:r>
            <w:r w:rsidRPr="00CC7426">
              <w:rPr>
                <w:b/>
              </w:rPr>
              <w:t xml:space="preserve"> Study Case</w:t>
            </w:r>
          </w:p>
        </w:tc>
        <w:tc>
          <w:tcPr>
            <w:tcW w:w="2343" w:type="dxa"/>
            <w:tcBorders>
              <w:top w:val="single" w:sz="12" w:space="0" w:color="auto"/>
              <w:left w:val="single" w:sz="12" w:space="0" w:color="auto"/>
              <w:bottom w:val="single" w:sz="12" w:space="0" w:color="auto"/>
            </w:tcBorders>
            <w:shd w:val="clear" w:color="auto" w:fill="C0C0C0"/>
            <w:vAlign w:val="center"/>
          </w:tcPr>
          <w:p w:rsidR="00773617" w:rsidRPr="00CC7426" w:rsidRDefault="00773617" w:rsidP="00747D56">
            <w:pPr>
              <w:jc w:val="center"/>
              <w:rPr>
                <w:b/>
              </w:rPr>
            </w:pPr>
            <w:r w:rsidRPr="00CC7426">
              <w:rPr>
                <w:b/>
              </w:rPr>
              <w:t>Starting Case</w:t>
            </w:r>
          </w:p>
        </w:tc>
      </w:tr>
      <w:tr w:rsidR="00A6076F" w:rsidRPr="00CC7426" w:rsidTr="00747D56">
        <w:trPr>
          <w:trHeight w:val="176"/>
          <w:jc w:val="center"/>
        </w:trPr>
        <w:tc>
          <w:tcPr>
            <w:tcW w:w="2344" w:type="dxa"/>
            <w:tcBorders>
              <w:top w:val="single" w:sz="12" w:space="0" w:color="auto"/>
              <w:bottom w:val="single" w:sz="6" w:space="0" w:color="auto"/>
              <w:right w:val="single" w:sz="6" w:space="0" w:color="auto"/>
            </w:tcBorders>
          </w:tcPr>
          <w:p w:rsidR="00A6076F" w:rsidRPr="00C927FB" w:rsidRDefault="00A6076F" w:rsidP="00747D56">
            <w:r w:rsidRPr="00C927FB">
              <w:t>201</w:t>
            </w:r>
            <w:r>
              <w:t>7</w:t>
            </w:r>
            <w:r w:rsidRPr="00C927FB">
              <w:t xml:space="preserve"> Heavy Summer</w:t>
            </w:r>
          </w:p>
        </w:tc>
        <w:tc>
          <w:tcPr>
            <w:tcW w:w="2346" w:type="dxa"/>
            <w:tcBorders>
              <w:top w:val="single" w:sz="12" w:space="0" w:color="auto"/>
              <w:left w:val="single" w:sz="6" w:space="0" w:color="auto"/>
              <w:bottom w:val="single" w:sz="6" w:space="0" w:color="auto"/>
              <w:right w:val="single" w:sz="12" w:space="0" w:color="auto"/>
            </w:tcBorders>
            <w:shd w:val="clear" w:color="auto" w:fill="auto"/>
          </w:tcPr>
          <w:p w:rsidR="00A6076F" w:rsidRPr="00C927FB" w:rsidRDefault="00A6076F" w:rsidP="00747D56">
            <w:r>
              <w:t>CCPG</w:t>
            </w:r>
            <w:r w:rsidRPr="00C927FB">
              <w:t xml:space="preserve"> 201</w:t>
            </w:r>
            <w:r>
              <w:t>7HS</w:t>
            </w:r>
          </w:p>
        </w:tc>
        <w:tc>
          <w:tcPr>
            <w:tcW w:w="2296" w:type="dxa"/>
            <w:tcBorders>
              <w:top w:val="single" w:sz="12" w:space="0" w:color="auto"/>
              <w:left w:val="single" w:sz="12" w:space="0" w:color="auto"/>
              <w:bottom w:val="single" w:sz="6" w:space="0" w:color="auto"/>
              <w:right w:val="single" w:sz="6" w:space="0" w:color="auto"/>
            </w:tcBorders>
            <w:shd w:val="clear" w:color="auto" w:fill="auto"/>
          </w:tcPr>
          <w:p w:rsidR="00A6076F" w:rsidRPr="00744756" w:rsidRDefault="00A6076F" w:rsidP="00747D56">
            <w:r w:rsidRPr="00744756">
              <w:t xml:space="preserve">2022 Heavy </w:t>
            </w:r>
            <w:r>
              <w:t>Winter</w:t>
            </w:r>
          </w:p>
        </w:tc>
        <w:tc>
          <w:tcPr>
            <w:tcW w:w="2343" w:type="dxa"/>
            <w:tcBorders>
              <w:top w:val="single" w:sz="12" w:space="0" w:color="auto"/>
              <w:left w:val="single" w:sz="6" w:space="0" w:color="auto"/>
              <w:bottom w:val="single" w:sz="6" w:space="0" w:color="auto"/>
            </w:tcBorders>
            <w:shd w:val="clear" w:color="auto" w:fill="auto"/>
          </w:tcPr>
          <w:p w:rsidR="00A6076F" w:rsidRPr="00744756" w:rsidRDefault="00A6076F" w:rsidP="00747D56">
            <w:r w:rsidRPr="00744756">
              <w:t>WECC 202</w:t>
            </w:r>
            <w:r>
              <w:t>2HW1</w:t>
            </w:r>
          </w:p>
        </w:tc>
      </w:tr>
      <w:tr w:rsidR="00A6076F" w:rsidRPr="00CC7426" w:rsidTr="00747D56">
        <w:trPr>
          <w:trHeight w:val="175"/>
          <w:jc w:val="center"/>
        </w:trPr>
        <w:tc>
          <w:tcPr>
            <w:tcW w:w="2344" w:type="dxa"/>
            <w:tcBorders>
              <w:top w:val="single" w:sz="6" w:space="0" w:color="auto"/>
              <w:bottom w:val="single" w:sz="12" w:space="0" w:color="auto"/>
              <w:right w:val="single" w:sz="6" w:space="0" w:color="auto"/>
            </w:tcBorders>
          </w:tcPr>
          <w:p w:rsidR="00A6076F" w:rsidRPr="00C927FB" w:rsidRDefault="00A6076F" w:rsidP="00747D56">
            <w:r>
              <w:t>2016-17</w:t>
            </w:r>
            <w:r w:rsidRPr="00C927FB">
              <w:t xml:space="preserve"> Light Winter</w:t>
            </w:r>
          </w:p>
        </w:tc>
        <w:tc>
          <w:tcPr>
            <w:tcW w:w="2346" w:type="dxa"/>
            <w:tcBorders>
              <w:top w:val="single" w:sz="6" w:space="0" w:color="auto"/>
              <w:left w:val="single" w:sz="6" w:space="0" w:color="auto"/>
              <w:bottom w:val="single" w:sz="12" w:space="0" w:color="auto"/>
              <w:right w:val="single" w:sz="12" w:space="0" w:color="auto"/>
            </w:tcBorders>
            <w:shd w:val="clear" w:color="auto" w:fill="auto"/>
          </w:tcPr>
          <w:p w:rsidR="00A6076F" w:rsidRPr="00C927FB" w:rsidRDefault="00A6076F" w:rsidP="00747D56">
            <w:r>
              <w:t>CCPG 2017LW</w:t>
            </w:r>
          </w:p>
        </w:tc>
        <w:tc>
          <w:tcPr>
            <w:tcW w:w="2296" w:type="dxa"/>
            <w:tcBorders>
              <w:top w:val="single" w:sz="6" w:space="0" w:color="auto"/>
              <w:left w:val="single" w:sz="12" w:space="0" w:color="auto"/>
              <w:bottom w:val="single" w:sz="12" w:space="0" w:color="auto"/>
              <w:right w:val="single" w:sz="6" w:space="0" w:color="auto"/>
            </w:tcBorders>
            <w:shd w:val="clear" w:color="auto" w:fill="auto"/>
          </w:tcPr>
          <w:p w:rsidR="00A6076F" w:rsidRPr="00744756" w:rsidRDefault="00A6076F" w:rsidP="00747D56">
            <w:r w:rsidRPr="00744756">
              <w:t>20</w:t>
            </w:r>
            <w:r>
              <w:t>22</w:t>
            </w:r>
            <w:r w:rsidRPr="00744756">
              <w:t xml:space="preserve"> Light </w:t>
            </w:r>
            <w:r>
              <w:t>Summer</w:t>
            </w:r>
          </w:p>
        </w:tc>
        <w:tc>
          <w:tcPr>
            <w:tcW w:w="2343" w:type="dxa"/>
            <w:tcBorders>
              <w:top w:val="single" w:sz="6" w:space="0" w:color="auto"/>
              <w:left w:val="single" w:sz="6" w:space="0" w:color="auto"/>
              <w:bottom w:val="single" w:sz="12" w:space="0" w:color="auto"/>
            </w:tcBorders>
            <w:shd w:val="clear" w:color="auto" w:fill="auto"/>
          </w:tcPr>
          <w:p w:rsidR="00A6076F" w:rsidRPr="00744756" w:rsidRDefault="00A6076F" w:rsidP="00747D56">
            <w:r w:rsidRPr="00744756">
              <w:t xml:space="preserve">WECC </w:t>
            </w:r>
            <w:r>
              <w:t>2022LS1</w:t>
            </w:r>
          </w:p>
        </w:tc>
      </w:tr>
    </w:tbl>
    <w:p w:rsidR="004409C1" w:rsidRDefault="004409C1" w:rsidP="00773617">
      <w:pPr>
        <w:jc w:val="center"/>
        <w:rPr>
          <w:sz w:val="24"/>
          <w:szCs w:val="24"/>
        </w:rPr>
      </w:pPr>
    </w:p>
    <w:p w:rsidR="002050C3" w:rsidRDefault="002050C3" w:rsidP="004409C1">
      <w:pPr>
        <w:jc w:val="both"/>
        <w:rPr>
          <w:sz w:val="24"/>
          <w:szCs w:val="24"/>
        </w:rPr>
      </w:pPr>
    </w:p>
    <w:p w:rsidR="004409D7" w:rsidRDefault="004409D7" w:rsidP="004409C1">
      <w:pPr>
        <w:numPr>
          <w:ilvl w:val="0"/>
          <w:numId w:val="18"/>
        </w:numPr>
        <w:tabs>
          <w:tab w:val="clear" w:pos="720"/>
        </w:tabs>
        <w:ind w:left="360"/>
        <w:jc w:val="both"/>
        <w:rPr>
          <w:b/>
          <w:sz w:val="24"/>
          <w:szCs w:val="24"/>
        </w:rPr>
      </w:pPr>
      <w:r>
        <w:rPr>
          <w:b/>
          <w:sz w:val="24"/>
          <w:szCs w:val="24"/>
        </w:rPr>
        <w:lastRenderedPageBreak/>
        <w:t>Uncertainty Scenarios</w:t>
      </w:r>
    </w:p>
    <w:p w:rsidR="004409D7" w:rsidRPr="004409D7" w:rsidRDefault="004409D7" w:rsidP="004409C1">
      <w:pPr>
        <w:jc w:val="both"/>
        <w:rPr>
          <w:sz w:val="24"/>
          <w:szCs w:val="24"/>
        </w:rPr>
      </w:pPr>
    </w:p>
    <w:p w:rsidR="00C21DC2" w:rsidRDefault="00773617" w:rsidP="004409C1">
      <w:pPr>
        <w:jc w:val="both"/>
        <w:rPr>
          <w:sz w:val="24"/>
          <w:szCs w:val="24"/>
        </w:rPr>
      </w:pPr>
      <w:r>
        <w:rPr>
          <w:sz w:val="24"/>
          <w:szCs w:val="24"/>
        </w:rPr>
        <w:t xml:space="preserve">An uncertainty scenario </w:t>
      </w:r>
      <w:r w:rsidR="007019C0">
        <w:rPr>
          <w:sz w:val="24"/>
          <w:szCs w:val="24"/>
        </w:rPr>
        <w:t>may</w:t>
      </w:r>
      <w:r>
        <w:rPr>
          <w:sz w:val="24"/>
          <w:szCs w:val="24"/>
        </w:rPr>
        <w:t xml:space="preserve"> be created for each of the base case scenarios in Table 1 based on stakeholder input.  Uncertainty scenarios provide an opportunity to evaluate generation and transmission projects submitted for consideration but not included in the base case, as well as demand response resources and alternative load and/or resource </w:t>
      </w:r>
      <w:r w:rsidR="007019C0">
        <w:rPr>
          <w:sz w:val="24"/>
          <w:szCs w:val="24"/>
        </w:rPr>
        <w:t>profiles.</w:t>
      </w:r>
      <w:r w:rsidR="0085426F">
        <w:rPr>
          <w:sz w:val="24"/>
          <w:szCs w:val="24"/>
        </w:rPr>
        <w:t xml:space="preserve">  Uncertainty scenarios are often used to validate the need and required implementation timeline for projects that may be in the Transmission Providers 10-Year Plan.  </w:t>
      </w:r>
    </w:p>
    <w:p w:rsidR="00C21DC2" w:rsidRPr="003A139A" w:rsidRDefault="00C21DC2" w:rsidP="00C21DC2">
      <w:pPr>
        <w:ind w:left="360"/>
        <w:jc w:val="both"/>
        <w:rPr>
          <w:sz w:val="24"/>
          <w:szCs w:val="24"/>
        </w:rPr>
      </w:pPr>
    </w:p>
    <w:p w:rsidR="00C21DC2" w:rsidRDefault="00C21DC2" w:rsidP="004409C1">
      <w:pPr>
        <w:jc w:val="both"/>
        <w:rPr>
          <w:sz w:val="24"/>
          <w:szCs w:val="24"/>
        </w:rPr>
      </w:pPr>
    </w:p>
    <w:p w:rsidR="006972D6" w:rsidRPr="004409D7" w:rsidRDefault="006972D6" w:rsidP="002050C3">
      <w:pPr>
        <w:keepNext/>
        <w:keepLines/>
        <w:numPr>
          <w:ilvl w:val="0"/>
          <w:numId w:val="18"/>
        </w:numPr>
        <w:tabs>
          <w:tab w:val="clear" w:pos="720"/>
        </w:tabs>
        <w:ind w:left="360"/>
        <w:jc w:val="both"/>
        <w:rPr>
          <w:b/>
          <w:sz w:val="24"/>
          <w:szCs w:val="24"/>
        </w:rPr>
      </w:pPr>
      <w:r w:rsidRPr="004409D7">
        <w:rPr>
          <w:b/>
          <w:sz w:val="24"/>
          <w:szCs w:val="24"/>
        </w:rPr>
        <w:t>Power Flow Simulations</w:t>
      </w:r>
    </w:p>
    <w:p w:rsidR="0092746B" w:rsidRPr="0092746B" w:rsidRDefault="0092746B" w:rsidP="002050C3">
      <w:pPr>
        <w:keepNext/>
        <w:keepLines/>
        <w:jc w:val="both"/>
        <w:rPr>
          <w:sz w:val="24"/>
          <w:szCs w:val="24"/>
        </w:rPr>
      </w:pPr>
    </w:p>
    <w:p w:rsidR="00555B71" w:rsidRDefault="007778AB" w:rsidP="002050C3">
      <w:pPr>
        <w:keepNext/>
        <w:keepLines/>
        <w:jc w:val="both"/>
        <w:rPr>
          <w:sz w:val="24"/>
          <w:szCs w:val="24"/>
        </w:rPr>
      </w:pPr>
      <w:r>
        <w:rPr>
          <w:sz w:val="24"/>
          <w:szCs w:val="24"/>
        </w:rPr>
        <w:t>For each base case and uncertainty scenario identified above p</w:t>
      </w:r>
      <w:r w:rsidR="00916839">
        <w:rPr>
          <w:sz w:val="24"/>
          <w:szCs w:val="24"/>
        </w:rPr>
        <w:t>ower flow simulations will be run to evaluate system performance under NERC TPL Standard Category A-C events and worst case Category D events.</w:t>
      </w:r>
      <w:r w:rsidR="00813CC2" w:rsidRPr="00733205">
        <w:rPr>
          <w:sz w:val="24"/>
          <w:szCs w:val="24"/>
        </w:rPr>
        <w:t xml:space="preserve">  </w:t>
      </w:r>
      <w:r w:rsidR="00733205" w:rsidRPr="00733205">
        <w:rPr>
          <w:sz w:val="24"/>
          <w:szCs w:val="24"/>
        </w:rPr>
        <w:t>Black Hills</w:t>
      </w:r>
      <w:r w:rsidR="00733205">
        <w:rPr>
          <w:sz w:val="24"/>
          <w:szCs w:val="24"/>
        </w:rPr>
        <w:t>’</w:t>
      </w:r>
      <w:r w:rsidR="00813CC2" w:rsidRPr="00733205">
        <w:rPr>
          <w:sz w:val="24"/>
          <w:szCs w:val="24"/>
        </w:rPr>
        <w:t xml:space="preserve"> </w:t>
      </w:r>
      <w:r w:rsidR="00813CC2" w:rsidRPr="00AF7203">
        <w:rPr>
          <w:sz w:val="24"/>
          <w:szCs w:val="24"/>
        </w:rPr>
        <w:t xml:space="preserve">generation </w:t>
      </w:r>
      <w:r w:rsidR="007019C0">
        <w:rPr>
          <w:sz w:val="24"/>
          <w:szCs w:val="24"/>
        </w:rPr>
        <w:t>may</w:t>
      </w:r>
      <w:r w:rsidR="00813CC2" w:rsidRPr="00AF7203">
        <w:rPr>
          <w:sz w:val="24"/>
          <w:szCs w:val="24"/>
        </w:rPr>
        <w:t xml:space="preserve"> be dispatched as </w:t>
      </w:r>
      <w:r w:rsidR="00733205">
        <w:rPr>
          <w:sz w:val="24"/>
          <w:szCs w:val="24"/>
        </w:rPr>
        <w:t>deemed appropriate</w:t>
      </w:r>
      <w:r w:rsidR="00813CC2" w:rsidRPr="00AF7203">
        <w:rPr>
          <w:sz w:val="24"/>
          <w:szCs w:val="24"/>
        </w:rPr>
        <w:t xml:space="preserve"> to mitigate performance criteria violations</w:t>
      </w:r>
      <w:r w:rsidR="00555B71">
        <w:rPr>
          <w:sz w:val="24"/>
          <w:szCs w:val="24"/>
        </w:rPr>
        <w:t xml:space="preserve"> for base case simulations</w:t>
      </w:r>
      <w:r w:rsidR="00813CC2" w:rsidRPr="00AF7203">
        <w:rPr>
          <w:sz w:val="24"/>
          <w:szCs w:val="24"/>
        </w:rPr>
        <w:t>.</w:t>
      </w:r>
      <w:r w:rsidR="00555B71">
        <w:rPr>
          <w:sz w:val="24"/>
          <w:szCs w:val="24"/>
        </w:rPr>
        <w:t xml:space="preserve">  </w:t>
      </w:r>
    </w:p>
    <w:p w:rsidR="00813CC2" w:rsidRPr="00773617" w:rsidRDefault="00813CC2" w:rsidP="004409C1">
      <w:pPr>
        <w:jc w:val="both"/>
        <w:rPr>
          <w:color w:val="FF0000"/>
          <w:sz w:val="24"/>
          <w:szCs w:val="24"/>
        </w:rPr>
      </w:pPr>
    </w:p>
    <w:p w:rsidR="00773617" w:rsidRPr="00913895" w:rsidRDefault="00773617" w:rsidP="00773617">
      <w:pPr>
        <w:keepNext/>
        <w:keepLines/>
        <w:jc w:val="both"/>
        <w:rPr>
          <w:sz w:val="24"/>
          <w:szCs w:val="24"/>
        </w:rPr>
      </w:pPr>
      <w:r w:rsidRPr="00913895">
        <w:rPr>
          <w:sz w:val="24"/>
          <w:szCs w:val="24"/>
        </w:rPr>
        <w:t>A voltage stability assessment will be performed for the study area to demonstrate sufficient voltage stability margin exists.  The voltage stability analysis will be performed for the 2017 heavy summer scenario to reflect worst-case conditions in the near-term planning horizon.</w:t>
      </w:r>
    </w:p>
    <w:p w:rsidR="00402598" w:rsidRDefault="00402598" w:rsidP="00773617">
      <w:pPr>
        <w:keepNext/>
        <w:keepLines/>
        <w:jc w:val="both"/>
        <w:rPr>
          <w:color w:val="FF0000"/>
          <w:sz w:val="24"/>
          <w:szCs w:val="24"/>
        </w:rPr>
      </w:pPr>
    </w:p>
    <w:p w:rsidR="00402598" w:rsidRDefault="00402598" w:rsidP="00402598">
      <w:pPr>
        <w:jc w:val="both"/>
        <w:rPr>
          <w:sz w:val="24"/>
          <w:szCs w:val="24"/>
        </w:rPr>
      </w:pPr>
      <w:r>
        <w:rPr>
          <w:sz w:val="24"/>
          <w:szCs w:val="24"/>
        </w:rPr>
        <w:t xml:space="preserve">The study will monitor the performance of the </w:t>
      </w:r>
      <w:r w:rsidR="007019C0">
        <w:rPr>
          <w:sz w:val="24"/>
          <w:szCs w:val="24"/>
        </w:rPr>
        <w:t xml:space="preserve">BHCE and surrounding </w:t>
      </w:r>
      <w:r>
        <w:rPr>
          <w:sz w:val="24"/>
          <w:szCs w:val="24"/>
        </w:rPr>
        <w:t xml:space="preserve">transmission system in the Western </w:t>
      </w:r>
      <w:r w:rsidRPr="00EA40DB">
        <w:rPr>
          <w:sz w:val="24"/>
          <w:szCs w:val="24"/>
        </w:rPr>
        <w:t>Interconnection roughly bounded by the Walsenburg, San Luis Valley, Poncha, Lamar, and Midway substations.</w:t>
      </w:r>
    </w:p>
    <w:p w:rsidR="00402598" w:rsidRPr="00773617" w:rsidRDefault="00402598" w:rsidP="00773617">
      <w:pPr>
        <w:keepNext/>
        <w:keepLines/>
        <w:jc w:val="both"/>
        <w:rPr>
          <w:color w:val="FF0000"/>
          <w:sz w:val="24"/>
          <w:szCs w:val="24"/>
        </w:rPr>
      </w:pPr>
    </w:p>
    <w:p w:rsidR="0073272F" w:rsidRDefault="0073272F" w:rsidP="0073272F">
      <w:pPr>
        <w:jc w:val="both"/>
        <w:rPr>
          <w:b/>
          <w:sz w:val="24"/>
          <w:szCs w:val="24"/>
        </w:rPr>
      </w:pPr>
    </w:p>
    <w:p w:rsidR="00CD4BFF" w:rsidRPr="00733205" w:rsidRDefault="00265613" w:rsidP="004409C1">
      <w:pPr>
        <w:numPr>
          <w:ilvl w:val="0"/>
          <w:numId w:val="18"/>
        </w:numPr>
        <w:tabs>
          <w:tab w:val="clear" w:pos="720"/>
        </w:tabs>
        <w:ind w:left="360"/>
        <w:jc w:val="both"/>
        <w:rPr>
          <w:b/>
          <w:sz w:val="24"/>
          <w:szCs w:val="24"/>
        </w:rPr>
      </w:pPr>
      <w:r w:rsidRPr="00733205">
        <w:rPr>
          <w:b/>
          <w:sz w:val="24"/>
          <w:szCs w:val="24"/>
        </w:rPr>
        <w:t>Dynamic Simulations</w:t>
      </w:r>
    </w:p>
    <w:p w:rsidR="00265613" w:rsidRPr="00733205" w:rsidRDefault="00265613" w:rsidP="004409C1">
      <w:pPr>
        <w:ind w:left="720"/>
        <w:jc w:val="both"/>
        <w:rPr>
          <w:sz w:val="24"/>
          <w:szCs w:val="24"/>
        </w:rPr>
      </w:pPr>
    </w:p>
    <w:p w:rsidR="00265613" w:rsidRDefault="00916839" w:rsidP="00773617">
      <w:pPr>
        <w:jc w:val="both"/>
        <w:rPr>
          <w:sz w:val="24"/>
          <w:szCs w:val="24"/>
        </w:rPr>
      </w:pPr>
      <w:r w:rsidRPr="00E06B0D">
        <w:rPr>
          <w:sz w:val="24"/>
          <w:szCs w:val="24"/>
        </w:rPr>
        <w:t xml:space="preserve">Dynamic simulations will be run </w:t>
      </w:r>
      <w:r w:rsidR="00555B71">
        <w:rPr>
          <w:sz w:val="24"/>
          <w:szCs w:val="24"/>
        </w:rPr>
        <w:t xml:space="preserve">on base case scenarios </w:t>
      </w:r>
      <w:r w:rsidRPr="00E06B0D">
        <w:rPr>
          <w:sz w:val="24"/>
          <w:szCs w:val="24"/>
        </w:rPr>
        <w:t>to evaluate system performance under</w:t>
      </w:r>
      <w:r w:rsidR="00E06B0D" w:rsidRPr="00E06B0D">
        <w:rPr>
          <w:sz w:val="24"/>
          <w:szCs w:val="24"/>
        </w:rPr>
        <w:t xml:space="preserve"> NERC TPL Standard Category A and</w:t>
      </w:r>
      <w:r w:rsidRPr="00E06B0D">
        <w:rPr>
          <w:sz w:val="24"/>
          <w:szCs w:val="24"/>
        </w:rPr>
        <w:t xml:space="preserve"> </w:t>
      </w:r>
      <w:r w:rsidR="00F223AE" w:rsidRPr="00E06B0D">
        <w:rPr>
          <w:sz w:val="24"/>
          <w:szCs w:val="24"/>
        </w:rPr>
        <w:t>worst</w:t>
      </w:r>
      <w:r w:rsidR="00E04610" w:rsidRPr="00E06B0D">
        <w:rPr>
          <w:sz w:val="24"/>
          <w:szCs w:val="24"/>
        </w:rPr>
        <w:t>-</w:t>
      </w:r>
      <w:r w:rsidR="00F223AE" w:rsidRPr="00E06B0D">
        <w:rPr>
          <w:sz w:val="24"/>
          <w:szCs w:val="24"/>
        </w:rPr>
        <w:t>case</w:t>
      </w:r>
      <w:r w:rsidR="00E06B0D" w:rsidRPr="00E06B0D">
        <w:rPr>
          <w:sz w:val="24"/>
          <w:szCs w:val="24"/>
        </w:rPr>
        <w:t xml:space="preserve"> Category </w:t>
      </w:r>
      <w:r w:rsidR="00F223AE" w:rsidRPr="00E06B0D">
        <w:rPr>
          <w:sz w:val="24"/>
          <w:szCs w:val="24"/>
        </w:rPr>
        <w:t>B</w:t>
      </w:r>
      <w:r w:rsidR="00083697" w:rsidRPr="00E06B0D">
        <w:rPr>
          <w:sz w:val="24"/>
          <w:szCs w:val="24"/>
        </w:rPr>
        <w:t>, C</w:t>
      </w:r>
      <w:r w:rsidR="00F223AE" w:rsidRPr="00E06B0D">
        <w:rPr>
          <w:sz w:val="24"/>
          <w:szCs w:val="24"/>
        </w:rPr>
        <w:t xml:space="preserve"> and </w:t>
      </w:r>
      <w:r w:rsidR="00083697" w:rsidRPr="00E06B0D">
        <w:rPr>
          <w:sz w:val="24"/>
          <w:szCs w:val="24"/>
        </w:rPr>
        <w:t>D</w:t>
      </w:r>
      <w:r w:rsidRPr="00E06B0D">
        <w:rPr>
          <w:sz w:val="24"/>
          <w:szCs w:val="24"/>
        </w:rPr>
        <w:t xml:space="preserve"> events</w:t>
      </w:r>
      <w:r w:rsidR="00BB3AAC" w:rsidRPr="00E06B0D">
        <w:rPr>
          <w:sz w:val="24"/>
          <w:szCs w:val="24"/>
        </w:rPr>
        <w:t xml:space="preserve"> </w:t>
      </w:r>
      <w:r w:rsidR="00C31BF0" w:rsidRPr="00E06B0D">
        <w:rPr>
          <w:sz w:val="24"/>
          <w:szCs w:val="24"/>
        </w:rPr>
        <w:t>based upon the results of the power flow simulations</w:t>
      </w:r>
      <w:r w:rsidR="007019C0">
        <w:rPr>
          <w:sz w:val="24"/>
          <w:szCs w:val="24"/>
        </w:rPr>
        <w:t xml:space="preserve"> and engineering </w:t>
      </w:r>
      <w:r w:rsidR="00F06940">
        <w:rPr>
          <w:sz w:val="24"/>
          <w:szCs w:val="24"/>
        </w:rPr>
        <w:t>judgment</w:t>
      </w:r>
      <w:r w:rsidR="00BB3AAC" w:rsidRPr="00E06B0D">
        <w:rPr>
          <w:sz w:val="24"/>
          <w:szCs w:val="24"/>
        </w:rPr>
        <w:t>.</w:t>
      </w:r>
      <w:r w:rsidR="00555B71">
        <w:rPr>
          <w:sz w:val="24"/>
          <w:szCs w:val="24"/>
        </w:rPr>
        <w:t xml:space="preserve">  </w:t>
      </w:r>
    </w:p>
    <w:p w:rsidR="00D51CA3" w:rsidRDefault="00D51CA3" w:rsidP="00FD4519">
      <w:pPr>
        <w:rPr>
          <w:sz w:val="24"/>
          <w:szCs w:val="24"/>
        </w:rPr>
      </w:pPr>
    </w:p>
    <w:p w:rsidR="00366F44" w:rsidRDefault="00366F44" w:rsidP="00FD4519">
      <w:pPr>
        <w:rPr>
          <w:sz w:val="24"/>
          <w:szCs w:val="24"/>
        </w:rPr>
      </w:pPr>
    </w:p>
    <w:p w:rsidR="00773617" w:rsidRDefault="00773617" w:rsidP="00773617">
      <w:pPr>
        <w:numPr>
          <w:ilvl w:val="0"/>
          <w:numId w:val="18"/>
        </w:numPr>
        <w:tabs>
          <w:tab w:val="clear" w:pos="720"/>
        </w:tabs>
        <w:ind w:left="360"/>
        <w:jc w:val="both"/>
        <w:rPr>
          <w:b/>
          <w:sz w:val="24"/>
          <w:szCs w:val="24"/>
        </w:rPr>
      </w:pPr>
      <w:r>
        <w:rPr>
          <w:b/>
          <w:sz w:val="24"/>
          <w:szCs w:val="24"/>
        </w:rPr>
        <w:t>Study Timeline</w:t>
      </w:r>
    </w:p>
    <w:p w:rsidR="00773617" w:rsidRDefault="00773617" w:rsidP="00773617">
      <w:pPr>
        <w:jc w:val="both"/>
        <w:rPr>
          <w:b/>
          <w:sz w:val="24"/>
          <w:szCs w:val="24"/>
        </w:rPr>
      </w:pPr>
    </w:p>
    <w:p w:rsidR="00773617" w:rsidRDefault="00773617" w:rsidP="00773617">
      <w:pPr>
        <w:numPr>
          <w:ilvl w:val="1"/>
          <w:numId w:val="18"/>
        </w:numPr>
        <w:jc w:val="both"/>
        <w:rPr>
          <w:sz w:val="24"/>
          <w:szCs w:val="24"/>
        </w:rPr>
      </w:pPr>
      <w:r>
        <w:rPr>
          <w:sz w:val="24"/>
          <w:szCs w:val="24"/>
        </w:rPr>
        <w:t>Q2 2012 – Compile base case updates from neighbor utilities and load/resource data from transmission customers.</w:t>
      </w:r>
    </w:p>
    <w:p w:rsidR="00773617" w:rsidRDefault="00773617" w:rsidP="00773617">
      <w:pPr>
        <w:numPr>
          <w:ilvl w:val="1"/>
          <w:numId w:val="18"/>
        </w:numPr>
        <w:jc w:val="both"/>
        <w:rPr>
          <w:sz w:val="24"/>
          <w:szCs w:val="24"/>
        </w:rPr>
      </w:pPr>
      <w:r>
        <w:rPr>
          <w:sz w:val="24"/>
          <w:szCs w:val="24"/>
        </w:rPr>
        <w:t>Q3 2012 – Perform simulations and develop solutions to mitigate performance violations</w:t>
      </w:r>
      <w:r w:rsidR="007019C0">
        <w:rPr>
          <w:sz w:val="24"/>
          <w:szCs w:val="24"/>
        </w:rPr>
        <w:t xml:space="preserve"> and validate currently planned projects</w:t>
      </w:r>
      <w:r>
        <w:rPr>
          <w:sz w:val="24"/>
          <w:szCs w:val="24"/>
        </w:rPr>
        <w:t>.</w:t>
      </w:r>
    </w:p>
    <w:p w:rsidR="00773617" w:rsidRPr="004D1B46" w:rsidRDefault="00773617" w:rsidP="00773617">
      <w:pPr>
        <w:numPr>
          <w:ilvl w:val="1"/>
          <w:numId w:val="18"/>
        </w:numPr>
        <w:jc w:val="both"/>
        <w:rPr>
          <w:sz w:val="24"/>
          <w:szCs w:val="24"/>
        </w:rPr>
      </w:pPr>
      <w:r>
        <w:rPr>
          <w:sz w:val="24"/>
          <w:szCs w:val="24"/>
        </w:rPr>
        <w:t>Q4 2012 – Draft and finalize the Local Transmission Plan.</w:t>
      </w:r>
    </w:p>
    <w:p w:rsidR="00773617" w:rsidRDefault="00773617" w:rsidP="00773617">
      <w:pPr>
        <w:rPr>
          <w:sz w:val="24"/>
          <w:szCs w:val="24"/>
        </w:rPr>
      </w:pPr>
    </w:p>
    <w:p w:rsidR="00773617" w:rsidRDefault="00773617" w:rsidP="00773617">
      <w:pPr>
        <w:rPr>
          <w:sz w:val="24"/>
          <w:szCs w:val="24"/>
        </w:rPr>
      </w:pPr>
      <w:r>
        <w:rPr>
          <w:sz w:val="24"/>
          <w:szCs w:val="24"/>
        </w:rPr>
        <w:t>Quarterly stakeholder meetings will be held at each of the above milestones to provide the opportunity for meaningful stakeholder participation in the transmission planning process.</w:t>
      </w:r>
    </w:p>
    <w:p w:rsidR="00773617" w:rsidRPr="00265613" w:rsidRDefault="00773617" w:rsidP="00773617">
      <w:pPr>
        <w:rPr>
          <w:sz w:val="24"/>
          <w:szCs w:val="24"/>
        </w:rPr>
      </w:pPr>
    </w:p>
    <w:p w:rsidR="00773617" w:rsidRPr="00265613" w:rsidRDefault="00773617" w:rsidP="00FD4519">
      <w:pPr>
        <w:rPr>
          <w:sz w:val="24"/>
          <w:szCs w:val="24"/>
        </w:rPr>
      </w:pPr>
    </w:p>
    <w:sectPr w:rsidR="00773617" w:rsidRPr="00265613" w:rsidSect="00215FD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96" w:rsidRDefault="00626696">
      <w:r>
        <w:separator/>
      </w:r>
    </w:p>
  </w:endnote>
  <w:endnote w:type="continuationSeparator" w:id="0">
    <w:p w:rsidR="00626696" w:rsidRDefault="0062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C2" w:rsidRDefault="00BA02AD" w:rsidP="00215FD2">
    <w:pPr>
      <w:pStyle w:val="Footer"/>
      <w:framePr w:wrap="around" w:vAnchor="text" w:hAnchor="margin" w:xAlign="center" w:y="1"/>
      <w:rPr>
        <w:rStyle w:val="PageNumber"/>
      </w:rPr>
    </w:pPr>
    <w:r>
      <w:rPr>
        <w:rStyle w:val="PageNumber"/>
      </w:rPr>
      <w:fldChar w:fldCharType="begin"/>
    </w:r>
    <w:r w:rsidR="00C21DC2">
      <w:rPr>
        <w:rStyle w:val="PageNumber"/>
      </w:rPr>
      <w:instrText xml:space="preserve">PAGE  </w:instrText>
    </w:r>
    <w:r>
      <w:rPr>
        <w:rStyle w:val="PageNumber"/>
      </w:rPr>
      <w:fldChar w:fldCharType="end"/>
    </w:r>
  </w:p>
  <w:p w:rsidR="00C21DC2" w:rsidRDefault="00C21D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C2" w:rsidRDefault="00BA02AD" w:rsidP="00215FD2">
    <w:pPr>
      <w:pStyle w:val="Footer"/>
      <w:framePr w:wrap="around" w:vAnchor="text" w:hAnchor="margin" w:xAlign="center" w:y="1"/>
      <w:rPr>
        <w:rStyle w:val="PageNumber"/>
      </w:rPr>
    </w:pPr>
    <w:r>
      <w:rPr>
        <w:rStyle w:val="PageNumber"/>
      </w:rPr>
      <w:fldChar w:fldCharType="begin"/>
    </w:r>
    <w:r w:rsidR="00C21DC2">
      <w:rPr>
        <w:rStyle w:val="PageNumber"/>
      </w:rPr>
      <w:instrText xml:space="preserve">PAGE  </w:instrText>
    </w:r>
    <w:r>
      <w:rPr>
        <w:rStyle w:val="PageNumber"/>
      </w:rPr>
      <w:fldChar w:fldCharType="separate"/>
    </w:r>
    <w:r w:rsidR="004E62D2">
      <w:rPr>
        <w:rStyle w:val="PageNumber"/>
        <w:noProof/>
      </w:rPr>
      <w:t>1</w:t>
    </w:r>
    <w:r>
      <w:rPr>
        <w:rStyle w:val="PageNumber"/>
      </w:rPr>
      <w:fldChar w:fldCharType="end"/>
    </w:r>
  </w:p>
  <w:p w:rsidR="00C21DC2" w:rsidRDefault="00C21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C2" w:rsidRDefault="00C21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96" w:rsidRDefault="00626696">
      <w:r>
        <w:separator/>
      </w:r>
    </w:p>
  </w:footnote>
  <w:footnote w:type="continuationSeparator" w:id="0">
    <w:p w:rsidR="00626696" w:rsidRDefault="0062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C2" w:rsidRDefault="00C21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C2" w:rsidRDefault="00C21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C2" w:rsidRDefault="00C21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6C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0EDE0944"/>
    <w:multiLevelType w:val="multilevel"/>
    <w:tmpl w:val="63AC2C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74912DE"/>
    <w:multiLevelType w:val="hybridMultilevel"/>
    <w:tmpl w:val="35FEDC84"/>
    <w:lvl w:ilvl="0" w:tplc="545CD5F2">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E5110"/>
    <w:multiLevelType w:val="hybridMultilevel"/>
    <w:tmpl w:val="D41CC73A"/>
    <w:lvl w:ilvl="0" w:tplc="FA16E236">
      <w:start w:val="1"/>
      <w:numFmt w:val="decimal"/>
      <w:lvlText w:val="%1."/>
      <w:lvlJc w:val="left"/>
      <w:pPr>
        <w:tabs>
          <w:tab w:val="num" w:pos="720"/>
        </w:tabs>
        <w:ind w:left="720" w:hanging="720"/>
      </w:pPr>
      <w:rPr>
        <w:rFonts w:hint="default"/>
      </w:rPr>
    </w:lvl>
    <w:lvl w:ilvl="1" w:tplc="CD7A69F8" w:tentative="1">
      <w:start w:val="1"/>
      <w:numFmt w:val="lowerLetter"/>
      <w:lvlText w:val="%2."/>
      <w:lvlJc w:val="left"/>
      <w:pPr>
        <w:tabs>
          <w:tab w:val="num" w:pos="1080"/>
        </w:tabs>
        <w:ind w:left="1080" w:hanging="360"/>
      </w:pPr>
    </w:lvl>
    <w:lvl w:ilvl="2" w:tplc="E10AF93E" w:tentative="1">
      <w:start w:val="1"/>
      <w:numFmt w:val="lowerRoman"/>
      <w:lvlText w:val="%3."/>
      <w:lvlJc w:val="right"/>
      <w:pPr>
        <w:tabs>
          <w:tab w:val="num" w:pos="1800"/>
        </w:tabs>
        <w:ind w:left="1800" w:hanging="180"/>
      </w:pPr>
    </w:lvl>
    <w:lvl w:ilvl="3" w:tplc="4EB26A7C" w:tentative="1">
      <w:start w:val="1"/>
      <w:numFmt w:val="decimal"/>
      <w:lvlText w:val="%4."/>
      <w:lvlJc w:val="left"/>
      <w:pPr>
        <w:tabs>
          <w:tab w:val="num" w:pos="2520"/>
        </w:tabs>
        <w:ind w:left="2520" w:hanging="360"/>
      </w:pPr>
    </w:lvl>
    <w:lvl w:ilvl="4" w:tplc="6D863C06" w:tentative="1">
      <w:start w:val="1"/>
      <w:numFmt w:val="lowerLetter"/>
      <w:lvlText w:val="%5."/>
      <w:lvlJc w:val="left"/>
      <w:pPr>
        <w:tabs>
          <w:tab w:val="num" w:pos="3240"/>
        </w:tabs>
        <w:ind w:left="3240" w:hanging="360"/>
      </w:pPr>
    </w:lvl>
    <w:lvl w:ilvl="5" w:tplc="468002A4" w:tentative="1">
      <w:start w:val="1"/>
      <w:numFmt w:val="lowerRoman"/>
      <w:lvlText w:val="%6."/>
      <w:lvlJc w:val="right"/>
      <w:pPr>
        <w:tabs>
          <w:tab w:val="num" w:pos="3960"/>
        </w:tabs>
        <w:ind w:left="3960" w:hanging="180"/>
      </w:pPr>
    </w:lvl>
    <w:lvl w:ilvl="6" w:tplc="C90080C6" w:tentative="1">
      <w:start w:val="1"/>
      <w:numFmt w:val="decimal"/>
      <w:lvlText w:val="%7."/>
      <w:lvlJc w:val="left"/>
      <w:pPr>
        <w:tabs>
          <w:tab w:val="num" w:pos="4680"/>
        </w:tabs>
        <w:ind w:left="4680" w:hanging="360"/>
      </w:pPr>
    </w:lvl>
    <w:lvl w:ilvl="7" w:tplc="A8265B9E" w:tentative="1">
      <w:start w:val="1"/>
      <w:numFmt w:val="lowerLetter"/>
      <w:lvlText w:val="%8."/>
      <w:lvlJc w:val="left"/>
      <w:pPr>
        <w:tabs>
          <w:tab w:val="num" w:pos="5400"/>
        </w:tabs>
        <w:ind w:left="5400" w:hanging="360"/>
      </w:pPr>
    </w:lvl>
    <w:lvl w:ilvl="8" w:tplc="22F80E96" w:tentative="1">
      <w:start w:val="1"/>
      <w:numFmt w:val="lowerRoman"/>
      <w:lvlText w:val="%9."/>
      <w:lvlJc w:val="right"/>
      <w:pPr>
        <w:tabs>
          <w:tab w:val="num" w:pos="6120"/>
        </w:tabs>
        <w:ind w:left="6120" w:hanging="180"/>
      </w:pPr>
    </w:lvl>
  </w:abstractNum>
  <w:abstractNum w:abstractNumId="4">
    <w:nsid w:val="1D991F59"/>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470268E"/>
    <w:multiLevelType w:val="hybridMultilevel"/>
    <w:tmpl w:val="38D0E95A"/>
    <w:lvl w:ilvl="0" w:tplc="B50E698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30D66"/>
    <w:multiLevelType w:val="multilevel"/>
    <w:tmpl w:val="0CF8C0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88372C2"/>
    <w:multiLevelType w:val="hybridMultilevel"/>
    <w:tmpl w:val="D99848A8"/>
    <w:lvl w:ilvl="0" w:tplc="C974FD32">
      <w:start w:val="1"/>
      <w:numFmt w:val="decimal"/>
      <w:lvlText w:val="%1."/>
      <w:lvlJc w:val="left"/>
      <w:pPr>
        <w:tabs>
          <w:tab w:val="num" w:pos="720"/>
        </w:tabs>
        <w:ind w:left="720" w:hanging="720"/>
      </w:pPr>
      <w:rPr>
        <w:rFonts w:hint="default"/>
      </w:rPr>
    </w:lvl>
    <w:lvl w:ilvl="1" w:tplc="EEAAA128" w:tentative="1">
      <w:start w:val="1"/>
      <w:numFmt w:val="lowerLetter"/>
      <w:lvlText w:val="%2."/>
      <w:lvlJc w:val="left"/>
      <w:pPr>
        <w:tabs>
          <w:tab w:val="num" w:pos="1080"/>
        </w:tabs>
        <w:ind w:left="1080" w:hanging="360"/>
      </w:pPr>
    </w:lvl>
    <w:lvl w:ilvl="2" w:tplc="F0800ACE" w:tentative="1">
      <w:start w:val="1"/>
      <w:numFmt w:val="lowerRoman"/>
      <w:lvlText w:val="%3."/>
      <w:lvlJc w:val="right"/>
      <w:pPr>
        <w:tabs>
          <w:tab w:val="num" w:pos="1800"/>
        </w:tabs>
        <w:ind w:left="1800" w:hanging="180"/>
      </w:pPr>
    </w:lvl>
    <w:lvl w:ilvl="3" w:tplc="D346E3FC" w:tentative="1">
      <w:start w:val="1"/>
      <w:numFmt w:val="decimal"/>
      <w:lvlText w:val="%4."/>
      <w:lvlJc w:val="left"/>
      <w:pPr>
        <w:tabs>
          <w:tab w:val="num" w:pos="2520"/>
        </w:tabs>
        <w:ind w:left="2520" w:hanging="360"/>
      </w:pPr>
    </w:lvl>
    <w:lvl w:ilvl="4" w:tplc="D71C0B28" w:tentative="1">
      <w:start w:val="1"/>
      <w:numFmt w:val="lowerLetter"/>
      <w:lvlText w:val="%5."/>
      <w:lvlJc w:val="left"/>
      <w:pPr>
        <w:tabs>
          <w:tab w:val="num" w:pos="3240"/>
        </w:tabs>
        <w:ind w:left="3240" w:hanging="360"/>
      </w:pPr>
    </w:lvl>
    <w:lvl w:ilvl="5" w:tplc="76F8937C" w:tentative="1">
      <w:start w:val="1"/>
      <w:numFmt w:val="lowerRoman"/>
      <w:lvlText w:val="%6."/>
      <w:lvlJc w:val="right"/>
      <w:pPr>
        <w:tabs>
          <w:tab w:val="num" w:pos="3960"/>
        </w:tabs>
        <w:ind w:left="3960" w:hanging="180"/>
      </w:pPr>
    </w:lvl>
    <w:lvl w:ilvl="6" w:tplc="85CED27C" w:tentative="1">
      <w:start w:val="1"/>
      <w:numFmt w:val="decimal"/>
      <w:lvlText w:val="%7."/>
      <w:lvlJc w:val="left"/>
      <w:pPr>
        <w:tabs>
          <w:tab w:val="num" w:pos="4680"/>
        </w:tabs>
        <w:ind w:left="4680" w:hanging="360"/>
      </w:pPr>
    </w:lvl>
    <w:lvl w:ilvl="7" w:tplc="98928CB4" w:tentative="1">
      <w:start w:val="1"/>
      <w:numFmt w:val="lowerLetter"/>
      <w:lvlText w:val="%8."/>
      <w:lvlJc w:val="left"/>
      <w:pPr>
        <w:tabs>
          <w:tab w:val="num" w:pos="5400"/>
        </w:tabs>
        <w:ind w:left="5400" w:hanging="360"/>
      </w:pPr>
    </w:lvl>
    <w:lvl w:ilvl="8" w:tplc="47B2C40A" w:tentative="1">
      <w:start w:val="1"/>
      <w:numFmt w:val="lowerRoman"/>
      <w:lvlText w:val="%9."/>
      <w:lvlJc w:val="right"/>
      <w:pPr>
        <w:tabs>
          <w:tab w:val="num" w:pos="6120"/>
        </w:tabs>
        <w:ind w:left="6120" w:hanging="180"/>
      </w:pPr>
    </w:lvl>
  </w:abstractNum>
  <w:abstractNum w:abstractNumId="8">
    <w:nsid w:val="2DFA002A"/>
    <w:multiLevelType w:val="singleLevel"/>
    <w:tmpl w:val="FACE4A8A"/>
    <w:lvl w:ilvl="0">
      <w:start w:val="1"/>
      <w:numFmt w:val="decimal"/>
      <w:lvlText w:val="%1."/>
      <w:legacy w:legacy="1" w:legacySpace="0" w:legacyIndent="360"/>
      <w:lvlJc w:val="left"/>
      <w:pPr>
        <w:ind w:left="360" w:hanging="360"/>
      </w:pPr>
    </w:lvl>
  </w:abstractNum>
  <w:abstractNum w:abstractNumId="9">
    <w:nsid w:val="46A32C0C"/>
    <w:multiLevelType w:val="singleLevel"/>
    <w:tmpl w:val="0409000F"/>
    <w:lvl w:ilvl="0">
      <w:start w:val="1"/>
      <w:numFmt w:val="decimal"/>
      <w:lvlText w:val="%1."/>
      <w:lvlJc w:val="left"/>
      <w:pPr>
        <w:tabs>
          <w:tab w:val="num" w:pos="360"/>
        </w:tabs>
        <w:ind w:left="360" w:hanging="360"/>
      </w:pPr>
    </w:lvl>
  </w:abstractNum>
  <w:abstractNum w:abstractNumId="10">
    <w:nsid w:val="473D2845"/>
    <w:multiLevelType w:val="singleLevel"/>
    <w:tmpl w:val="0409000F"/>
    <w:lvl w:ilvl="0">
      <w:start w:val="1"/>
      <w:numFmt w:val="decimal"/>
      <w:lvlText w:val="%1."/>
      <w:lvlJc w:val="left"/>
      <w:pPr>
        <w:tabs>
          <w:tab w:val="num" w:pos="360"/>
        </w:tabs>
        <w:ind w:left="360" w:hanging="360"/>
      </w:pPr>
    </w:lvl>
  </w:abstractNum>
  <w:abstractNum w:abstractNumId="11">
    <w:nsid w:val="52500578"/>
    <w:multiLevelType w:val="singleLevel"/>
    <w:tmpl w:val="0409000F"/>
    <w:lvl w:ilvl="0">
      <w:start w:val="1"/>
      <w:numFmt w:val="decimal"/>
      <w:lvlText w:val="%1."/>
      <w:lvlJc w:val="left"/>
      <w:pPr>
        <w:tabs>
          <w:tab w:val="num" w:pos="360"/>
        </w:tabs>
        <w:ind w:left="360" w:hanging="360"/>
      </w:pPr>
    </w:lvl>
  </w:abstractNum>
  <w:abstractNum w:abstractNumId="12">
    <w:nsid w:val="5A1225AC"/>
    <w:multiLevelType w:val="hybridMultilevel"/>
    <w:tmpl w:val="F42CE3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A1236EA"/>
    <w:multiLevelType w:val="hybridMultilevel"/>
    <w:tmpl w:val="06FEA27C"/>
    <w:lvl w:ilvl="0" w:tplc="BB9CF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C052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nsid w:val="6ECD7F75"/>
    <w:multiLevelType w:val="hybridMultilevel"/>
    <w:tmpl w:val="972869FA"/>
    <w:lvl w:ilvl="0" w:tplc="9C68D218">
      <w:start w:val="1"/>
      <w:numFmt w:val="decimal"/>
      <w:lvlText w:val="%1."/>
      <w:lvlJc w:val="left"/>
      <w:pPr>
        <w:tabs>
          <w:tab w:val="num" w:pos="720"/>
        </w:tabs>
        <w:ind w:left="720" w:hanging="720"/>
      </w:pPr>
      <w:rPr>
        <w:rFonts w:hint="default"/>
      </w:rPr>
    </w:lvl>
    <w:lvl w:ilvl="1" w:tplc="756AD9D0" w:tentative="1">
      <w:start w:val="1"/>
      <w:numFmt w:val="lowerLetter"/>
      <w:lvlText w:val="%2."/>
      <w:lvlJc w:val="left"/>
      <w:pPr>
        <w:tabs>
          <w:tab w:val="num" w:pos="1080"/>
        </w:tabs>
        <w:ind w:left="1080" w:hanging="360"/>
      </w:pPr>
    </w:lvl>
    <w:lvl w:ilvl="2" w:tplc="9092D91E" w:tentative="1">
      <w:start w:val="1"/>
      <w:numFmt w:val="lowerRoman"/>
      <w:lvlText w:val="%3."/>
      <w:lvlJc w:val="right"/>
      <w:pPr>
        <w:tabs>
          <w:tab w:val="num" w:pos="1800"/>
        </w:tabs>
        <w:ind w:left="1800" w:hanging="180"/>
      </w:pPr>
    </w:lvl>
    <w:lvl w:ilvl="3" w:tplc="0088A312" w:tentative="1">
      <w:start w:val="1"/>
      <w:numFmt w:val="decimal"/>
      <w:lvlText w:val="%4."/>
      <w:lvlJc w:val="left"/>
      <w:pPr>
        <w:tabs>
          <w:tab w:val="num" w:pos="2520"/>
        </w:tabs>
        <w:ind w:left="2520" w:hanging="360"/>
      </w:pPr>
    </w:lvl>
    <w:lvl w:ilvl="4" w:tplc="66BCC036" w:tentative="1">
      <w:start w:val="1"/>
      <w:numFmt w:val="lowerLetter"/>
      <w:lvlText w:val="%5."/>
      <w:lvlJc w:val="left"/>
      <w:pPr>
        <w:tabs>
          <w:tab w:val="num" w:pos="3240"/>
        </w:tabs>
        <w:ind w:left="3240" w:hanging="360"/>
      </w:pPr>
    </w:lvl>
    <w:lvl w:ilvl="5" w:tplc="7C483ADC" w:tentative="1">
      <w:start w:val="1"/>
      <w:numFmt w:val="lowerRoman"/>
      <w:lvlText w:val="%6."/>
      <w:lvlJc w:val="right"/>
      <w:pPr>
        <w:tabs>
          <w:tab w:val="num" w:pos="3960"/>
        </w:tabs>
        <w:ind w:left="3960" w:hanging="180"/>
      </w:pPr>
    </w:lvl>
    <w:lvl w:ilvl="6" w:tplc="988820CE" w:tentative="1">
      <w:start w:val="1"/>
      <w:numFmt w:val="decimal"/>
      <w:lvlText w:val="%7."/>
      <w:lvlJc w:val="left"/>
      <w:pPr>
        <w:tabs>
          <w:tab w:val="num" w:pos="4680"/>
        </w:tabs>
        <w:ind w:left="4680" w:hanging="360"/>
      </w:pPr>
    </w:lvl>
    <w:lvl w:ilvl="7" w:tplc="E3945618" w:tentative="1">
      <w:start w:val="1"/>
      <w:numFmt w:val="lowerLetter"/>
      <w:lvlText w:val="%8."/>
      <w:lvlJc w:val="left"/>
      <w:pPr>
        <w:tabs>
          <w:tab w:val="num" w:pos="5400"/>
        </w:tabs>
        <w:ind w:left="5400" w:hanging="360"/>
      </w:pPr>
    </w:lvl>
    <w:lvl w:ilvl="8" w:tplc="5B5A1F92" w:tentative="1">
      <w:start w:val="1"/>
      <w:numFmt w:val="lowerRoman"/>
      <w:lvlText w:val="%9."/>
      <w:lvlJc w:val="right"/>
      <w:pPr>
        <w:tabs>
          <w:tab w:val="num" w:pos="6120"/>
        </w:tabs>
        <w:ind w:left="6120" w:hanging="180"/>
      </w:pPr>
    </w:lvl>
  </w:abstractNum>
  <w:abstractNum w:abstractNumId="16">
    <w:nsid w:val="75A57E84"/>
    <w:multiLevelType w:val="multilevel"/>
    <w:tmpl w:val="E5F0B9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7BF3E60"/>
    <w:multiLevelType w:val="singleLevel"/>
    <w:tmpl w:val="FACE4A8A"/>
    <w:lvl w:ilvl="0">
      <w:start w:val="1"/>
      <w:numFmt w:val="decimal"/>
      <w:lvlText w:val="%1."/>
      <w:legacy w:legacy="1" w:legacySpace="0" w:legacyIndent="360"/>
      <w:lvlJc w:val="left"/>
      <w:pPr>
        <w:ind w:left="360" w:hanging="360"/>
      </w:pPr>
    </w:lvl>
  </w:abstractNum>
  <w:abstractNum w:abstractNumId="18">
    <w:nsid w:val="7FAF2A25"/>
    <w:multiLevelType w:val="hybridMultilevel"/>
    <w:tmpl w:val="17D6D61E"/>
    <w:lvl w:ilvl="0" w:tplc="5BB226BE">
      <w:start w:val="1"/>
      <w:numFmt w:val="bullet"/>
      <w:lvlText w:val=""/>
      <w:lvlJc w:val="left"/>
      <w:pPr>
        <w:tabs>
          <w:tab w:val="num" w:pos="720"/>
        </w:tabs>
        <w:ind w:left="720" w:hanging="360"/>
      </w:pPr>
      <w:rPr>
        <w:rFonts w:ascii="Symbol" w:hAnsi="Symbol" w:hint="default"/>
      </w:rPr>
    </w:lvl>
    <w:lvl w:ilvl="1" w:tplc="B46C178E" w:tentative="1">
      <w:start w:val="1"/>
      <w:numFmt w:val="bullet"/>
      <w:lvlText w:val="o"/>
      <w:lvlJc w:val="left"/>
      <w:pPr>
        <w:tabs>
          <w:tab w:val="num" w:pos="1440"/>
        </w:tabs>
        <w:ind w:left="1440" w:hanging="360"/>
      </w:pPr>
      <w:rPr>
        <w:rFonts w:ascii="Courier New" w:hAnsi="Courier New" w:cs="Courier New" w:hint="default"/>
      </w:rPr>
    </w:lvl>
    <w:lvl w:ilvl="2" w:tplc="260CFD24" w:tentative="1">
      <w:start w:val="1"/>
      <w:numFmt w:val="bullet"/>
      <w:lvlText w:val=""/>
      <w:lvlJc w:val="left"/>
      <w:pPr>
        <w:tabs>
          <w:tab w:val="num" w:pos="2160"/>
        </w:tabs>
        <w:ind w:left="2160" w:hanging="360"/>
      </w:pPr>
      <w:rPr>
        <w:rFonts w:ascii="Wingdings" w:hAnsi="Wingdings" w:hint="default"/>
      </w:rPr>
    </w:lvl>
    <w:lvl w:ilvl="3" w:tplc="E81058CE" w:tentative="1">
      <w:start w:val="1"/>
      <w:numFmt w:val="bullet"/>
      <w:lvlText w:val=""/>
      <w:lvlJc w:val="left"/>
      <w:pPr>
        <w:tabs>
          <w:tab w:val="num" w:pos="2880"/>
        </w:tabs>
        <w:ind w:left="2880" w:hanging="360"/>
      </w:pPr>
      <w:rPr>
        <w:rFonts w:ascii="Symbol" w:hAnsi="Symbol" w:hint="default"/>
      </w:rPr>
    </w:lvl>
    <w:lvl w:ilvl="4" w:tplc="2A5C5D16" w:tentative="1">
      <w:start w:val="1"/>
      <w:numFmt w:val="bullet"/>
      <w:lvlText w:val="o"/>
      <w:lvlJc w:val="left"/>
      <w:pPr>
        <w:tabs>
          <w:tab w:val="num" w:pos="3600"/>
        </w:tabs>
        <w:ind w:left="3600" w:hanging="360"/>
      </w:pPr>
      <w:rPr>
        <w:rFonts w:ascii="Courier New" w:hAnsi="Courier New" w:cs="Courier New" w:hint="default"/>
      </w:rPr>
    </w:lvl>
    <w:lvl w:ilvl="5" w:tplc="A2E24A60" w:tentative="1">
      <w:start w:val="1"/>
      <w:numFmt w:val="bullet"/>
      <w:lvlText w:val=""/>
      <w:lvlJc w:val="left"/>
      <w:pPr>
        <w:tabs>
          <w:tab w:val="num" w:pos="4320"/>
        </w:tabs>
        <w:ind w:left="4320" w:hanging="360"/>
      </w:pPr>
      <w:rPr>
        <w:rFonts w:ascii="Wingdings" w:hAnsi="Wingdings" w:hint="default"/>
      </w:rPr>
    </w:lvl>
    <w:lvl w:ilvl="6" w:tplc="A3A20302" w:tentative="1">
      <w:start w:val="1"/>
      <w:numFmt w:val="bullet"/>
      <w:lvlText w:val=""/>
      <w:lvlJc w:val="left"/>
      <w:pPr>
        <w:tabs>
          <w:tab w:val="num" w:pos="5040"/>
        </w:tabs>
        <w:ind w:left="5040" w:hanging="360"/>
      </w:pPr>
      <w:rPr>
        <w:rFonts w:ascii="Symbol" w:hAnsi="Symbol" w:hint="default"/>
      </w:rPr>
    </w:lvl>
    <w:lvl w:ilvl="7" w:tplc="C08E78C2" w:tentative="1">
      <w:start w:val="1"/>
      <w:numFmt w:val="bullet"/>
      <w:lvlText w:val="o"/>
      <w:lvlJc w:val="left"/>
      <w:pPr>
        <w:tabs>
          <w:tab w:val="num" w:pos="5760"/>
        </w:tabs>
        <w:ind w:left="5760" w:hanging="360"/>
      </w:pPr>
      <w:rPr>
        <w:rFonts w:ascii="Courier New" w:hAnsi="Courier New" w:cs="Courier New" w:hint="default"/>
      </w:rPr>
    </w:lvl>
    <w:lvl w:ilvl="8" w:tplc="2F3A34B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0"/>
  </w:num>
  <w:num w:numId="4">
    <w:abstractNumId w:val="14"/>
  </w:num>
  <w:num w:numId="5">
    <w:abstractNumId w:val="6"/>
  </w:num>
  <w:num w:numId="6">
    <w:abstractNumId w:val="10"/>
  </w:num>
  <w:num w:numId="7">
    <w:abstractNumId w:val="4"/>
  </w:num>
  <w:num w:numId="8">
    <w:abstractNumId w:val="11"/>
  </w:num>
  <w:num w:numId="9">
    <w:abstractNumId w:val="16"/>
  </w:num>
  <w:num w:numId="10">
    <w:abstractNumId w:val="1"/>
  </w:num>
  <w:num w:numId="11">
    <w:abstractNumId w:val="9"/>
  </w:num>
  <w:num w:numId="12">
    <w:abstractNumId w:val="18"/>
  </w:num>
  <w:num w:numId="13">
    <w:abstractNumId w:val="7"/>
  </w:num>
  <w:num w:numId="14">
    <w:abstractNumId w:val="15"/>
  </w:num>
  <w:num w:numId="15">
    <w:abstractNumId w:val="3"/>
  </w:num>
  <w:num w:numId="16">
    <w:abstractNumId w:val="2"/>
  </w:num>
  <w:num w:numId="17">
    <w:abstractNumId w:val="1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F5"/>
    <w:rsid w:val="000105FF"/>
    <w:rsid w:val="00013A5A"/>
    <w:rsid w:val="0003029F"/>
    <w:rsid w:val="00041079"/>
    <w:rsid w:val="0004426A"/>
    <w:rsid w:val="0005513A"/>
    <w:rsid w:val="0005662B"/>
    <w:rsid w:val="00060D1F"/>
    <w:rsid w:val="00077FBF"/>
    <w:rsid w:val="00082D1A"/>
    <w:rsid w:val="00083697"/>
    <w:rsid w:val="0009587A"/>
    <w:rsid w:val="000A02F0"/>
    <w:rsid w:val="000A1E1D"/>
    <w:rsid w:val="000C39C0"/>
    <w:rsid w:val="000E14B5"/>
    <w:rsid w:val="000F0268"/>
    <w:rsid w:val="00147926"/>
    <w:rsid w:val="001573A0"/>
    <w:rsid w:val="00163F21"/>
    <w:rsid w:val="001737EE"/>
    <w:rsid w:val="0017533A"/>
    <w:rsid w:val="001840FF"/>
    <w:rsid w:val="001A723B"/>
    <w:rsid w:val="001C568A"/>
    <w:rsid w:val="001C7CF5"/>
    <w:rsid w:val="001F25A1"/>
    <w:rsid w:val="002005A9"/>
    <w:rsid w:val="002013FD"/>
    <w:rsid w:val="002044F3"/>
    <w:rsid w:val="002050C3"/>
    <w:rsid w:val="00215FD2"/>
    <w:rsid w:val="00237136"/>
    <w:rsid w:val="00247CE3"/>
    <w:rsid w:val="00265613"/>
    <w:rsid w:val="002831F5"/>
    <w:rsid w:val="002A0B63"/>
    <w:rsid w:val="002A5BDB"/>
    <w:rsid w:val="002C2A0C"/>
    <w:rsid w:val="002C3F08"/>
    <w:rsid w:val="00304529"/>
    <w:rsid w:val="0031658A"/>
    <w:rsid w:val="003219FC"/>
    <w:rsid w:val="00324837"/>
    <w:rsid w:val="003351C0"/>
    <w:rsid w:val="0034562B"/>
    <w:rsid w:val="00366F44"/>
    <w:rsid w:val="00377C82"/>
    <w:rsid w:val="00383126"/>
    <w:rsid w:val="00383566"/>
    <w:rsid w:val="003C13A6"/>
    <w:rsid w:val="003C71FC"/>
    <w:rsid w:val="003E313E"/>
    <w:rsid w:val="003F0BB9"/>
    <w:rsid w:val="003F3249"/>
    <w:rsid w:val="004011ED"/>
    <w:rsid w:val="00402598"/>
    <w:rsid w:val="0041334A"/>
    <w:rsid w:val="0042041E"/>
    <w:rsid w:val="00432FC3"/>
    <w:rsid w:val="004409C1"/>
    <w:rsid w:val="004409D7"/>
    <w:rsid w:val="00456C60"/>
    <w:rsid w:val="004A0A3A"/>
    <w:rsid w:val="004A4FA1"/>
    <w:rsid w:val="004B0E51"/>
    <w:rsid w:val="004B7584"/>
    <w:rsid w:val="004C2E87"/>
    <w:rsid w:val="004E62D2"/>
    <w:rsid w:val="004F3630"/>
    <w:rsid w:val="00555B71"/>
    <w:rsid w:val="005571AA"/>
    <w:rsid w:val="0056527C"/>
    <w:rsid w:val="005976A6"/>
    <w:rsid w:val="005C5ABF"/>
    <w:rsid w:val="005D0BA4"/>
    <w:rsid w:val="005D1AB9"/>
    <w:rsid w:val="005E4D33"/>
    <w:rsid w:val="005E662B"/>
    <w:rsid w:val="005F0375"/>
    <w:rsid w:val="006108E1"/>
    <w:rsid w:val="006225E9"/>
    <w:rsid w:val="00626696"/>
    <w:rsid w:val="0063243F"/>
    <w:rsid w:val="00637961"/>
    <w:rsid w:val="00640D7B"/>
    <w:rsid w:val="00654AE3"/>
    <w:rsid w:val="006576D6"/>
    <w:rsid w:val="00662CE2"/>
    <w:rsid w:val="006972D6"/>
    <w:rsid w:val="006B50A6"/>
    <w:rsid w:val="006D0E18"/>
    <w:rsid w:val="006D1311"/>
    <w:rsid w:val="006E45F7"/>
    <w:rsid w:val="006F4F0B"/>
    <w:rsid w:val="007019C0"/>
    <w:rsid w:val="00701C6A"/>
    <w:rsid w:val="0073272F"/>
    <w:rsid w:val="00732F6C"/>
    <w:rsid w:val="00733205"/>
    <w:rsid w:val="00743FE1"/>
    <w:rsid w:val="007563DE"/>
    <w:rsid w:val="00756BB1"/>
    <w:rsid w:val="00766E26"/>
    <w:rsid w:val="00773617"/>
    <w:rsid w:val="007778AB"/>
    <w:rsid w:val="007D47DD"/>
    <w:rsid w:val="007E4399"/>
    <w:rsid w:val="007F2019"/>
    <w:rsid w:val="00813CC2"/>
    <w:rsid w:val="00814A77"/>
    <w:rsid w:val="0081679C"/>
    <w:rsid w:val="008205A7"/>
    <w:rsid w:val="00836801"/>
    <w:rsid w:val="0084102C"/>
    <w:rsid w:val="0085426F"/>
    <w:rsid w:val="00871BAE"/>
    <w:rsid w:val="008776F4"/>
    <w:rsid w:val="008867D0"/>
    <w:rsid w:val="00892941"/>
    <w:rsid w:val="008A4F5E"/>
    <w:rsid w:val="008B59A5"/>
    <w:rsid w:val="008C6D74"/>
    <w:rsid w:val="008C7988"/>
    <w:rsid w:val="008F7BA9"/>
    <w:rsid w:val="00913895"/>
    <w:rsid w:val="00916839"/>
    <w:rsid w:val="0092746B"/>
    <w:rsid w:val="00927E1C"/>
    <w:rsid w:val="009327B2"/>
    <w:rsid w:val="00966F5E"/>
    <w:rsid w:val="00976F90"/>
    <w:rsid w:val="009A76EA"/>
    <w:rsid w:val="009F1F69"/>
    <w:rsid w:val="009F3168"/>
    <w:rsid w:val="00A069E9"/>
    <w:rsid w:val="00A07936"/>
    <w:rsid w:val="00A25B20"/>
    <w:rsid w:val="00A27C00"/>
    <w:rsid w:val="00A439B9"/>
    <w:rsid w:val="00A51E5C"/>
    <w:rsid w:val="00A56D5A"/>
    <w:rsid w:val="00A6076F"/>
    <w:rsid w:val="00A63B6B"/>
    <w:rsid w:val="00A744FA"/>
    <w:rsid w:val="00A80959"/>
    <w:rsid w:val="00A90CC4"/>
    <w:rsid w:val="00A9423D"/>
    <w:rsid w:val="00AA6159"/>
    <w:rsid w:val="00AB46D3"/>
    <w:rsid w:val="00AB52D5"/>
    <w:rsid w:val="00AB5876"/>
    <w:rsid w:val="00AD505A"/>
    <w:rsid w:val="00AD7357"/>
    <w:rsid w:val="00AE6A77"/>
    <w:rsid w:val="00AF0C72"/>
    <w:rsid w:val="00AF6877"/>
    <w:rsid w:val="00AF7203"/>
    <w:rsid w:val="00B1043B"/>
    <w:rsid w:val="00B35280"/>
    <w:rsid w:val="00B35C85"/>
    <w:rsid w:val="00B80E45"/>
    <w:rsid w:val="00B87705"/>
    <w:rsid w:val="00B95EAA"/>
    <w:rsid w:val="00B976B5"/>
    <w:rsid w:val="00BA02AD"/>
    <w:rsid w:val="00BA49E0"/>
    <w:rsid w:val="00BB17AD"/>
    <w:rsid w:val="00BB3AAC"/>
    <w:rsid w:val="00BB5225"/>
    <w:rsid w:val="00BC49BF"/>
    <w:rsid w:val="00BC5131"/>
    <w:rsid w:val="00BC763E"/>
    <w:rsid w:val="00C14BD3"/>
    <w:rsid w:val="00C21DC2"/>
    <w:rsid w:val="00C239EF"/>
    <w:rsid w:val="00C269CC"/>
    <w:rsid w:val="00C31BF0"/>
    <w:rsid w:val="00C3459C"/>
    <w:rsid w:val="00C42A12"/>
    <w:rsid w:val="00C447F1"/>
    <w:rsid w:val="00C451BC"/>
    <w:rsid w:val="00C45E86"/>
    <w:rsid w:val="00C50220"/>
    <w:rsid w:val="00C72C41"/>
    <w:rsid w:val="00C918A7"/>
    <w:rsid w:val="00CA3ECA"/>
    <w:rsid w:val="00CB6ED7"/>
    <w:rsid w:val="00CD4BFF"/>
    <w:rsid w:val="00CF7BC1"/>
    <w:rsid w:val="00D32BD6"/>
    <w:rsid w:val="00D406E1"/>
    <w:rsid w:val="00D41395"/>
    <w:rsid w:val="00D44A18"/>
    <w:rsid w:val="00D51CA3"/>
    <w:rsid w:val="00D5356C"/>
    <w:rsid w:val="00D67683"/>
    <w:rsid w:val="00D83906"/>
    <w:rsid w:val="00D91881"/>
    <w:rsid w:val="00DC7B49"/>
    <w:rsid w:val="00DE21DF"/>
    <w:rsid w:val="00DF352C"/>
    <w:rsid w:val="00E04610"/>
    <w:rsid w:val="00E06B0D"/>
    <w:rsid w:val="00E13BFA"/>
    <w:rsid w:val="00E16DB4"/>
    <w:rsid w:val="00E205DF"/>
    <w:rsid w:val="00E528D5"/>
    <w:rsid w:val="00E71099"/>
    <w:rsid w:val="00E84C4D"/>
    <w:rsid w:val="00EA40DB"/>
    <w:rsid w:val="00EC49F6"/>
    <w:rsid w:val="00ED7B69"/>
    <w:rsid w:val="00EE275D"/>
    <w:rsid w:val="00EE278B"/>
    <w:rsid w:val="00F01234"/>
    <w:rsid w:val="00F06940"/>
    <w:rsid w:val="00F223AE"/>
    <w:rsid w:val="00F225A6"/>
    <w:rsid w:val="00F34672"/>
    <w:rsid w:val="00F87826"/>
    <w:rsid w:val="00F90BAA"/>
    <w:rsid w:val="00FA2F04"/>
    <w:rsid w:val="00FA7C57"/>
    <w:rsid w:val="00FD4519"/>
    <w:rsid w:val="00FF1179"/>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2AD"/>
  </w:style>
  <w:style w:type="paragraph" w:styleId="Heading1">
    <w:name w:val="heading 1"/>
    <w:basedOn w:val="Normal"/>
    <w:next w:val="Normal"/>
    <w:qFormat/>
    <w:rsid w:val="00BA02AD"/>
    <w:pPr>
      <w:keepNext/>
      <w:outlineLvl w:val="0"/>
    </w:pPr>
    <w:rPr>
      <w:rFonts w:ascii="Arial" w:hAnsi="Arial"/>
      <w:b/>
    </w:rPr>
  </w:style>
  <w:style w:type="paragraph" w:styleId="Heading3">
    <w:name w:val="heading 3"/>
    <w:basedOn w:val="Normal"/>
    <w:next w:val="Normal"/>
    <w:qFormat/>
    <w:rsid w:val="00BA02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02AD"/>
    <w:pPr>
      <w:ind w:left="360" w:hanging="360"/>
    </w:pPr>
    <w:rPr>
      <w:rFonts w:ascii="Arial" w:hAnsi="Arial"/>
    </w:rPr>
  </w:style>
  <w:style w:type="paragraph" w:styleId="FootnoteText">
    <w:name w:val="footnote text"/>
    <w:basedOn w:val="Normal"/>
    <w:semiHidden/>
    <w:rsid w:val="00BA02AD"/>
  </w:style>
  <w:style w:type="character" w:styleId="FootnoteReference">
    <w:name w:val="footnote reference"/>
    <w:basedOn w:val="DefaultParagraphFont"/>
    <w:semiHidden/>
    <w:rsid w:val="00BA02AD"/>
    <w:rPr>
      <w:vertAlign w:val="superscript"/>
    </w:rPr>
  </w:style>
  <w:style w:type="paragraph" w:styleId="PlainText">
    <w:name w:val="Plain Text"/>
    <w:basedOn w:val="Normal"/>
    <w:rsid w:val="00BA02AD"/>
    <w:rPr>
      <w:rFonts w:ascii="Courier New" w:hAnsi="Courier New"/>
    </w:rPr>
  </w:style>
  <w:style w:type="paragraph" w:styleId="BodyText">
    <w:name w:val="Body Text"/>
    <w:basedOn w:val="Normal"/>
    <w:rsid w:val="00BA02AD"/>
    <w:rPr>
      <w:rFonts w:ascii="Arial" w:hAnsi="Arial"/>
      <w:color w:val="FF0000"/>
    </w:rPr>
  </w:style>
  <w:style w:type="paragraph" w:styleId="Title">
    <w:name w:val="Title"/>
    <w:basedOn w:val="Normal"/>
    <w:qFormat/>
    <w:rsid w:val="00BA02AD"/>
    <w:pPr>
      <w:jc w:val="center"/>
    </w:pPr>
    <w:rPr>
      <w:rFonts w:ascii="Arial" w:hAnsi="Arial"/>
      <w:b/>
      <w:sz w:val="28"/>
    </w:rPr>
  </w:style>
  <w:style w:type="paragraph" w:styleId="BodyText3">
    <w:name w:val="Body Text 3"/>
    <w:basedOn w:val="Normal"/>
    <w:rsid w:val="00BA02AD"/>
    <w:rPr>
      <w:rFonts w:ascii="Courier New" w:hAnsi="Courier New"/>
      <w:snapToGrid w:val="0"/>
      <w:sz w:val="16"/>
    </w:rPr>
  </w:style>
  <w:style w:type="paragraph" w:styleId="Footer">
    <w:name w:val="footer"/>
    <w:basedOn w:val="Normal"/>
    <w:rsid w:val="00BA02AD"/>
    <w:pPr>
      <w:tabs>
        <w:tab w:val="center" w:pos="4320"/>
        <w:tab w:val="right" w:pos="8640"/>
      </w:tabs>
    </w:pPr>
  </w:style>
  <w:style w:type="character" w:styleId="PageNumber">
    <w:name w:val="page number"/>
    <w:basedOn w:val="DefaultParagraphFont"/>
    <w:rsid w:val="00BA02AD"/>
  </w:style>
  <w:style w:type="paragraph" w:styleId="Header">
    <w:name w:val="header"/>
    <w:basedOn w:val="Normal"/>
    <w:rsid w:val="00BA02AD"/>
    <w:pPr>
      <w:tabs>
        <w:tab w:val="center" w:pos="4320"/>
        <w:tab w:val="right" w:pos="8640"/>
      </w:tabs>
    </w:pPr>
  </w:style>
  <w:style w:type="paragraph" w:styleId="BodyTextIndent">
    <w:name w:val="Body Text Indent"/>
    <w:basedOn w:val="Normal"/>
    <w:rsid w:val="00BA02AD"/>
    <w:pPr>
      <w:ind w:left="720" w:hanging="720"/>
    </w:pPr>
    <w:rPr>
      <w:rFonts w:ascii="Arial" w:hAnsi="Arial"/>
    </w:rPr>
  </w:style>
  <w:style w:type="paragraph" w:styleId="BodyTextIndent2">
    <w:name w:val="Body Text Indent 2"/>
    <w:basedOn w:val="Normal"/>
    <w:rsid w:val="00BA02AD"/>
    <w:pPr>
      <w:ind w:left="360" w:hanging="360"/>
    </w:pPr>
    <w:rPr>
      <w:rFonts w:ascii="Arial" w:hAnsi="Arial"/>
    </w:rPr>
  </w:style>
  <w:style w:type="paragraph" w:styleId="HTMLPreformatted">
    <w:name w:val="HTML Preformatted"/>
    <w:basedOn w:val="Normal"/>
    <w:rsid w:val="00BA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BalloonText">
    <w:name w:val="Balloon Text"/>
    <w:basedOn w:val="Normal"/>
    <w:semiHidden/>
    <w:rsid w:val="001C7CF5"/>
    <w:rPr>
      <w:rFonts w:ascii="Tahoma" w:hAnsi="Tahoma" w:cs="Tahoma"/>
      <w:sz w:val="16"/>
      <w:szCs w:val="16"/>
    </w:rPr>
  </w:style>
  <w:style w:type="paragraph" w:customStyle="1" w:styleId="InsideAddress">
    <w:name w:val="Inside Address"/>
    <w:basedOn w:val="Normal"/>
    <w:rsid w:val="00814A77"/>
    <w:pPr>
      <w:spacing w:line="220" w:lineRule="atLeast"/>
      <w:jc w:val="both"/>
    </w:pPr>
    <w:rPr>
      <w:rFonts w:ascii="Arial" w:hAnsi="Arial"/>
      <w:spacing w:val="-5"/>
    </w:rPr>
  </w:style>
  <w:style w:type="character" w:styleId="Hyperlink">
    <w:name w:val="Hyperlink"/>
    <w:basedOn w:val="DefaultParagraphFont"/>
    <w:rsid w:val="00A27C00"/>
    <w:rPr>
      <w:color w:val="0000FF"/>
      <w:u w:val="single"/>
    </w:rPr>
  </w:style>
  <w:style w:type="table" w:styleId="TableGrid">
    <w:name w:val="Table Grid"/>
    <w:basedOn w:val="TableNormal"/>
    <w:rsid w:val="00440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47926"/>
    <w:rPr>
      <w:sz w:val="16"/>
      <w:szCs w:val="16"/>
    </w:rPr>
  </w:style>
  <w:style w:type="paragraph" w:styleId="CommentText">
    <w:name w:val="annotation text"/>
    <w:basedOn w:val="Normal"/>
    <w:semiHidden/>
    <w:rsid w:val="00147926"/>
  </w:style>
  <w:style w:type="paragraph" w:styleId="CommentSubject">
    <w:name w:val="annotation subject"/>
    <w:basedOn w:val="CommentText"/>
    <w:next w:val="CommentText"/>
    <w:semiHidden/>
    <w:rsid w:val="00147926"/>
    <w:rPr>
      <w:b/>
      <w:bCs/>
    </w:rPr>
  </w:style>
  <w:style w:type="character" w:styleId="FollowedHyperlink">
    <w:name w:val="FollowedHyperlink"/>
    <w:basedOn w:val="DefaultParagraphFont"/>
    <w:rsid w:val="00215FD2"/>
    <w:rPr>
      <w:color w:val="800080"/>
      <w:u w:val="single"/>
    </w:rPr>
  </w:style>
  <w:style w:type="paragraph" w:styleId="ListParagraph">
    <w:name w:val="List Paragraph"/>
    <w:basedOn w:val="Normal"/>
    <w:uiPriority w:val="34"/>
    <w:qFormat/>
    <w:rsid w:val="003C1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2AD"/>
  </w:style>
  <w:style w:type="paragraph" w:styleId="Heading1">
    <w:name w:val="heading 1"/>
    <w:basedOn w:val="Normal"/>
    <w:next w:val="Normal"/>
    <w:qFormat/>
    <w:rsid w:val="00BA02AD"/>
    <w:pPr>
      <w:keepNext/>
      <w:outlineLvl w:val="0"/>
    </w:pPr>
    <w:rPr>
      <w:rFonts w:ascii="Arial" w:hAnsi="Arial"/>
      <w:b/>
    </w:rPr>
  </w:style>
  <w:style w:type="paragraph" w:styleId="Heading3">
    <w:name w:val="heading 3"/>
    <w:basedOn w:val="Normal"/>
    <w:next w:val="Normal"/>
    <w:qFormat/>
    <w:rsid w:val="00BA02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02AD"/>
    <w:pPr>
      <w:ind w:left="360" w:hanging="360"/>
    </w:pPr>
    <w:rPr>
      <w:rFonts w:ascii="Arial" w:hAnsi="Arial"/>
    </w:rPr>
  </w:style>
  <w:style w:type="paragraph" w:styleId="FootnoteText">
    <w:name w:val="footnote text"/>
    <w:basedOn w:val="Normal"/>
    <w:semiHidden/>
    <w:rsid w:val="00BA02AD"/>
  </w:style>
  <w:style w:type="character" w:styleId="FootnoteReference">
    <w:name w:val="footnote reference"/>
    <w:basedOn w:val="DefaultParagraphFont"/>
    <w:semiHidden/>
    <w:rsid w:val="00BA02AD"/>
    <w:rPr>
      <w:vertAlign w:val="superscript"/>
    </w:rPr>
  </w:style>
  <w:style w:type="paragraph" w:styleId="PlainText">
    <w:name w:val="Plain Text"/>
    <w:basedOn w:val="Normal"/>
    <w:rsid w:val="00BA02AD"/>
    <w:rPr>
      <w:rFonts w:ascii="Courier New" w:hAnsi="Courier New"/>
    </w:rPr>
  </w:style>
  <w:style w:type="paragraph" w:styleId="BodyText">
    <w:name w:val="Body Text"/>
    <w:basedOn w:val="Normal"/>
    <w:rsid w:val="00BA02AD"/>
    <w:rPr>
      <w:rFonts w:ascii="Arial" w:hAnsi="Arial"/>
      <w:color w:val="FF0000"/>
    </w:rPr>
  </w:style>
  <w:style w:type="paragraph" w:styleId="Title">
    <w:name w:val="Title"/>
    <w:basedOn w:val="Normal"/>
    <w:qFormat/>
    <w:rsid w:val="00BA02AD"/>
    <w:pPr>
      <w:jc w:val="center"/>
    </w:pPr>
    <w:rPr>
      <w:rFonts w:ascii="Arial" w:hAnsi="Arial"/>
      <w:b/>
      <w:sz w:val="28"/>
    </w:rPr>
  </w:style>
  <w:style w:type="paragraph" w:styleId="BodyText3">
    <w:name w:val="Body Text 3"/>
    <w:basedOn w:val="Normal"/>
    <w:rsid w:val="00BA02AD"/>
    <w:rPr>
      <w:rFonts w:ascii="Courier New" w:hAnsi="Courier New"/>
      <w:snapToGrid w:val="0"/>
      <w:sz w:val="16"/>
    </w:rPr>
  </w:style>
  <w:style w:type="paragraph" w:styleId="Footer">
    <w:name w:val="footer"/>
    <w:basedOn w:val="Normal"/>
    <w:rsid w:val="00BA02AD"/>
    <w:pPr>
      <w:tabs>
        <w:tab w:val="center" w:pos="4320"/>
        <w:tab w:val="right" w:pos="8640"/>
      </w:tabs>
    </w:pPr>
  </w:style>
  <w:style w:type="character" w:styleId="PageNumber">
    <w:name w:val="page number"/>
    <w:basedOn w:val="DefaultParagraphFont"/>
    <w:rsid w:val="00BA02AD"/>
  </w:style>
  <w:style w:type="paragraph" w:styleId="Header">
    <w:name w:val="header"/>
    <w:basedOn w:val="Normal"/>
    <w:rsid w:val="00BA02AD"/>
    <w:pPr>
      <w:tabs>
        <w:tab w:val="center" w:pos="4320"/>
        <w:tab w:val="right" w:pos="8640"/>
      </w:tabs>
    </w:pPr>
  </w:style>
  <w:style w:type="paragraph" w:styleId="BodyTextIndent">
    <w:name w:val="Body Text Indent"/>
    <w:basedOn w:val="Normal"/>
    <w:rsid w:val="00BA02AD"/>
    <w:pPr>
      <w:ind w:left="720" w:hanging="720"/>
    </w:pPr>
    <w:rPr>
      <w:rFonts w:ascii="Arial" w:hAnsi="Arial"/>
    </w:rPr>
  </w:style>
  <w:style w:type="paragraph" w:styleId="BodyTextIndent2">
    <w:name w:val="Body Text Indent 2"/>
    <w:basedOn w:val="Normal"/>
    <w:rsid w:val="00BA02AD"/>
    <w:pPr>
      <w:ind w:left="360" w:hanging="360"/>
    </w:pPr>
    <w:rPr>
      <w:rFonts w:ascii="Arial" w:hAnsi="Arial"/>
    </w:rPr>
  </w:style>
  <w:style w:type="paragraph" w:styleId="HTMLPreformatted">
    <w:name w:val="HTML Preformatted"/>
    <w:basedOn w:val="Normal"/>
    <w:rsid w:val="00BA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BalloonText">
    <w:name w:val="Balloon Text"/>
    <w:basedOn w:val="Normal"/>
    <w:semiHidden/>
    <w:rsid w:val="001C7CF5"/>
    <w:rPr>
      <w:rFonts w:ascii="Tahoma" w:hAnsi="Tahoma" w:cs="Tahoma"/>
      <w:sz w:val="16"/>
      <w:szCs w:val="16"/>
    </w:rPr>
  </w:style>
  <w:style w:type="paragraph" w:customStyle="1" w:styleId="InsideAddress">
    <w:name w:val="Inside Address"/>
    <w:basedOn w:val="Normal"/>
    <w:rsid w:val="00814A77"/>
    <w:pPr>
      <w:spacing w:line="220" w:lineRule="atLeast"/>
      <w:jc w:val="both"/>
    </w:pPr>
    <w:rPr>
      <w:rFonts w:ascii="Arial" w:hAnsi="Arial"/>
      <w:spacing w:val="-5"/>
    </w:rPr>
  </w:style>
  <w:style w:type="character" w:styleId="Hyperlink">
    <w:name w:val="Hyperlink"/>
    <w:basedOn w:val="DefaultParagraphFont"/>
    <w:rsid w:val="00A27C00"/>
    <w:rPr>
      <w:color w:val="0000FF"/>
      <w:u w:val="single"/>
    </w:rPr>
  </w:style>
  <w:style w:type="table" w:styleId="TableGrid">
    <w:name w:val="Table Grid"/>
    <w:basedOn w:val="TableNormal"/>
    <w:rsid w:val="00440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47926"/>
    <w:rPr>
      <w:sz w:val="16"/>
      <w:szCs w:val="16"/>
    </w:rPr>
  </w:style>
  <w:style w:type="paragraph" w:styleId="CommentText">
    <w:name w:val="annotation text"/>
    <w:basedOn w:val="Normal"/>
    <w:semiHidden/>
    <w:rsid w:val="00147926"/>
  </w:style>
  <w:style w:type="paragraph" w:styleId="CommentSubject">
    <w:name w:val="annotation subject"/>
    <w:basedOn w:val="CommentText"/>
    <w:next w:val="CommentText"/>
    <w:semiHidden/>
    <w:rsid w:val="00147926"/>
    <w:rPr>
      <w:b/>
      <w:bCs/>
    </w:rPr>
  </w:style>
  <w:style w:type="character" w:styleId="FollowedHyperlink">
    <w:name w:val="FollowedHyperlink"/>
    <w:basedOn w:val="DefaultParagraphFont"/>
    <w:rsid w:val="00215FD2"/>
    <w:rPr>
      <w:color w:val="800080"/>
      <w:u w:val="single"/>
    </w:rPr>
  </w:style>
  <w:style w:type="paragraph" w:styleId="ListParagraph">
    <w:name w:val="List Paragraph"/>
    <w:basedOn w:val="Normal"/>
    <w:uiPriority w:val="34"/>
    <w:qFormat/>
    <w:rsid w:val="003C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tioasis.com/BHC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Local Transmission Plan Study Scope</vt:lpstr>
    </vt:vector>
  </TitlesOfParts>
  <Company>b6300</Company>
  <LinksUpToDate>false</LinksUpToDate>
  <CharactersWithSpaces>4982</CharactersWithSpaces>
  <SharedDoc>false</SharedDoc>
  <HLinks>
    <vt:vector size="6" baseType="variant">
      <vt:variant>
        <vt:i4>5242966</vt:i4>
      </vt:variant>
      <vt:variant>
        <vt:i4>0</vt:i4>
      </vt:variant>
      <vt:variant>
        <vt:i4>0</vt:i4>
      </vt:variant>
      <vt:variant>
        <vt:i4>5</vt:i4>
      </vt:variant>
      <vt:variant>
        <vt:lpwstr>http://www.oatioasis.com/BHCT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Transmission Plan Study Scope</dc:title>
  <dc:creator>SoftWindows</dc:creator>
  <cp:lastModifiedBy>Wingen, Wes</cp:lastModifiedBy>
  <cp:revision>7</cp:revision>
  <cp:lastPrinted>2011-03-03T22:14:00Z</cp:lastPrinted>
  <dcterms:created xsi:type="dcterms:W3CDTF">2012-05-31T21:53:00Z</dcterms:created>
  <dcterms:modified xsi:type="dcterms:W3CDTF">2012-06-01T17:50:00Z</dcterms:modified>
</cp:coreProperties>
</file>