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1ED" w:rsidRDefault="00013A5A">
      <w:pPr>
        <w:pStyle w:val="Title"/>
        <w:rPr>
          <w:rFonts w:ascii="Times New Roman" w:hAnsi="Times New Roman"/>
          <w:sz w:val="36"/>
          <w:szCs w:val="36"/>
        </w:rPr>
      </w:pPr>
      <w:r>
        <w:rPr>
          <w:rFonts w:ascii="Times New Roman" w:hAnsi="Times New Roman"/>
          <w:sz w:val="36"/>
          <w:szCs w:val="36"/>
        </w:rPr>
        <w:t>B</w:t>
      </w:r>
      <w:r w:rsidR="00AF7203">
        <w:rPr>
          <w:rFonts w:ascii="Times New Roman" w:hAnsi="Times New Roman"/>
          <w:sz w:val="36"/>
          <w:szCs w:val="36"/>
        </w:rPr>
        <w:t>lack Hills</w:t>
      </w:r>
      <w:r w:rsidR="001D4F98">
        <w:rPr>
          <w:rFonts w:ascii="Times New Roman" w:hAnsi="Times New Roman"/>
          <w:sz w:val="36"/>
          <w:szCs w:val="36"/>
        </w:rPr>
        <w:t xml:space="preserve"> /</w:t>
      </w:r>
      <w:r w:rsidR="00AF7203">
        <w:rPr>
          <w:rFonts w:ascii="Times New Roman" w:hAnsi="Times New Roman"/>
          <w:sz w:val="36"/>
          <w:szCs w:val="36"/>
        </w:rPr>
        <w:t xml:space="preserve"> </w:t>
      </w:r>
      <w:r w:rsidR="001D4F98">
        <w:rPr>
          <w:rFonts w:ascii="Times New Roman" w:hAnsi="Times New Roman"/>
          <w:sz w:val="36"/>
          <w:szCs w:val="36"/>
        </w:rPr>
        <w:t>Basin Electric</w:t>
      </w:r>
    </w:p>
    <w:p w:rsidR="0005513A" w:rsidRDefault="004011ED">
      <w:pPr>
        <w:pStyle w:val="Title"/>
        <w:rPr>
          <w:rFonts w:ascii="Times New Roman" w:hAnsi="Times New Roman"/>
          <w:sz w:val="36"/>
          <w:szCs w:val="36"/>
        </w:rPr>
      </w:pPr>
      <w:r>
        <w:rPr>
          <w:rFonts w:ascii="Times New Roman" w:hAnsi="Times New Roman"/>
          <w:sz w:val="36"/>
          <w:szCs w:val="36"/>
        </w:rPr>
        <w:t>20</w:t>
      </w:r>
      <w:r w:rsidR="00AF7203">
        <w:rPr>
          <w:rFonts w:ascii="Times New Roman" w:hAnsi="Times New Roman"/>
          <w:sz w:val="36"/>
          <w:szCs w:val="36"/>
        </w:rPr>
        <w:t>1</w:t>
      </w:r>
      <w:r w:rsidR="00AB6ACB">
        <w:rPr>
          <w:rFonts w:ascii="Times New Roman" w:hAnsi="Times New Roman"/>
          <w:sz w:val="36"/>
          <w:szCs w:val="36"/>
        </w:rPr>
        <w:t>6</w:t>
      </w:r>
      <w:r>
        <w:rPr>
          <w:rFonts w:ascii="Times New Roman" w:hAnsi="Times New Roman"/>
          <w:sz w:val="36"/>
          <w:szCs w:val="36"/>
        </w:rPr>
        <w:t xml:space="preserve"> Local Transmission Plan</w:t>
      </w:r>
    </w:p>
    <w:p w:rsidR="004011ED" w:rsidRPr="008C7988" w:rsidRDefault="004011ED">
      <w:pPr>
        <w:pStyle w:val="Title"/>
        <w:rPr>
          <w:rFonts w:ascii="Times New Roman" w:hAnsi="Times New Roman"/>
          <w:sz w:val="36"/>
          <w:szCs w:val="36"/>
        </w:rPr>
      </w:pPr>
      <w:r>
        <w:rPr>
          <w:rFonts w:ascii="Times New Roman" w:hAnsi="Times New Roman"/>
          <w:sz w:val="36"/>
          <w:szCs w:val="36"/>
        </w:rPr>
        <w:t>Study Scope</w:t>
      </w:r>
    </w:p>
    <w:p w:rsidR="008776F4" w:rsidRDefault="0005513A" w:rsidP="0005513A">
      <w:pPr>
        <w:rPr>
          <w:b/>
          <w:sz w:val="24"/>
          <w:szCs w:val="24"/>
        </w:rPr>
      </w:pPr>
      <w:r>
        <w:rPr>
          <w:b/>
          <w:sz w:val="24"/>
          <w:szCs w:val="24"/>
        </w:rPr>
        <w:tab/>
      </w:r>
    </w:p>
    <w:p w:rsidR="00BC763E" w:rsidRPr="005A029D" w:rsidRDefault="00FD4519" w:rsidP="004409C1">
      <w:pPr>
        <w:numPr>
          <w:ilvl w:val="0"/>
          <w:numId w:val="18"/>
        </w:numPr>
        <w:tabs>
          <w:tab w:val="clear" w:pos="720"/>
        </w:tabs>
        <w:ind w:left="360"/>
        <w:jc w:val="both"/>
        <w:rPr>
          <w:b/>
          <w:sz w:val="24"/>
          <w:szCs w:val="24"/>
        </w:rPr>
      </w:pPr>
      <w:r w:rsidRPr="004409D7">
        <w:rPr>
          <w:b/>
          <w:sz w:val="24"/>
          <w:szCs w:val="24"/>
        </w:rPr>
        <w:t>Background</w:t>
      </w:r>
    </w:p>
    <w:p w:rsidR="00BC49BF" w:rsidRDefault="00D51CA3" w:rsidP="004409C1">
      <w:pPr>
        <w:jc w:val="both"/>
        <w:rPr>
          <w:sz w:val="24"/>
          <w:szCs w:val="24"/>
        </w:rPr>
      </w:pPr>
      <w:r>
        <w:rPr>
          <w:sz w:val="24"/>
          <w:szCs w:val="24"/>
        </w:rPr>
        <w:t xml:space="preserve">As specified in Attachment K to the Black Hills </w:t>
      </w:r>
      <w:r w:rsidR="001D4F98">
        <w:rPr>
          <w:sz w:val="24"/>
          <w:szCs w:val="24"/>
        </w:rPr>
        <w:t>Basin Electric</w:t>
      </w:r>
      <w:r w:rsidR="006B50A6">
        <w:rPr>
          <w:sz w:val="24"/>
          <w:szCs w:val="24"/>
        </w:rPr>
        <w:t xml:space="preserve"> (</w:t>
      </w:r>
      <w:r w:rsidR="003E428A">
        <w:rPr>
          <w:sz w:val="24"/>
          <w:szCs w:val="24"/>
        </w:rPr>
        <w:t>“</w:t>
      </w:r>
      <w:r w:rsidR="006B50A6">
        <w:rPr>
          <w:sz w:val="24"/>
          <w:szCs w:val="24"/>
        </w:rPr>
        <w:t>BH</w:t>
      </w:r>
      <w:r w:rsidR="001D4F98">
        <w:rPr>
          <w:sz w:val="24"/>
          <w:szCs w:val="24"/>
        </w:rPr>
        <w:t>BE</w:t>
      </w:r>
      <w:r w:rsidR="003E428A">
        <w:rPr>
          <w:sz w:val="24"/>
          <w:szCs w:val="24"/>
        </w:rPr>
        <w:t>”</w:t>
      </w:r>
      <w:r w:rsidR="006B50A6">
        <w:rPr>
          <w:sz w:val="24"/>
          <w:szCs w:val="24"/>
        </w:rPr>
        <w:t>)</w:t>
      </w:r>
      <w:r>
        <w:rPr>
          <w:sz w:val="24"/>
          <w:szCs w:val="24"/>
        </w:rPr>
        <w:t xml:space="preserve"> </w:t>
      </w:r>
      <w:r w:rsidR="001D4F98">
        <w:rPr>
          <w:sz w:val="24"/>
          <w:szCs w:val="24"/>
        </w:rPr>
        <w:t xml:space="preserve">Joint </w:t>
      </w:r>
      <w:r>
        <w:rPr>
          <w:sz w:val="24"/>
          <w:szCs w:val="24"/>
        </w:rPr>
        <w:t>Open Access Transmission Tariff (</w:t>
      </w:r>
      <w:r w:rsidR="003E428A">
        <w:rPr>
          <w:sz w:val="24"/>
          <w:szCs w:val="24"/>
        </w:rPr>
        <w:t>“</w:t>
      </w:r>
      <w:r w:rsidR="001D4F98">
        <w:rPr>
          <w:sz w:val="24"/>
          <w:szCs w:val="24"/>
        </w:rPr>
        <w:t>J</w:t>
      </w:r>
      <w:r>
        <w:rPr>
          <w:sz w:val="24"/>
          <w:szCs w:val="24"/>
        </w:rPr>
        <w:t>OATT</w:t>
      </w:r>
      <w:r w:rsidR="003E428A">
        <w:rPr>
          <w:sz w:val="24"/>
          <w:szCs w:val="24"/>
        </w:rPr>
        <w:t>”</w:t>
      </w:r>
      <w:r>
        <w:rPr>
          <w:sz w:val="24"/>
          <w:szCs w:val="24"/>
        </w:rPr>
        <w:t>), t</w:t>
      </w:r>
      <w:r w:rsidR="00AF7203">
        <w:rPr>
          <w:sz w:val="24"/>
          <w:szCs w:val="24"/>
        </w:rPr>
        <w:t>he T</w:t>
      </w:r>
      <w:r w:rsidR="00A27C00">
        <w:rPr>
          <w:sz w:val="24"/>
          <w:szCs w:val="24"/>
        </w:rPr>
        <w:t>ransmission Provider</w:t>
      </w:r>
      <w:r w:rsidR="00AF7203">
        <w:rPr>
          <w:sz w:val="24"/>
          <w:szCs w:val="24"/>
        </w:rPr>
        <w:t xml:space="preserve"> (</w:t>
      </w:r>
      <w:r w:rsidR="003E428A">
        <w:rPr>
          <w:sz w:val="24"/>
          <w:szCs w:val="24"/>
        </w:rPr>
        <w:t>“</w:t>
      </w:r>
      <w:r w:rsidR="00AF7203">
        <w:rPr>
          <w:sz w:val="24"/>
          <w:szCs w:val="24"/>
        </w:rPr>
        <w:t>TP</w:t>
      </w:r>
      <w:r w:rsidR="003E428A">
        <w:rPr>
          <w:sz w:val="24"/>
          <w:szCs w:val="24"/>
        </w:rPr>
        <w:t>”</w:t>
      </w:r>
      <w:r w:rsidR="00AF7203">
        <w:rPr>
          <w:sz w:val="24"/>
          <w:szCs w:val="24"/>
        </w:rPr>
        <w:t>)</w:t>
      </w:r>
      <w:r w:rsidR="00BB5225">
        <w:rPr>
          <w:sz w:val="24"/>
          <w:szCs w:val="24"/>
        </w:rPr>
        <w:t xml:space="preserve"> </w:t>
      </w:r>
      <w:r w:rsidR="005A029D">
        <w:rPr>
          <w:sz w:val="24"/>
          <w:szCs w:val="24"/>
        </w:rPr>
        <w:t xml:space="preserve">through cooperation with the Transmission Coordination and Planning Committee (“TCPC”), </w:t>
      </w:r>
      <w:r w:rsidR="00BB5225">
        <w:rPr>
          <w:sz w:val="24"/>
          <w:szCs w:val="24"/>
        </w:rPr>
        <w:t>will</w:t>
      </w:r>
      <w:r w:rsidR="00A25B20">
        <w:rPr>
          <w:sz w:val="24"/>
          <w:szCs w:val="24"/>
        </w:rPr>
        <w:t xml:space="preserve"> </w:t>
      </w:r>
      <w:r w:rsidR="006B50A6">
        <w:rPr>
          <w:sz w:val="24"/>
          <w:szCs w:val="24"/>
        </w:rPr>
        <w:t>develop</w:t>
      </w:r>
      <w:r w:rsidR="00A25B20">
        <w:rPr>
          <w:sz w:val="24"/>
          <w:szCs w:val="24"/>
        </w:rPr>
        <w:t xml:space="preserve"> a</w:t>
      </w:r>
      <w:r w:rsidR="00BC763E" w:rsidRPr="00814A77">
        <w:rPr>
          <w:sz w:val="24"/>
          <w:szCs w:val="24"/>
        </w:rPr>
        <w:t xml:space="preserve"> </w:t>
      </w:r>
      <w:r w:rsidR="00A27C00" w:rsidRPr="006B50A6">
        <w:rPr>
          <w:sz w:val="24"/>
          <w:szCs w:val="24"/>
        </w:rPr>
        <w:t>Local Transmission Plan (“LTP”)</w:t>
      </w:r>
      <w:r w:rsidR="00A25B20" w:rsidRPr="006B50A6">
        <w:rPr>
          <w:sz w:val="24"/>
          <w:szCs w:val="24"/>
        </w:rPr>
        <w:t xml:space="preserve"> </w:t>
      </w:r>
      <w:r w:rsidR="006B50A6" w:rsidRPr="006B50A6">
        <w:rPr>
          <w:sz w:val="24"/>
          <w:szCs w:val="24"/>
        </w:rPr>
        <w:t>on an annual basis</w:t>
      </w:r>
      <w:r w:rsidR="006B50A6">
        <w:rPr>
          <w:sz w:val="24"/>
          <w:szCs w:val="24"/>
        </w:rPr>
        <w:t xml:space="preserve"> to ensure the transmission system is designed to reliably accommodate resource and load growth as well as transmission service obligations</w:t>
      </w:r>
      <w:r w:rsidR="00A27C00" w:rsidRPr="006B50A6">
        <w:rPr>
          <w:sz w:val="24"/>
          <w:szCs w:val="24"/>
        </w:rPr>
        <w:t>.</w:t>
      </w:r>
      <w:r w:rsidR="00A27C00">
        <w:rPr>
          <w:sz w:val="24"/>
          <w:szCs w:val="24"/>
        </w:rPr>
        <w:t xml:space="preserve">  </w:t>
      </w:r>
      <w:r w:rsidR="006B50A6">
        <w:rPr>
          <w:sz w:val="24"/>
          <w:szCs w:val="24"/>
        </w:rPr>
        <w:t xml:space="preserve">The LTP study will utilize an open and coordinated process involving input from stakeholders consistent with </w:t>
      </w:r>
      <w:r w:rsidR="00640D7B">
        <w:rPr>
          <w:sz w:val="24"/>
          <w:szCs w:val="24"/>
        </w:rPr>
        <w:t xml:space="preserve">the principles, practices, policy, and procedures set forth in the Attachment K. </w:t>
      </w:r>
      <w:r w:rsidR="006B50A6">
        <w:rPr>
          <w:sz w:val="24"/>
          <w:szCs w:val="24"/>
        </w:rPr>
        <w:t xml:space="preserve"> </w:t>
      </w:r>
      <w:r w:rsidR="00A27C00">
        <w:rPr>
          <w:sz w:val="24"/>
          <w:szCs w:val="24"/>
        </w:rPr>
        <w:t>Additional information on the LTP process can be found on th</w:t>
      </w:r>
      <w:r w:rsidR="00A27C00" w:rsidRPr="00640D7B">
        <w:rPr>
          <w:sz w:val="24"/>
          <w:szCs w:val="24"/>
        </w:rPr>
        <w:t>e BH</w:t>
      </w:r>
      <w:r w:rsidR="001D4F98">
        <w:rPr>
          <w:sz w:val="24"/>
          <w:szCs w:val="24"/>
        </w:rPr>
        <w:t>BE</w:t>
      </w:r>
      <w:r w:rsidR="00A27C00" w:rsidRPr="00640D7B">
        <w:rPr>
          <w:sz w:val="24"/>
          <w:szCs w:val="24"/>
        </w:rPr>
        <w:t xml:space="preserve"> website (</w:t>
      </w:r>
      <w:hyperlink r:id="rId7" w:history="1">
        <w:r w:rsidR="001D4F98" w:rsidRPr="001D4F98">
          <w:rPr>
            <w:rStyle w:val="Hyperlink"/>
            <w:sz w:val="24"/>
            <w:szCs w:val="24"/>
          </w:rPr>
          <w:t>http://www.oatioasis.com/BHBE</w:t>
        </w:r>
      </w:hyperlink>
      <w:r w:rsidR="00A27C00" w:rsidRPr="00640D7B">
        <w:rPr>
          <w:sz w:val="24"/>
          <w:szCs w:val="24"/>
        </w:rPr>
        <w:t>) within the “</w:t>
      </w:r>
      <w:r w:rsidR="00733205">
        <w:rPr>
          <w:sz w:val="24"/>
          <w:szCs w:val="24"/>
        </w:rPr>
        <w:t>Transmission Planning</w:t>
      </w:r>
      <w:r w:rsidR="00A27C00" w:rsidRPr="00640D7B">
        <w:rPr>
          <w:sz w:val="24"/>
          <w:szCs w:val="24"/>
        </w:rPr>
        <w:t>” fold</w:t>
      </w:r>
      <w:r w:rsidR="00A27C00">
        <w:rPr>
          <w:sz w:val="24"/>
          <w:szCs w:val="24"/>
        </w:rPr>
        <w:t>er.</w:t>
      </w:r>
    </w:p>
    <w:p w:rsidR="005571AA" w:rsidRDefault="005571AA" w:rsidP="004409C1">
      <w:pPr>
        <w:jc w:val="both"/>
        <w:rPr>
          <w:sz w:val="24"/>
          <w:szCs w:val="24"/>
        </w:rPr>
      </w:pPr>
    </w:p>
    <w:p w:rsidR="00BB5225" w:rsidRPr="005A029D" w:rsidRDefault="004409D7" w:rsidP="004409C1">
      <w:pPr>
        <w:numPr>
          <w:ilvl w:val="0"/>
          <w:numId w:val="18"/>
        </w:numPr>
        <w:tabs>
          <w:tab w:val="clear" w:pos="720"/>
        </w:tabs>
        <w:ind w:left="360"/>
        <w:jc w:val="both"/>
        <w:rPr>
          <w:b/>
          <w:sz w:val="24"/>
          <w:szCs w:val="24"/>
        </w:rPr>
      </w:pPr>
      <w:r>
        <w:rPr>
          <w:b/>
          <w:sz w:val="24"/>
          <w:szCs w:val="24"/>
        </w:rPr>
        <w:t>Base Case Scenarios</w:t>
      </w:r>
    </w:p>
    <w:p w:rsidR="0046461B" w:rsidRPr="004546AD" w:rsidRDefault="00A27C00" w:rsidP="004409C1">
      <w:pPr>
        <w:jc w:val="both"/>
        <w:rPr>
          <w:sz w:val="24"/>
          <w:szCs w:val="24"/>
        </w:rPr>
      </w:pPr>
      <w:r>
        <w:rPr>
          <w:sz w:val="24"/>
          <w:szCs w:val="24"/>
        </w:rPr>
        <w:t>T</w:t>
      </w:r>
      <w:r w:rsidRPr="004546AD">
        <w:rPr>
          <w:sz w:val="24"/>
          <w:szCs w:val="24"/>
        </w:rPr>
        <w:t xml:space="preserve">he LTP will focus on </w:t>
      </w:r>
      <w:r w:rsidR="00AB6ACB">
        <w:rPr>
          <w:sz w:val="24"/>
          <w:szCs w:val="24"/>
        </w:rPr>
        <w:t>2017-</w:t>
      </w:r>
      <w:r w:rsidR="00B1043B" w:rsidRPr="004546AD">
        <w:rPr>
          <w:sz w:val="24"/>
          <w:szCs w:val="24"/>
        </w:rPr>
        <w:t>201</w:t>
      </w:r>
      <w:r w:rsidR="00AB6ACB">
        <w:rPr>
          <w:sz w:val="24"/>
          <w:szCs w:val="24"/>
        </w:rPr>
        <w:t>8LW</w:t>
      </w:r>
      <w:r w:rsidR="00B1043B" w:rsidRPr="004546AD">
        <w:rPr>
          <w:sz w:val="24"/>
          <w:szCs w:val="24"/>
        </w:rPr>
        <w:t xml:space="preserve"> </w:t>
      </w:r>
      <w:r w:rsidR="00A63B6B" w:rsidRPr="004546AD">
        <w:rPr>
          <w:sz w:val="24"/>
          <w:szCs w:val="24"/>
        </w:rPr>
        <w:t>for the near-term</w:t>
      </w:r>
      <w:r w:rsidR="00AD4783" w:rsidRPr="004546AD">
        <w:rPr>
          <w:sz w:val="24"/>
          <w:szCs w:val="24"/>
        </w:rPr>
        <w:t xml:space="preserve"> off-</w:t>
      </w:r>
      <w:r w:rsidR="00B1043B" w:rsidRPr="004546AD">
        <w:rPr>
          <w:sz w:val="24"/>
          <w:szCs w:val="24"/>
        </w:rPr>
        <w:t>peak</w:t>
      </w:r>
      <w:r w:rsidR="00AD4783" w:rsidRPr="004546AD">
        <w:rPr>
          <w:sz w:val="24"/>
          <w:szCs w:val="24"/>
        </w:rPr>
        <w:t xml:space="preserve"> </w:t>
      </w:r>
      <w:r w:rsidR="00AB6ACB">
        <w:rPr>
          <w:sz w:val="24"/>
          <w:szCs w:val="24"/>
        </w:rPr>
        <w:t>scenario and 2018</w:t>
      </w:r>
      <w:r w:rsidR="006F4AA0" w:rsidRPr="004546AD">
        <w:rPr>
          <w:sz w:val="24"/>
          <w:szCs w:val="24"/>
        </w:rPr>
        <w:t>HS for the near-term peak scenario.  202</w:t>
      </w:r>
      <w:r w:rsidR="00AB6ACB">
        <w:rPr>
          <w:sz w:val="24"/>
          <w:szCs w:val="24"/>
        </w:rPr>
        <w:t>1</w:t>
      </w:r>
      <w:r w:rsidR="006F4AA0" w:rsidRPr="004546AD">
        <w:rPr>
          <w:sz w:val="24"/>
          <w:szCs w:val="24"/>
        </w:rPr>
        <w:t>H</w:t>
      </w:r>
      <w:r w:rsidR="00AB6ACB">
        <w:rPr>
          <w:sz w:val="24"/>
          <w:szCs w:val="24"/>
        </w:rPr>
        <w:t>W</w:t>
      </w:r>
      <w:r w:rsidR="00AD4783" w:rsidRPr="004546AD">
        <w:rPr>
          <w:sz w:val="24"/>
          <w:szCs w:val="24"/>
        </w:rPr>
        <w:t xml:space="preserve"> was chosen for </w:t>
      </w:r>
      <w:r w:rsidR="006F4AA0" w:rsidRPr="004546AD">
        <w:rPr>
          <w:sz w:val="24"/>
          <w:szCs w:val="24"/>
        </w:rPr>
        <w:t>the five-year scenario and</w:t>
      </w:r>
      <w:r w:rsidR="00AD4783" w:rsidRPr="004546AD">
        <w:rPr>
          <w:sz w:val="24"/>
          <w:szCs w:val="24"/>
        </w:rPr>
        <w:t xml:space="preserve"> </w:t>
      </w:r>
      <w:r w:rsidR="008202C9" w:rsidRPr="004546AD">
        <w:rPr>
          <w:sz w:val="24"/>
          <w:szCs w:val="24"/>
        </w:rPr>
        <w:t>202</w:t>
      </w:r>
      <w:r w:rsidR="00AB6ACB">
        <w:rPr>
          <w:sz w:val="24"/>
          <w:szCs w:val="24"/>
        </w:rPr>
        <w:t>6</w:t>
      </w:r>
      <w:r w:rsidR="006F4AA0" w:rsidRPr="004546AD">
        <w:rPr>
          <w:sz w:val="24"/>
          <w:szCs w:val="24"/>
        </w:rPr>
        <w:t xml:space="preserve">HS </w:t>
      </w:r>
      <w:r w:rsidR="00A63B6B" w:rsidRPr="004546AD">
        <w:rPr>
          <w:sz w:val="24"/>
          <w:szCs w:val="24"/>
        </w:rPr>
        <w:t>for the far-term study period.</w:t>
      </w:r>
      <w:r w:rsidR="00AD4783" w:rsidRPr="004546AD">
        <w:rPr>
          <w:sz w:val="24"/>
          <w:szCs w:val="24"/>
        </w:rPr>
        <w:t xml:space="preserve">  </w:t>
      </w:r>
      <w:r w:rsidR="00A63B6B" w:rsidRPr="004546AD">
        <w:rPr>
          <w:sz w:val="24"/>
          <w:szCs w:val="24"/>
        </w:rPr>
        <w:t>The study years were selected based on several factors including base case availability, planned system upgrades, and previously completed planning studies.</w:t>
      </w:r>
      <w:r w:rsidRPr="004546AD">
        <w:rPr>
          <w:sz w:val="24"/>
          <w:szCs w:val="24"/>
        </w:rPr>
        <w:t xml:space="preserve">  </w:t>
      </w:r>
      <w:r w:rsidR="0046461B" w:rsidRPr="004546AD">
        <w:rPr>
          <w:sz w:val="24"/>
          <w:szCs w:val="24"/>
        </w:rPr>
        <w:t xml:space="preserve">Descriptions of any changes made to a starting case to create a base case scenario will be documented.  </w:t>
      </w:r>
      <w:r w:rsidRPr="004546AD">
        <w:rPr>
          <w:sz w:val="24"/>
          <w:szCs w:val="24"/>
        </w:rPr>
        <w:t xml:space="preserve">All </w:t>
      </w:r>
      <w:r w:rsidR="00324837" w:rsidRPr="004546AD">
        <w:rPr>
          <w:sz w:val="24"/>
          <w:szCs w:val="24"/>
        </w:rPr>
        <w:t xml:space="preserve">generation and </w:t>
      </w:r>
      <w:r w:rsidR="0046461B" w:rsidRPr="004546AD">
        <w:rPr>
          <w:sz w:val="24"/>
          <w:szCs w:val="24"/>
        </w:rPr>
        <w:t>transmission system projects that may be included in the base case upon agreement of both the TP and TCPC include:</w:t>
      </w:r>
      <w:r w:rsidRPr="004546AD">
        <w:rPr>
          <w:sz w:val="24"/>
          <w:szCs w:val="24"/>
        </w:rPr>
        <w:t xml:space="preserve">  </w:t>
      </w:r>
    </w:p>
    <w:p w:rsidR="0046461B" w:rsidRDefault="0046461B" w:rsidP="004409C1">
      <w:pPr>
        <w:jc w:val="both"/>
        <w:rPr>
          <w:sz w:val="24"/>
          <w:szCs w:val="24"/>
        </w:rPr>
      </w:pPr>
    </w:p>
    <w:p w:rsidR="0046461B" w:rsidRPr="0046461B" w:rsidRDefault="004546AD" w:rsidP="0046461B">
      <w:pPr>
        <w:pStyle w:val="ListParagraph"/>
        <w:numPr>
          <w:ilvl w:val="0"/>
          <w:numId w:val="22"/>
        </w:numPr>
        <w:autoSpaceDE w:val="0"/>
        <w:autoSpaceDN w:val="0"/>
        <w:adjustRightInd w:val="0"/>
        <w:jc w:val="both"/>
        <w:rPr>
          <w:sz w:val="24"/>
          <w:szCs w:val="24"/>
        </w:rPr>
      </w:pPr>
      <w:r>
        <w:rPr>
          <w:sz w:val="24"/>
          <w:szCs w:val="24"/>
        </w:rPr>
        <w:t>A</w:t>
      </w:r>
      <w:r w:rsidR="0046461B" w:rsidRPr="0046461B">
        <w:rPr>
          <w:sz w:val="24"/>
          <w:szCs w:val="24"/>
        </w:rPr>
        <w:t xml:space="preserve">ddition of the planned Teckla-Osage-Lange 230 kV line (2016) </w:t>
      </w:r>
    </w:p>
    <w:p w:rsidR="0046461B" w:rsidRDefault="004546AD" w:rsidP="0046461B">
      <w:pPr>
        <w:pStyle w:val="ListParagraph"/>
        <w:numPr>
          <w:ilvl w:val="0"/>
          <w:numId w:val="22"/>
        </w:numPr>
        <w:autoSpaceDE w:val="0"/>
        <w:autoSpaceDN w:val="0"/>
        <w:adjustRightInd w:val="0"/>
        <w:jc w:val="both"/>
        <w:rPr>
          <w:sz w:val="24"/>
          <w:szCs w:val="24"/>
        </w:rPr>
      </w:pPr>
      <w:r>
        <w:rPr>
          <w:sz w:val="24"/>
          <w:szCs w:val="24"/>
        </w:rPr>
        <w:t>A</w:t>
      </w:r>
      <w:r w:rsidR="0046461B" w:rsidRPr="0046461B">
        <w:rPr>
          <w:sz w:val="24"/>
          <w:szCs w:val="24"/>
        </w:rPr>
        <w:t>ddition of a second 230/69kV transformer at Yellow Creek (2018)</w:t>
      </w:r>
    </w:p>
    <w:p w:rsidR="00603C33" w:rsidRPr="00806B98" w:rsidRDefault="00603C33" w:rsidP="0046461B">
      <w:pPr>
        <w:pStyle w:val="ListParagraph"/>
        <w:numPr>
          <w:ilvl w:val="0"/>
          <w:numId w:val="22"/>
        </w:numPr>
        <w:autoSpaceDE w:val="0"/>
        <w:autoSpaceDN w:val="0"/>
        <w:adjustRightInd w:val="0"/>
        <w:jc w:val="both"/>
        <w:rPr>
          <w:sz w:val="24"/>
          <w:szCs w:val="24"/>
        </w:rPr>
      </w:pPr>
      <w:r w:rsidRPr="00806B98">
        <w:rPr>
          <w:sz w:val="24"/>
          <w:szCs w:val="24"/>
        </w:rPr>
        <w:t>Addition of the proposed South Rapid-West Hill 230kV line rebuild (2019)</w:t>
      </w:r>
    </w:p>
    <w:p w:rsidR="0046461B" w:rsidRDefault="0046461B" w:rsidP="004409C1">
      <w:pPr>
        <w:jc w:val="both"/>
        <w:rPr>
          <w:sz w:val="24"/>
          <w:szCs w:val="24"/>
        </w:rPr>
      </w:pPr>
    </w:p>
    <w:p w:rsidR="006972D6" w:rsidRPr="00E06B0D" w:rsidRDefault="00AD505A" w:rsidP="004409C1">
      <w:pPr>
        <w:jc w:val="both"/>
        <w:rPr>
          <w:sz w:val="24"/>
          <w:szCs w:val="24"/>
        </w:rPr>
      </w:pPr>
      <w:r>
        <w:rPr>
          <w:sz w:val="24"/>
          <w:szCs w:val="24"/>
        </w:rPr>
        <w:t>The LTP study scenarios will be created using cases recently compiled through regional planning studies.  This is done to ensure the cases have undergone peer review and reflect current transmission system plans.</w:t>
      </w:r>
      <w:r w:rsidR="00766E26">
        <w:rPr>
          <w:sz w:val="24"/>
          <w:szCs w:val="24"/>
        </w:rPr>
        <w:t xml:space="preserve">  </w:t>
      </w:r>
      <w:r w:rsidR="00A63B6B" w:rsidRPr="00E06B0D">
        <w:rPr>
          <w:sz w:val="24"/>
          <w:szCs w:val="24"/>
        </w:rPr>
        <w:t>Table 1 includes the proposed study cases and their respective starting case.</w:t>
      </w:r>
    </w:p>
    <w:p w:rsidR="006972D6" w:rsidRPr="00DF352C" w:rsidRDefault="00A63B6B" w:rsidP="00A63B6B">
      <w:pPr>
        <w:jc w:val="right"/>
        <w:rPr>
          <w:b/>
          <w:sz w:val="24"/>
          <w:szCs w:val="24"/>
        </w:rPr>
      </w:pPr>
      <w:r w:rsidRPr="00DF352C">
        <w:rPr>
          <w:b/>
          <w:sz w:val="24"/>
          <w:szCs w:val="24"/>
        </w:rPr>
        <w:t xml:space="preserve">Table 1: </w:t>
      </w:r>
      <w:r w:rsidR="00AF7203" w:rsidRPr="00DF352C">
        <w:rPr>
          <w:b/>
          <w:sz w:val="24"/>
          <w:szCs w:val="24"/>
        </w:rPr>
        <w:t>LTP</w:t>
      </w:r>
      <w:r w:rsidRPr="00DF352C">
        <w:rPr>
          <w:b/>
          <w:sz w:val="24"/>
          <w:szCs w:val="24"/>
        </w:rPr>
        <w:t xml:space="preserve"> Study Cases</w:t>
      </w:r>
    </w:p>
    <w:tbl>
      <w:tblPr>
        <w:tblW w:w="9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2419"/>
        <w:gridCol w:w="2368"/>
        <w:gridCol w:w="2416"/>
      </w:tblGrid>
      <w:tr w:rsidR="00C42A12" w:rsidRPr="00E205DF" w:rsidTr="00AA3B3C">
        <w:trPr>
          <w:trHeight w:val="389"/>
          <w:jc w:val="center"/>
        </w:trPr>
        <w:tc>
          <w:tcPr>
            <w:tcW w:w="2417" w:type="dxa"/>
            <w:shd w:val="clear" w:color="auto" w:fill="C0C0C0"/>
            <w:vAlign w:val="center"/>
          </w:tcPr>
          <w:p w:rsidR="004409C1" w:rsidRPr="00E205DF" w:rsidRDefault="00E86FF0" w:rsidP="00E86FF0">
            <w:pPr>
              <w:jc w:val="center"/>
              <w:rPr>
                <w:b/>
              </w:rPr>
            </w:pPr>
            <w:r>
              <w:rPr>
                <w:b/>
              </w:rPr>
              <w:t>Near Term</w:t>
            </w:r>
            <w:r w:rsidR="004546AD">
              <w:rPr>
                <w:b/>
              </w:rPr>
              <w:t xml:space="preserve"> </w:t>
            </w:r>
            <w:r>
              <w:rPr>
                <w:b/>
              </w:rPr>
              <w:t>Off-Peak</w:t>
            </w:r>
            <w:r w:rsidR="004546AD">
              <w:rPr>
                <w:b/>
              </w:rPr>
              <w:t xml:space="preserve"> Study</w:t>
            </w:r>
            <w:r w:rsidR="0056527C" w:rsidRPr="00E205DF">
              <w:rPr>
                <w:b/>
              </w:rPr>
              <w:t xml:space="preserve"> Case</w:t>
            </w:r>
          </w:p>
        </w:tc>
        <w:tc>
          <w:tcPr>
            <w:tcW w:w="2419" w:type="dxa"/>
            <w:shd w:val="clear" w:color="auto" w:fill="C0C0C0"/>
            <w:vAlign w:val="center"/>
          </w:tcPr>
          <w:p w:rsidR="004409C1" w:rsidRPr="00E205DF" w:rsidRDefault="0056527C" w:rsidP="00E205DF">
            <w:pPr>
              <w:jc w:val="center"/>
              <w:rPr>
                <w:b/>
              </w:rPr>
            </w:pPr>
            <w:r w:rsidRPr="00E205DF">
              <w:rPr>
                <w:b/>
              </w:rPr>
              <w:t>Starting Case</w:t>
            </w:r>
          </w:p>
        </w:tc>
        <w:tc>
          <w:tcPr>
            <w:tcW w:w="2368" w:type="dxa"/>
            <w:shd w:val="clear" w:color="auto" w:fill="C0C0C0"/>
            <w:vAlign w:val="center"/>
          </w:tcPr>
          <w:p w:rsidR="004409C1" w:rsidRPr="00E205DF" w:rsidRDefault="00151A66" w:rsidP="004546AD">
            <w:pPr>
              <w:jc w:val="center"/>
              <w:rPr>
                <w:b/>
              </w:rPr>
            </w:pPr>
            <w:r>
              <w:rPr>
                <w:b/>
              </w:rPr>
              <w:t>Far Term</w:t>
            </w:r>
            <w:r w:rsidR="0056527C" w:rsidRPr="00E205DF">
              <w:rPr>
                <w:b/>
              </w:rPr>
              <w:t xml:space="preserve"> </w:t>
            </w:r>
            <w:r w:rsidR="004546AD">
              <w:rPr>
                <w:b/>
              </w:rPr>
              <w:t>Peak</w:t>
            </w:r>
            <w:r w:rsidR="0056527C" w:rsidRPr="00E205DF">
              <w:rPr>
                <w:b/>
              </w:rPr>
              <w:t xml:space="preserve"> Study Case</w:t>
            </w:r>
          </w:p>
        </w:tc>
        <w:tc>
          <w:tcPr>
            <w:tcW w:w="2416" w:type="dxa"/>
            <w:shd w:val="clear" w:color="auto" w:fill="C0C0C0"/>
            <w:vAlign w:val="center"/>
          </w:tcPr>
          <w:p w:rsidR="004409C1" w:rsidRPr="00E205DF" w:rsidRDefault="0056527C" w:rsidP="00E205DF">
            <w:pPr>
              <w:jc w:val="center"/>
              <w:rPr>
                <w:b/>
              </w:rPr>
            </w:pPr>
            <w:r w:rsidRPr="00E205DF">
              <w:rPr>
                <w:b/>
              </w:rPr>
              <w:t>Starting Case</w:t>
            </w:r>
          </w:p>
        </w:tc>
      </w:tr>
      <w:tr w:rsidR="005B486D" w:rsidRPr="00E205DF" w:rsidTr="004546AD">
        <w:trPr>
          <w:trHeight w:val="195"/>
          <w:jc w:val="center"/>
        </w:trPr>
        <w:tc>
          <w:tcPr>
            <w:tcW w:w="2417" w:type="dxa"/>
            <w:vAlign w:val="center"/>
          </w:tcPr>
          <w:p w:rsidR="005B486D" w:rsidRPr="003F3249" w:rsidRDefault="00266948" w:rsidP="008366C2">
            <w:pPr>
              <w:jc w:val="center"/>
            </w:pPr>
            <w:r>
              <w:t>2017-</w:t>
            </w:r>
            <w:r w:rsidR="005B486D" w:rsidRPr="003F3249">
              <w:t>201</w:t>
            </w:r>
            <w:r w:rsidR="008366C2">
              <w:t>8</w:t>
            </w:r>
            <w:r w:rsidR="005B486D" w:rsidRPr="003F3249">
              <w:t xml:space="preserve"> Light </w:t>
            </w:r>
            <w:r w:rsidR="008366C2">
              <w:t>Winter</w:t>
            </w:r>
          </w:p>
        </w:tc>
        <w:tc>
          <w:tcPr>
            <w:tcW w:w="2419" w:type="dxa"/>
            <w:shd w:val="clear" w:color="auto" w:fill="auto"/>
            <w:vAlign w:val="center"/>
          </w:tcPr>
          <w:p w:rsidR="005B486D" w:rsidRPr="003F3249" w:rsidRDefault="008366C2" w:rsidP="008366C2">
            <w:pPr>
              <w:jc w:val="center"/>
            </w:pPr>
            <w:r>
              <w:t>CCPG</w:t>
            </w:r>
            <w:r w:rsidR="00AA3B3C">
              <w:t xml:space="preserve"> </w:t>
            </w:r>
            <w:r w:rsidR="00266948">
              <w:t>2017-</w:t>
            </w:r>
            <w:r w:rsidR="00AA3B3C">
              <w:t>201</w:t>
            </w:r>
            <w:r>
              <w:t>8</w:t>
            </w:r>
            <w:r w:rsidR="00AA3B3C">
              <w:t xml:space="preserve"> Light </w:t>
            </w:r>
            <w:r>
              <w:t>Winter</w:t>
            </w:r>
          </w:p>
        </w:tc>
        <w:tc>
          <w:tcPr>
            <w:tcW w:w="2368" w:type="dxa"/>
            <w:shd w:val="clear" w:color="auto" w:fill="auto"/>
            <w:vAlign w:val="center"/>
          </w:tcPr>
          <w:p w:rsidR="005B486D" w:rsidRPr="00E06B0D" w:rsidRDefault="005B486D" w:rsidP="008366C2">
            <w:pPr>
              <w:jc w:val="center"/>
            </w:pPr>
            <w:r w:rsidRPr="00E06B0D">
              <w:t>202</w:t>
            </w:r>
            <w:r w:rsidR="008366C2">
              <w:t>6</w:t>
            </w:r>
            <w:r w:rsidRPr="00E06B0D">
              <w:t xml:space="preserve"> Heavy Summer</w:t>
            </w:r>
          </w:p>
        </w:tc>
        <w:tc>
          <w:tcPr>
            <w:tcW w:w="2416" w:type="dxa"/>
            <w:shd w:val="clear" w:color="auto" w:fill="auto"/>
            <w:vAlign w:val="center"/>
          </w:tcPr>
          <w:p w:rsidR="005B486D" w:rsidRPr="00E06B0D" w:rsidRDefault="008366C2" w:rsidP="004546AD">
            <w:pPr>
              <w:jc w:val="center"/>
            </w:pPr>
            <w:r>
              <w:t>CCPG 2026</w:t>
            </w:r>
            <w:r w:rsidR="00AA3B3C">
              <w:t xml:space="preserve"> Heavy Summer</w:t>
            </w:r>
          </w:p>
        </w:tc>
      </w:tr>
      <w:tr w:rsidR="005B486D" w:rsidRPr="00E205DF" w:rsidTr="004546AD">
        <w:trPr>
          <w:trHeight w:val="194"/>
          <w:jc w:val="center"/>
        </w:trPr>
        <w:tc>
          <w:tcPr>
            <w:tcW w:w="2417" w:type="dxa"/>
            <w:shd w:val="clear" w:color="auto" w:fill="BFBFBF" w:themeFill="background1" w:themeFillShade="BF"/>
            <w:vAlign w:val="center"/>
          </w:tcPr>
          <w:p w:rsidR="005B486D" w:rsidRPr="00E205DF" w:rsidRDefault="005B486D" w:rsidP="004546AD">
            <w:pPr>
              <w:jc w:val="center"/>
              <w:rPr>
                <w:b/>
              </w:rPr>
            </w:pPr>
            <w:r>
              <w:rPr>
                <w:b/>
              </w:rPr>
              <w:t>Year-Two</w:t>
            </w:r>
            <w:r w:rsidRPr="00E205DF">
              <w:rPr>
                <w:b/>
              </w:rPr>
              <w:t xml:space="preserve"> </w:t>
            </w:r>
            <w:r w:rsidR="004546AD">
              <w:rPr>
                <w:b/>
              </w:rPr>
              <w:t>Peak</w:t>
            </w:r>
            <w:r w:rsidRPr="00E205DF">
              <w:rPr>
                <w:b/>
              </w:rPr>
              <w:t xml:space="preserve"> Study Case</w:t>
            </w:r>
          </w:p>
        </w:tc>
        <w:tc>
          <w:tcPr>
            <w:tcW w:w="2419" w:type="dxa"/>
            <w:shd w:val="clear" w:color="auto" w:fill="BFBFBF" w:themeFill="background1" w:themeFillShade="BF"/>
            <w:vAlign w:val="center"/>
          </w:tcPr>
          <w:p w:rsidR="005B486D" w:rsidRPr="00E205DF" w:rsidRDefault="005B486D" w:rsidP="004546AD">
            <w:pPr>
              <w:jc w:val="center"/>
              <w:rPr>
                <w:b/>
              </w:rPr>
            </w:pPr>
            <w:r w:rsidRPr="00E205DF">
              <w:rPr>
                <w:b/>
              </w:rPr>
              <w:t>Starting Case</w:t>
            </w:r>
          </w:p>
        </w:tc>
        <w:tc>
          <w:tcPr>
            <w:tcW w:w="2368" w:type="dxa"/>
            <w:shd w:val="clear" w:color="auto" w:fill="BFBFBF" w:themeFill="background1" w:themeFillShade="BF"/>
            <w:vAlign w:val="center"/>
          </w:tcPr>
          <w:p w:rsidR="005B486D" w:rsidRPr="00E205DF" w:rsidRDefault="005B486D" w:rsidP="004546AD">
            <w:pPr>
              <w:jc w:val="center"/>
              <w:rPr>
                <w:b/>
              </w:rPr>
            </w:pPr>
            <w:r>
              <w:rPr>
                <w:b/>
              </w:rPr>
              <w:t>Year-Five</w:t>
            </w:r>
            <w:r w:rsidRPr="00E205DF">
              <w:rPr>
                <w:b/>
              </w:rPr>
              <w:t xml:space="preserve"> </w:t>
            </w:r>
            <w:r w:rsidR="004546AD">
              <w:rPr>
                <w:b/>
              </w:rPr>
              <w:t>Peak</w:t>
            </w:r>
            <w:r w:rsidRPr="00E205DF">
              <w:rPr>
                <w:b/>
              </w:rPr>
              <w:t xml:space="preserve"> Study Case</w:t>
            </w:r>
          </w:p>
        </w:tc>
        <w:tc>
          <w:tcPr>
            <w:tcW w:w="2416" w:type="dxa"/>
            <w:shd w:val="clear" w:color="auto" w:fill="BFBFBF" w:themeFill="background1" w:themeFillShade="BF"/>
            <w:vAlign w:val="center"/>
          </w:tcPr>
          <w:p w:rsidR="005B486D" w:rsidRPr="00E205DF" w:rsidRDefault="005B486D" w:rsidP="004546AD">
            <w:pPr>
              <w:jc w:val="center"/>
              <w:rPr>
                <w:b/>
              </w:rPr>
            </w:pPr>
            <w:r w:rsidRPr="00E205DF">
              <w:rPr>
                <w:b/>
              </w:rPr>
              <w:t>Starting Case</w:t>
            </w:r>
          </w:p>
        </w:tc>
      </w:tr>
      <w:tr w:rsidR="005B486D" w:rsidRPr="00E205DF" w:rsidTr="004546AD">
        <w:trPr>
          <w:trHeight w:val="194"/>
          <w:jc w:val="center"/>
        </w:trPr>
        <w:tc>
          <w:tcPr>
            <w:tcW w:w="2417" w:type="dxa"/>
            <w:vAlign w:val="center"/>
          </w:tcPr>
          <w:p w:rsidR="005B486D" w:rsidRPr="00AA3B3C" w:rsidRDefault="005B486D" w:rsidP="00266948">
            <w:pPr>
              <w:jc w:val="center"/>
            </w:pPr>
            <w:r w:rsidRPr="00AA3B3C">
              <w:t>201</w:t>
            </w:r>
            <w:r w:rsidR="00266948">
              <w:t>8</w:t>
            </w:r>
            <w:r w:rsidRPr="00AA3B3C">
              <w:t xml:space="preserve"> Heavy Summer</w:t>
            </w:r>
          </w:p>
        </w:tc>
        <w:tc>
          <w:tcPr>
            <w:tcW w:w="2419" w:type="dxa"/>
            <w:shd w:val="clear" w:color="auto" w:fill="auto"/>
            <w:vAlign w:val="center"/>
          </w:tcPr>
          <w:p w:rsidR="005B486D" w:rsidRPr="00AA3B3C" w:rsidRDefault="00266948" w:rsidP="00266948">
            <w:pPr>
              <w:jc w:val="center"/>
            </w:pPr>
            <w:r>
              <w:t>CCPG</w:t>
            </w:r>
            <w:r w:rsidR="00AA3B3C" w:rsidRPr="00AA3B3C">
              <w:t xml:space="preserve"> 201</w:t>
            </w:r>
            <w:r>
              <w:t>8</w:t>
            </w:r>
            <w:r w:rsidR="00AA3B3C" w:rsidRPr="00AA3B3C">
              <w:t xml:space="preserve"> Heavy Summer</w:t>
            </w:r>
          </w:p>
        </w:tc>
        <w:tc>
          <w:tcPr>
            <w:tcW w:w="2368" w:type="dxa"/>
            <w:shd w:val="clear" w:color="auto" w:fill="auto"/>
            <w:vAlign w:val="center"/>
          </w:tcPr>
          <w:p w:rsidR="005B486D" w:rsidRPr="00AA3B3C" w:rsidRDefault="00266948" w:rsidP="00266948">
            <w:pPr>
              <w:jc w:val="center"/>
            </w:pPr>
            <w:r>
              <w:t>2020-</w:t>
            </w:r>
            <w:r w:rsidR="005B486D" w:rsidRPr="00AA3B3C">
              <w:t>202</w:t>
            </w:r>
            <w:r>
              <w:t>1</w:t>
            </w:r>
            <w:r w:rsidR="005B486D" w:rsidRPr="00AA3B3C">
              <w:t xml:space="preserve"> Heavy </w:t>
            </w:r>
            <w:r>
              <w:t>Winter</w:t>
            </w:r>
          </w:p>
        </w:tc>
        <w:tc>
          <w:tcPr>
            <w:tcW w:w="2416" w:type="dxa"/>
            <w:shd w:val="clear" w:color="auto" w:fill="auto"/>
            <w:vAlign w:val="center"/>
          </w:tcPr>
          <w:p w:rsidR="005B486D" w:rsidRPr="00AA3B3C" w:rsidRDefault="00266948" w:rsidP="00266948">
            <w:pPr>
              <w:jc w:val="center"/>
            </w:pPr>
            <w:r>
              <w:t>CCPG</w:t>
            </w:r>
            <w:r w:rsidR="00AA3B3C" w:rsidRPr="00AA3B3C">
              <w:t xml:space="preserve"> </w:t>
            </w:r>
            <w:r>
              <w:t>2020-</w:t>
            </w:r>
            <w:r w:rsidR="00AA3B3C" w:rsidRPr="00AA3B3C">
              <w:t>202</w:t>
            </w:r>
            <w:r>
              <w:t>1</w:t>
            </w:r>
            <w:r w:rsidR="00AA3B3C" w:rsidRPr="00AA3B3C">
              <w:t xml:space="preserve"> Heavy </w:t>
            </w:r>
            <w:r>
              <w:t>Winter</w:t>
            </w:r>
          </w:p>
        </w:tc>
      </w:tr>
    </w:tbl>
    <w:p w:rsidR="004409C1" w:rsidRDefault="004409C1" w:rsidP="004409C1">
      <w:pPr>
        <w:jc w:val="both"/>
        <w:rPr>
          <w:sz w:val="24"/>
          <w:szCs w:val="24"/>
        </w:rPr>
      </w:pPr>
    </w:p>
    <w:p w:rsidR="007E5D2A" w:rsidRDefault="00133059" w:rsidP="007E5D2A">
      <w:pPr>
        <w:numPr>
          <w:ilvl w:val="0"/>
          <w:numId w:val="18"/>
        </w:numPr>
        <w:tabs>
          <w:tab w:val="clear" w:pos="720"/>
        </w:tabs>
        <w:ind w:left="360"/>
        <w:jc w:val="both"/>
        <w:rPr>
          <w:b/>
          <w:sz w:val="24"/>
          <w:szCs w:val="24"/>
        </w:rPr>
      </w:pPr>
      <w:r>
        <w:rPr>
          <w:b/>
          <w:sz w:val="24"/>
          <w:szCs w:val="24"/>
        </w:rPr>
        <w:t>Sensitivity Analysis</w:t>
      </w:r>
    </w:p>
    <w:p w:rsidR="00133059" w:rsidRDefault="00133059" w:rsidP="00133059">
      <w:pPr>
        <w:jc w:val="both"/>
        <w:rPr>
          <w:sz w:val="24"/>
          <w:szCs w:val="24"/>
        </w:rPr>
      </w:pPr>
      <w:r>
        <w:rPr>
          <w:sz w:val="24"/>
          <w:szCs w:val="24"/>
        </w:rPr>
        <w:t>Sensitivity scenarios will be utilized to demonstrate the impact of change to the basic assumptions used in the model per NERC TPL-004-1 Standard, Requirement 2.1.4. These include:</w:t>
      </w:r>
    </w:p>
    <w:p w:rsidR="00B40EBB" w:rsidRDefault="00B40EBB" w:rsidP="00133059">
      <w:pPr>
        <w:jc w:val="both"/>
        <w:rPr>
          <w:sz w:val="24"/>
          <w:szCs w:val="24"/>
        </w:rPr>
      </w:pPr>
    </w:p>
    <w:p w:rsidR="00133059" w:rsidRDefault="00133059" w:rsidP="00133059">
      <w:pPr>
        <w:pStyle w:val="ListParagraph"/>
        <w:numPr>
          <w:ilvl w:val="0"/>
          <w:numId w:val="21"/>
        </w:numPr>
        <w:jc w:val="both"/>
        <w:rPr>
          <w:sz w:val="24"/>
          <w:szCs w:val="24"/>
        </w:rPr>
      </w:pPr>
      <w:r>
        <w:rPr>
          <w:sz w:val="24"/>
          <w:szCs w:val="24"/>
        </w:rPr>
        <w:t>Rapid City DC Tie</w:t>
      </w:r>
    </w:p>
    <w:p w:rsidR="00133059" w:rsidRDefault="00133059" w:rsidP="00133059">
      <w:pPr>
        <w:pStyle w:val="ListParagraph"/>
        <w:numPr>
          <w:ilvl w:val="0"/>
          <w:numId w:val="21"/>
        </w:numPr>
        <w:jc w:val="both"/>
        <w:rPr>
          <w:sz w:val="24"/>
          <w:szCs w:val="24"/>
        </w:rPr>
      </w:pPr>
      <w:r>
        <w:rPr>
          <w:sz w:val="24"/>
          <w:szCs w:val="24"/>
        </w:rPr>
        <w:lastRenderedPageBreak/>
        <w:t>Planned Transmission Upgrade Projects – Delayed</w:t>
      </w:r>
    </w:p>
    <w:p w:rsidR="00864FEE" w:rsidRPr="00806B98" w:rsidRDefault="00806B98" w:rsidP="00133059">
      <w:pPr>
        <w:pStyle w:val="ListParagraph"/>
        <w:numPr>
          <w:ilvl w:val="0"/>
          <w:numId w:val="21"/>
        </w:numPr>
        <w:jc w:val="both"/>
        <w:rPr>
          <w:sz w:val="24"/>
          <w:szCs w:val="24"/>
        </w:rPr>
      </w:pPr>
      <w:r>
        <w:rPr>
          <w:sz w:val="24"/>
          <w:szCs w:val="24"/>
        </w:rPr>
        <w:t xml:space="preserve">Wide-Area </w:t>
      </w:r>
      <w:r w:rsidR="00864FEE" w:rsidRPr="00806B98">
        <w:rPr>
          <w:sz w:val="24"/>
          <w:szCs w:val="24"/>
        </w:rPr>
        <w:t>System Load Deviation</w:t>
      </w:r>
    </w:p>
    <w:p w:rsidR="00133059" w:rsidRDefault="00133059" w:rsidP="00133059">
      <w:pPr>
        <w:pStyle w:val="ListParagraph"/>
        <w:jc w:val="both"/>
        <w:rPr>
          <w:sz w:val="24"/>
          <w:szCs w:val="24"/>
        </w:rPr>
      </w:pPr>
    </w:p>
    <w:p w:rsidR="00133059" w:rsidRPr="00133059" w:rsidRDefault="00133059" w:rsidP="00133059">
      <w:pPr>
        <w:jc w:val="both"/>
        <w:rPr>
          <w:sz w:val="24"/>
          <w:szCs w:val="24"/>
        </w:rPr>
      </w:pPr>
      <w:r w:rsidRPr="00133059">
        <w:rPr>
          <w:sz w:val="24"/>
          <w:szCs w:val="24"/>
        </w:rPr>
        <w:t>Additional sensitivity scenarios may be created for any of the base case scenarios in Table 1 as deemed appropriate by the TCPC based on stakeholder input.</w:t>
      </w:r>
    </w:p>
    <w:p w:rsidR="00133059" w:rsidRDefault="00133059" w:rsidP="00133059">
      <w:pPr>
        <w:jc w:val="both"/>
        <w:rPr>
          <w:b/>
          <w:sz w:val="24"/>
          <w:szCs w:val="24"/>
        </w:rPr>
      </w:pPr>
    </w:p>
    <w:p w:rsidR="00133059" w:rsidRDefault="00133059" w:rsidP="007E5D2A">
      <w:pPr>
        <w:numPr>
          <w:ilvl w:val="0"/>
          <w:numId w:val="18"/>
        </w:numPr>
        <w:tabs>
          <w:tab w:val="clear" w:pos="720"/>
        </w:tabs>
        <w:ind w:left="360"/>
        <w:jc w:val="both"/>
        <w:rPr>
          <w:b/>
          <w:sz w:val="24"/>
          <w:szCs w:val="24"/>
        </w:rPr>
      </w:pPr>
      <w:r>
        <w:rPr>
          <w:b/>
          <w:sz w:val="24"/>
          <w:szCs w:val="24"/>
        </w:rPr>
        <w:t>Power Flow Simulations</w:t>
      </w:r>
    </w:p>
    <w:p w:rsidR="001D4F98" w:rsidRDefault="007778AB" w:rsidP="001D4F98">
      <w:pPr>
        <w:keepNext/>
        <w:keepLines/>
        <w:jc w:val="both"/>
        <w:rPr>
          <w:sz w:val="24"/>
          <w:szCs w:val="24"/>
        </w:rPr>
      </w:pPr>
      <w:r w:rsidRPr="007E5D2A">
        <w:rPr>
          <w:sz w:val="24"/>
          <w:szCs w:val="24"/>
        </w:rPr>
        <w:t>For each base case and uncertainty scenario identified above p</w:t>
      </w:r>
      <w:r w:rsidR="00916839" w:rsidRPr="007E5D2A">
        <w:rPr>
          <w:sz w:val="24"/>
          <w:szCs w:val="24"/>
        </w:rPr>
        <w:t>ower flow simulations will be run to evaluate system performance under NERC TPL</w:t>
      </w:r>
      <w:r w:rsidR="00347CFC">
        <w:rPr>
          <w:sz w:val="24"/>
          <w:szCs w:val="24"/>
        </w:rPr>
        <w:t>-001-4</w:t>
      </w:r>
      <w:r w:rsidR="00916839" w:rsidRPr="007E5D2A">
        <w:rPr>
          <w:sz w:val="24"/>
          <w:szCs w:val="24"/>
        </w:rPr>
        <w:t xml:space="preserve"> Standard Category </w:t>
      </w:r>
      <w:r w:rsidR="001D25D8">
        <w:rPr>
          <w:sz w:val="24"/>
          <w:szCs w:val="24"/>
        </w:rPr>
        <w:t>P</w:t>
      </w:r>
      <w:r w:rsidR="00510F43">
        <w:rPr>
          <w:sz w:val="24"/>
          <w:szCs w:val="24"/>
        </w:rPr>
        <w:t>0</w:t>
      </w:r>
      <w:r w:rsidR="001D25D8">
        <w:rPr>
          <w:sz w:val="24"/>
          <w:szCs w:val="24"/>
        </w:rPr>
        <w:t>-P</w:t>
      </w:r>
      <w:r w:rsidR="00510F43">
        <w:rPr>
          <w:sz w:val="24"/>
          <w:szCs w:val="24"/>
        </w:rPr>
        <w:t>7</w:t>
      </w:r>
      <w:r w:rsidR="00133059">
        <w:rPr>
          <w:sz w:val="24"/>
          <w:szCs w:val="24"/>
        </w:rPr>
        <w:t xml:space="preserve"> events</w:t>
      </w:r>
      <w:r w:rsidR="00916839" w:rsidRPr="007E5D2A">
        <w:rPr>
          <w:sz w:val="24"/>
          <w:szCs w:val="24"/>
        </w:rPr>
        <w:t>.</w:t>
      </w:r>
      <w:r w:rsidR="001D4F98">
        <w:rPr>
          <w:sz w:val="24"/>
          <w:szCs w:val="24"/>
        </w:rPr>
        <w:t xml:space="preserve">  Rapid City and Wyodak area gas-fired generation will be dispatched as needed to mitigate performance criteria violations.  Current operating procedures and remedial action schemes will be employed unless certain circumstances require otherwise.</w:t>
      </w:r>
    </w:p>
    <w:p w:rsidR="001D4F98" w:rsidRDefault="001D4F98" w:rsidP="001D4F98">
      <w:pPr>
        <w:keepNext/>
        <w:keepLines/>
        <w:jc w:val="both"/>
        <w:rPr>
          <w:sz w:val="24"/>
          <w:szCs w:val="24"/>
        </w:rPr>
      </w:pPr>
    </w:p>
    <w:p w:rsidR="00813CC2" w:rsidRDefault="001D4F98" w:rsidP="004409C1">
      <w:pPr>
        <w:jc w:val="both"/>
        <w:rPr>
          <w:sz w:val="24"/>
          <w:szCs w:val="24"/>
        </w:rPr>
      </w:pPr>
      <w:r>
        <w:rPr>
          <w:sz w:val="24"/>
          <w:szCs w:val="24"/>
        </w:rPr>
        <w:t xml:space="preserve">The study will monitor the performance of the CUS and surrounding transmission system in the Western Interconnection bounded by the Yellowtail, Casper, Difficulty, LRS and Sidney 230 kV substations. </w:t>
      </w:r>
      <w:r w:rsidR="0073272F">
        <w:rPr>
          <w:sz w:val="24"/>
          <w:szCs w:val="24"/>
        </w:rPr>
        <w:t xml:space="preserve">Figure 1 shows the </w:t>
      </w:r>
      <w:r w:rsidR="005A029D">
        <w:rPr>
          <w:sz w:val="24"/>
          <w:szCs w:val="24"/>
        </w:rPr>
        <w:t xml:space="preserve">general location of </w:t>
      </w:r>
      <w:r>
        <w:rPr>
          <w:sz w:val="24"/>
          <w:szCs w:val="24"/>
        </w:rPr>
        <w:t>Common Use</w:t>
      </w:r>
      <w:r w:rsidR="0073272F">
        <w:rPr>
          <w:sz w:val="24"/>
          <w:szCs w:val="24"/>
        </w:rPr>
        <w:t xml:space="preserve"> transmission system</w:t>
      </w:r>
      <w:r>
        <w:rPr>
          <w:sz w:val="24"/>
          <w:szCs w:val="24"/>
        </w:rPr>
        <w:t>.</w:t>
      </w:r>
    </w:p>
    <w:p w:rsidR="006D0B21" w:rsidRDefault="006D0B21" w:rsidP="004409C1">
      <w:pPr>
        <w:jc w:val="both"/>
        <w:rPr>
          <w:sz w:val="24"/>
          <w:szCs w:val="24"/>
        </w:rPr>
      </w:pPr>
    </w:p>
    <w:p w:rsidR="0073272F" w:rsidRDefault="0073272F" w:rsidP="004409C1">
      <w:pPr>
        <w:jc w:val="both"/>
        <w:rPr>
          <w:sz w:val="24"/>
          <w:szCs w:val="24"/>
        </w:rPr>
      </w:pPr>
    </w:p>
    <w:p w:rsidR="0073272F" w:rsidRDefault="00055C8F" w:rsidP="004409C1">
      <w:pPr>
        <w:jc w:val="both"/>
        <w:rPr>
          <w:sz w:val="24"/>
          <w:szCs w:val="24"/>
        </w:rPr>
      </w:pPr>
      <w:r>
        <w:rPr>
          <w:noProof/>
          <w:sz w:val="24"/>
          <w:szCs w:val="24"/>
        </w:rPr>
        <w:drawing>
          <wp:inline distT="0" distB="0" distL="0" distR="0" wp14:anchorId="0F013AE8">
            <wp:extent cx="6233795" cy="3882899"/>
            <wp:effectExtent l="0" t="0" r="0" b="381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6194" cy="3884393"/>
                    </a:xfrm>
                    <a:prstGeom prst="rect">
                      <a:avLst/>
                    </a:prstGeom>
                    <a:noFill/>
                  </pic:spPr>
                </pic:pic>
              </a:graphicData>
            </a:graphic>
          </wp:inline>
        </w:drawing>
      </w:r>
    </w:p>
    <w:p w:rsidR="000A1E1D" w:rsidRPr="0073272F" w:rsidRDefault="00F36C56" w:rsidP="0073272F">
      <w:pPr>
        <w:ind w:left="450"/>
        <w:jc w:val="center"/>
        <w:rPr>
          <w:b/>
          <w:sz w:val="24"/>
          <w:szCs w:val="24"/>
        </w:rPr>
      </w:pPr>
      <w:r>
        <w:rPr>
          <w:b/>
          <w:sz w:val="24"/>
          <w:szCs w:val="24"/>
        </w:rPr>
        <w:t>Figure 1: BHBE Common Use</w:t>
      </w:r>
      <w:r w:rsidR="0073272F" w:rsidRPr="0073272F">
        <w:rPr>
          <w:b/>
          <w:sz w:val="24"/>
          <w:szCs w:val="24"/>
        </w:rPr>
        <w:t xml:space="preserve"> Transmission System </w:t>
      </w:r>
    </w:p>
    <w:p w:rsidR="003F5B9A" w:rsidRDefault="003F5B9A" w:rsidP="0073272F">
      <w:pPr>
        <w:jc w:val="both"/>
        <w:rPr>
          <w:b/>
          <w:sz w:val="24"/>
          <w:szCs w:val="24"/>
        </w:rPr>
      </w:pPr>
    </w:p>
    <w:p w:rsidR="00265613" w:rsidRPr="005A029D" w:rsidRDefault="00265613" w:rsidP="005A029D">
      <w:pPr>
        <w:numPr>
          <w:ilvl w:val="0"/>
          <w:numId w:val="18"/>
        </w:numPr>
        <w:tabs>
          <w:tab w:val="clear" w:pos="720"/>
        </w:tabs>
        <w:ind w:left="360"/>
        <w:jc w:val="both"/>
        <w:rPr>
          <w:b/>
          <w:sz w:val="24"/>
          <w:szCs w:val="24"/>
        </w:rPr>
      </w:pPr>
      <w:r w:rsidRPr="00733205">
        <w:rPr>
          <w:b/>
          <w:sz w:val="24"/>
          <w:szCs w:val="24"/>
        </w:rPr>
        <w:t>Dynamic Simulations</w:t>
      </w:r>
    </w:p>
    <w:p w:rsidR="00D86FAA" w:rsidRDefault="00D86FAA" w:rsidP="00D86FAA">
      <w:pPr>
        <w:jc w:val="both"/>
        <w:rPr>
          <w:sz w:val="24"/>
          <w:szCs w:val="24"/>
        </w:rPr>
      </w:pPr>
      <w:r w:rsidRPr="00E06B0D">
        <w:rPr>
          <w:sz w:val="24"/>
          <w:szCs w:val="24"/>
        </w:rPr>
        <w:t>Dynamic</w:t>
      </w:r>
      <w:r>
        <w:rPr>
          <w:sz w:val="24"/>
          <w:szCs w:val="24"/>
        </w:rPr>
        <w:t xml:space="preserve"> or transient stability simulations will be performed</w:t>
      </w:r>
      <w:r w:rsidRPr="00E06B0D">
        <w:rPr>
          <w:sz w:val="24"/>
          <w:szCs w:val="24"/>
        </w:rPr>
        <w:t xml:space="preserve"> </w:t>
      </w:r>
      <w:r>
        <w:rPr>
          <w:sz w:val="24"/>
          <w:szCs w:val="24"/>
        </w:rPr>
        <w:t>on 2018HS and 2018LW base case scenarios to evaluate system response</w:t>
      </w:r>
      <w:r w:rsidRPr="00E06B0D">
        <w:rPr>
          <w:sz w:val="24"/>
          <w:szCs w:val="24"/>
        </w:rPr>
        <w:t xml:space="preserve"> under NERC TPL</w:t>
      </w:r>
      <w:r>
        <w:rPr>
          <w:sz w:val="24"/>
          <w:szCs w:val="24"/>
        </w:rPr>
        <w:t xml:space="preserve">-004-1 </w:t>
      </w:r>
      <w:r w:rsidRPr="00E06B0D">
        <w:rPr>
          <w:sz w:val="24"/>
          <w:szCs w:val="24"/>
        </w:rPr>
        <w:t xml:space="preserve">Standard Category </w:t>
      </w:r>
      <w:r>
        <w:rPr>
          <w:sz w:val="24"/>
          <w:szCs w:val="24"/>
        </w:rPr>
        <w:t xml:space="preserve">P0 – P7 </w:t>
      </w:r>
      <w:r w:rsidRPr="00E06B0D">
        <w:rPr>
          <w:sz w:val="24"/>
          <w:szCs w:val="24"/>
        </w:rPr>
        <w:t>based upon the results of the power flow simulations.</w:t>
      </w:r>
      <w:r>
        <w:rPr>
          <w:sz w:val="24"/>
          <w:szCs w:val="24"/>
        </w:rPr>
        <w:t xml:space="preserve">  Dynamic simulations may be performed on the 2021HW and 2026HS scenario as dictated by the results of the 2018 analyses.</w:t>
      </w:r>
      <w:bookmarkStart w:id="0" w:name="_GoBack"/>
      <w:bookmarkEnd w:id="0"/>
    </w:p>
    <w:p w:rsidR="00E84C4D" w:rsidRDefault="00E84C4D" w:rsidP="004409C1">
      <w:pPr>
        <w:jc w:val="both"/>
        <w:rPr>
          <w:sz w:val="24"/>
          <w:szCs w:val="24"/>
        </w:rPr>
      </w:pPr>
    </w:p>
    <w:p w:rsidR="005A029D" w:rsidRPr="00E06B0D" w:rsidRDefault="005A029D" w:rsidP="004409C1">
      <w:pPr>
        <w:jc w:val="both"/>
        <w:rPr>
          <w:sz w:val="24"/>
          <w:szCs w:val="24"/>
        </w:rPr>
      </w:pPr>
    </w:p>
    <w:p w:rsidR="005A029D" w:rsidRDefault="001A1D66" w:rsidP="005A029D">
      <w:pPr>
        <w:numPr>
          <w:ilvl w:val="0"/>
          <w:numId w:val="18"/>
        </w:numPr>
        <w:tabs>
          <w:tab w:val="clear" w:pos="720"/>
        </w:tabs>
        <w:ind w:left="360"/>
        <w:jc w:val="both"/>
        <w:rPr>
          <w:b/>
          <w:sz w:val="24"/>
          <w:szCs w:val="24"/>
        </w:rPr>
      </w:pPr>
      <w:r>
        <w:rPr>
          <w:b/>
          <w:sz w:val="24"/>
          <w:szCs w:val="24"/>
        </w:rPr>
        <w:t>Short Circuit Analysis</w:t>
      </w:r>
    </w:p>
    <w:p w:rsidR="001A1D66" w:rsidRPr="001A1D66" w:rsidRDefault="001A1D66" w:rsidP="001A1D66">
      <w:pPr>
        <w:autoSpaceDE w:val="0"/>
        <w:autoSpaceDN w:val="0"/>
        <w:adjustRightInd w:val="0"/>
        <w:jc w:val="both"/>
        <w:rPr>
          <w:sz w:val="24"/>
          <w:szCs w:val="24"/>
        </w:rPr>
      </w:pPr>
      <w:r w:rsidRPr="00806B98">
        <w:rPr>
          <w:sz w:val="24"/>
          <w:szCs w:val="24"/>
        </w:rPr>
        <w:t xml:space="preserve">Short circuit simulations </w:t>
      </w:r>
      <w:r w:rsidR="008141D8" w:rsidRPr="00806B98">
        <w:rPr>
          <w:sz w:val="24"/>
          <w:szCs w:val="24"/>
        </w:rPr>
        <w:t>were</w:t>
      </w:r>
      <w:r w:rsidRPr="00806B98">
        <w:rPr>
          <w:sz w:val="24"/>
          <w:szCs w:val="24"/>
        </w:rPr>
        <w:t xml:space="preserve"> performed </w:t>
      </w:r>
      <w:r w:rsidR="008141D8" w:rsidRPr="00806B98">
        <w:rPr>
          <w:sz w:val="24"/>
          <w:szCs w:val="24"/>
        </w:rPr>
        <w:t>in the 2015 TCPC study. The analysis was based on a 2015 CCPG ASPEN</w:t>
      </w:r>
      <w:r w:rsidR="00324B24" w:rsidRPr="00806B98">
        <w:rPr>
          <w:sz w:val="24"/>
          <w:szCs w:val="24"/>
        </w:rPr>
        <w:t xml:space="preserve"> Model and modified to reflect</w:t>
      </w:r>
      <w:r w:rsidR="008141D8" w:rsidRPr="00806B98">
        <w:rPr>
          <w:sz w:val="24"/>
          <w:szCs w:val="24"/>
        </w:rPr>
        <w:t xml:space="preserve"> 2017 and</w:t>
      </w:r>
      <w:r w:rsidRPr="00806B98">
        <w:rPr>
          <w:sz w:val="24"/>
          <w:szCs w:val="24"/>
        </w:rPr>
        <w:t xml:space="preserve"> 2020 scenario</w:t>
      </w:r>
      <w:r w:rsidR="00324B24" w:rsidRPr="00806B98">
        <w:rPr>
          <w:sz w:val="24"/>
          <w:szCs w:val="24"/>
        </w:rPr>
        <w:t>s</w:t>
      </w:r>
      <w:r w:rsidR="008141D8" w:rsidRPr="00806B98">
        <w:rPr>
          <w:sz w:val="24"/>
          <w:szCs w:val="24"/>
        </w:rPr>
        <w:t>.</w:t>
      </w:r>
      <w:r w:rsidRPr="00806B98">
        <w:rPr>
          <w:sz w:val="24"/>
          <w:szCs w:val="24"/>
        </w:rPr>
        <w:t xml:space="preserve"> </w:t>
      </w:r>
      <w:r w:rsidR="00324B24" w:rsidRPr="00806B98">
        <w:rPr>
          <w:sz w:val="24"/>
          <w:szCs w:val="24"/>
        </w:rPr>
        <w:t>The 2020 scenario included the addition of the 230-69kV transformer at Yellow Creek. There are no appreciable transmission changes planned to justify a short circuit study in the 2016 study cycle. It is recommended that short circuit studies be completed as part of individual studies being performed to investigate solutions to issues reported in the 2015 LTP report.</w:t>
      </w:r>
      <w:r w:rsidR="00324B24">
        <w:rPr>
          <w:sz w:val="24"/>
          <w:szCs w:val="24"/>
        </w:rPr>
        <w:t xml:space="preserve"> </w:t>
      </w:r>
    </w:p>
    <w:p w:rsidR="001A1D66" w:rsidRDefault="001A1D66" w:rsidP="001A1D66">
      <w:pPr>
        <w:ind w:left="360"/>
        <w:jc w:val="both"/>
        <w:rPr>
          <w:b/>
          <w:sz w:val="24"/>
          <w:szCs w:val="24"/>
        </w:rPr>
      </w:pPr>
    </w:p>
    <w:p w:rsidR="001A1D66" w:rsidRPr="005A029D" w:rsidRDefault="001A1D66" w:rsidP="005A029D">
      <w:pPr>
        <w:numPr>
          <w:ilvl w:val="0"/>
          <w:numId w:val="18"/>
        </w:numPr>
        <w:tabs>
          <w:tab w:val="clear" w:pos="720"/>
        </w:tabs>
        <w:ind w:left="360"/>
        <w:jc w:val="both"/>
        <w:rPr>
          <w:b/>
          <w:sz w:val="24"/>
          <w:szCs w:val="24"/>
        </w:rPr>
      </w:pPr>
      <w:r>
        <w:rPr>
          <w:b/>
          <w:sz w:val="24"/>
          <w:szCs w:val="24"/>
        </w:rPr>
        <w:t>Additional Analyses or Project Alternatives</w:t>
      </w:r>
    </w:p>
    <w:p w:rsidR="003E428A" w:rsidRDefault="005A029D" w:rsidP="005A029D">
      <w:pPr>
        <w:jc w:val="both"/>
        <w:rPr>
          <w:sz w:val="24"/>
          <w:szCs w:val="24"/>
        </w:rPr>
      </w:pPr>
      <w:r>
        <w:rPr>
          <w:sz w:val="24"/>
          <w:szCs w:val="24"/>
        </w:rPr>
        <w:t>Analyses in addition to those mentioned within this study scope may be performed as necessary to address reliability requirements or meet other needs as deemed necessary by the TCPC. Requests for additional studies or scenarios, as well as suggestions for project alternatives</w:t>
      </w:r>
      <w:r w:rsidR="003E428A">
        <w:rPr>
          <w:sz w:val="24"/>
          <w:szCs w:val="24"/>
        </w:rPr>
        <w:t>,</w:t>
      </w:r>
      <w:r>
        <w:rPr>
          <w:sz w:val="24"/>
          <w:szCs w:val="24"/>
        </w:rPr>
        <w:t xml:space="preserve"> should be submitted to </w:t>
      </w:r>
      <w:r w:rsidR="003E428A">
        <w:rPr>
          <w:sz w:val="24"/>
          <w:szCs w:val="24"/>
        </w:rPr>
        <w:t xml:space="preserve">the Colorado Coordinated Planning Group using the official form provided at </w:t>
      </w:r>
      <w:hyperlink r:id="rId9" w:history="1">
        <w:r w:rsidR="003E428A" w:rsidRPr="00D637D1">
          <w:rPr>
            <w:rStyle w:val="Hyperlink"/>
            <w:sz w:val="24"/>
            <w:szCs w:val="24"/>
          </w:rPr>
          <w:t>http://www.westconnect.com/filestorage/ccpg_request_form.xls</w:t>
        </w:r>
      </w:hyperlink>
      <w:r w:rsidR="003E428A">
        <w:rPr>
          <w:sz w:val="24"/>
          <w:szCs w:val="24"/>
        </w:rPr>
        <w:t xml:space="preserve">. The request will be evaluated by the CCPG and directed to the appropriate group for consideration. </w:t>
      </w:r>
    </w:p>
    <w:p w:rsidR="003E428A" w:rsidRDefault="003E428A" w:rsidP="005A029D">
      <w:pPr>
        <w:jc w:val="both"/>
        <w:rPr>
          <w:sz w:val="24"/>
          <w:szCs w:val="24"/>
        </w:rPr>
      </w:pPr>
    </w:p>
    <w:p w:rsidR="003E428A" w:rsidRDefault="003E428A" w:rsidP="005A029D">
      <w:pPr>
        <w:jc w:val="both"/>
        <w:rPr>
          <w:sz w:val="24"/>
          <w:szCs w:val="24"/>
        </w:rPr>
      </w:pPr>
      <w:r>
        <w:rPr>
          <w:sz w:val="24"/>
          <w:szCs w:val="24"/>
        </w:rPr>
        <w:t>For questions regarding this study scope or the study process, please contact me:</w:t>
      </w:r>
    </w:p>
    <w:p w:rsidR="003E428A" w:rsidRDefault="003E428A" w:rsidP="005A029D">
      <w:pPr>
        <w:jc w:val="both"/>
        <w:rPr>
          <w:sz w:val="24"/>
          <w:szCs w:val="24"/>
        </w:rPr>
      </w:pPr>
    </w:p>
    <w:p w:rsidR="003E428A" w:rsidRPr="003E428A" w:rsidRDefault="003E428A" w:rsidP="003E428A">
      <w:pPr>
        <w:jc w:val="both"/>
        <w:rPr>
          <w:sz w:val="24"/>
          <w:szCs w:val="24"/>
        </w:rPr>
      </w:pPr>
      <w:r w:rsidRPr="003E428A">
        <w:rPr>
          <w:sz w:val="24"/>
          <w:szCs w:val="24"/>
        </w:rPr>
        <w:t>Wes Wingen, PE</w:t>
      </w:r>
    </w:p>
    <w:p w:rsidR="003E428A" w:rsidRPr="003E428A" w:rsidRDefault="003E428A" w:rsidP="003E428A">
      <w:pPr>
        <w:jc w:val="both"/>
        <w:rPr>
          <w:sz w:val="24"/>
          <w:szCs w:val="24"/>
        </w:rPr>
      </w:pPr>
      <w:r w:rsidRPr="003E428A">
        <w:rPr>
          <w:sz w:val="24"/>
          <w:szCs w:val="24"/>
        </w:rPr>
        <w:t>Manager of Transmission Planning</w:t>
      </w:r>
    </w:p>
    <w:p w:rsidR="003E428A" w:rsidRPr="003E428A" w:rsidRDefault="00D86FAA" w:rsidP="003E428A">
      <w:pPr>
        <w:jc w:val="both"/>
        <w:rPr>
          <w:sz w:val="24"/>
          <w:szCs w:val="24"/>
        </w:rPr>
      </w:pPr>
      <w:hyperlink r:id="rId10" w:history="1">
        <w:r w:rsidR="003E428A" w:rsidRPr="003E428A">
          <w:rPr>
            <w:rStyle w:val="Hyperlink"/>
            <w:sz w:val="24"/>
            <w:szCs w:val="24"/>
          </w:rPr>
          <w:t>wes.wingen@blackhillscorp.com</w:t>
        </w:r>
      </w:hyperlink>
    </w:p>
    <w:p w:rsidR="00D51CA3" w:rsidRPr="00265613" w:rsidRDefault="003E428A" w:rsidP="003E428A">
      <w:pPr>
        <w:jc w:val="both"/>
        <w:rPr>
          <w:sz w:val="24"/>
          <w:szCs w:val="24"/>
        </w:rPr>
      </w:pPr>
      <w:r w:rsidRPr="003E428A">
        <w:rPr>
          <w:sz w:val="24"/>
          <w:szCs w:val="24"/>
        </w:rPr>
        <w:t>(605) 721-2268</w:t>
      </w:r>
    </w:p>
    <w:sectPr w:rsidR="00D51CA3" w:rsidRPr="00265613" w:rsidSect="00215FD2">
      <w:footerReference w:type="even" r:id="rId11"/>
      <w:footerReference w:type="default" r:id="rId12"/>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A57" w:rsidRDefault="00667A57">
      <w:r>
        <w:separator/>
      </w:r>
    </w:p>
  </w:endnote>
  <w:endnote w:type="continuationSeparator" w:id="0">
    <w:p w:rsidR="00667A57" w:rsidRDefault="00667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B9A" w:rsidRDefault="003F5B9A" w:rsidP="00215F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5B9A" w:rsidRDefault="003F5B9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B9A" w:rsidRDefault="003F5B9A" w:rsidP="00215F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6FAA">
      <w:rPr>
        <w:rStyle w:val="PageNumber"/>
        <w:noProof/>
      </w:rPr>
      <w:t>2</w:t>
    </w:r>
    <w:r>
      <w:rPr>
        <w:rStyle w:val="PageNumber"/>
      </w:rPr>
      <w:fldChar w:fldCharType="end"/>
    </w:r>
  </w:p>
  <w:p w:rsidR="003F5B9A" w:rsidRDefault="003F5B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A57" w:rsidRDefault="00667A57">
      <w:r>
        <w:separator/>
      </w:r>
    </w:p>
  </w:footnote>
  <w:footnote w:type="continuationSeparator" w:id="0">
    <w:p w:rsidR="00667A57" w:rsidRDefault="00667A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A7F5F"/>
    <w:multiLevelType w:val="hybridMultilevel"/>
    <w:tmpl w:val="845E9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C09D5"/>
    <w:multiLevelType w:val="hybridMultilevel"/>
    <w:tmpl w:val="CAC0BB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AE06C8"/>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3" w15:restartNumberingAfterBreak="0">
    <w:nsid w:val="0EDE0944"/>
    <w:multiLevelType w:val="multilevel"/>
    <w:tmpl w:val="63AC2C4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74912DE"/>
    <w:multiLevelType w:val="hybridMultilevel"/>
    <w:tmpl w:val="35FEDC84"/>
    <w:lvl w:ilvl="0" w:tplc="545CD5F2">
      <w:start w:val="1"/>
      <w:numFmt w:val="decimal"/>
      <w:lvlText w:val="%1."/>
      <w:lvlJc w:val="left"/>
      <w:pPr>
        <w:tabs>
          <w:tab w:val="num" w:pos="810"/>
        </w:tabs>
        <w:ind w:left="81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BE5110"/>
    <w:multiLevelType w:val="hybridMultilevel"/>
    <w:tmpl w:val="D41CC73A"/>
    <w:lvl w:ilvl="0" w:tplc="D40699D2">
      <w:start w:val="1"/>
      <w:numFmt w:val="decimal"/>
      <w:lvlText w:val="%1."/>
      <w:lvlJc w:val="left"/>
      <w:pPr>
        <w:tabs>
          <w:tab w:val="num" w:pos="720"/>
        </w:tabs>
        <w:ind w:left="720" w:hanging="720"/>
      </w:pPr>
      <w:rPr>
        <w:rFonts w:hint="default"/>
      </w:rPr>
    </w:lvl>
    <w:lvl w:ilvl="1" w:tplc="974261C8" w:tentative="1">
      <w:start w:val="1"/>
      <w:numFmt w:val="lowerLetter"/>
      <w:lvlText w:val="%2."/>
      <w:lvlJc w:val="left"/>
      <w:pPr>
        <w:tabs>
          <w:tab w:val="num" w:pos="1080"/>
        </w:tabs>
        <w:ind w:left="1080" w:hanging="360"/>
      </w:pPr>
    </w:lvl>
    <w:lvl w:ilvl="2" w:tplc="CA526720" w:tentative="1">
      <w:start w:val="1"/>
      <w:numFmt w:val="lowerRoman"/>
      <w:lvlText w:val="%3."/>
      <w:lvlJc w:val="right"/>
      <w:pPr>
        <w:tabs>
          <w:tab w:val="num" w:pos="1800"/>
        </w:tabs>
        <w:ind w:left="1800" w:hanging="180"/>
      </w:pPr>
    </w:lvl>
    <w:lvl w:ilvl="3" w:tplc="96689A84" w:tentative="1">
      <w:start w:val="1"/>
      <w:numFmt w:val="decimal"/>
      <w:lvlText w:val="%4."/>
      <w:lvlJc w:val="left"/>
      <w:pPr>
        <w:tabs>
          <w:tab w:val="num" w:pos="2520"/>
        </w:tabs>
        <w:ind w:left="2520" w:hanging="360"/>
      </w:pPr>
    </w:lvl>
    <w:lvl w:ilvl="4" w:tplc="28BE6462" w:tentative="1">
      <w:start w:val="1"/>
      <w:numFmt w:val="lowerLetter"/>
      <w:lvlText w:val="%5."/>
      <w:lvlJc w:val="left"/>
      <w:pPr>
        <w:tabs>
          <w:tab w:val="num" w:pos="3240"/>
        </w:tabs>
        <w:ind w:left="3240" w:hanging="360"/>
      </w:pPr>
    </w:lvl>
    <w:lvl w:ilvl="5" w:tplc="6B644F20" w:tentative="1">
      <w:start w:val="1"/>
      <w:numFmt w:val="lowerRoman"/>
      <w:lvlText w:val="%6."/>
      <w:lvlJc w:val="right"/>
      <w:pPr>
        <w:tabs>
          <w:tab w:val="num" w:pos="3960"/>
        </w:tabs>
        <w:ind w:left="3960" w:hanging="180"/>
      </w:pPr>
    </w:lvl>
    <w:lvl w:ilvl="6" w:tplc="DC984B96" w:tentative="1">
      <w:start w:val="1"/>
      <w:numFmt w:val="decimal"/>
      <w:lvlText w:val="%7."/>
      <w:lvlJc w:val="left"/>
      <w:pPr>
        <w:tabs>
          <w:tab w:val="num" w:pos="4680"/>
        </w:tabs>
        <w:ind w:left="4680" w:hanging="360"/>
      </w:pPr>
    </w:lvl>
    <w:lvl w:ilvl="7" w:tplc="3E1643CC" w:tentative="1">
      <w:start w:val="1"/>
      <w:numFmt w:val="lowerLetter"/>
      <w:lvlText w:val="%8."/>
      <w:lvlJc w:val="left"/>
      <w:pPr>
        <w:tabs>
          <w:tab w:val="num" w:pos="5400"/>
        </w:tabs>
        <w:ind w:left="5400" w:hanging="360"/>
      </w:pPr>
    </w:lvl>
    <w:lvl w:ilvl="8" w:tplc="7ADE22A6" w:tentative="1">
      <w:start w:val="1"/>
      <w:numFmt w:val="lowerRoman"/>
      <w:lvlText w:val="%9."/>
      <w:lvlJc w:val="right"/>
      <w:pPr>
        <w:tabs>
          <w:tab w:val="num" w:pos="6120"/>
        </w:tabs>
        <w:ind w:left="6120" w:hanging="180"/>
      </w:pPr>
    </w:lvl>
  </w:abstractNum>
  <w:abstractNum w:abstractNumId="6" w15:restartNumberingAfterBreak="0">
    <w:nsid w:val="1D991F59"/>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2470268E"/>
    <w:multiLevelType w:val="hybridMultilevel"/>
    <w:tmpl w:val="38D0E95A"/>
    <w:lvl w:ilvl="0" w:tplc="B50E698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730D66"/>
    <w:multiLevelType w:val="multilevel"/>
    <w:tmpl w:val="0CF8C05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15:restartNumberingAfterBreak="0">
    <w:nsid w:val="288372C2"/>
    <w:multiLevelType w:val="hybridMultilevel"/>
    <w:tmpl w:val="D99848A8"/>
    <w:lvl w:ilvl="0" w:tplc="14682EAC">
      <w:start w:val="1"/>
      <w:numFmt w:val="decimal"/>
      <w:lvlText w:val="%1."/>
      <w:lvlJc w:val="left"/>
      <w:pPr>
        <w:tabs>
          <w:tab w:val="num" w:pos="720"/>
        </w:tabs>
        <w:ind w:left="720" w:hanging="720"/>
      </w:pPr>
      <w:rPr>
        <w:rFonts w:hint="default"/>
      </w:rPr>
    </w:lvl>
    <w:lvl w:ilvl="1" w:tplc="D430C850" w:tentative="1">
      <w:start w:val="1"/>
      <w:numFmt w:val="lowerLetter"/>
      <w:lvlText w:val="%2."/>
      <w:lvlJc w:val="left"/>
      <w:pPr>
        <w:tabs>
          <w:tab w:val="num" w:pos="1080"/>
        </w:tabs>
        <w:ind w:left="1080" w:hanging="360"/>
      </w:pPr>
    </w:lvl>
    <w:lvl w:ilvl="2" w:tplc="3300F238" w:tentative="1">
      <w:start w:val="1"/>
      <w:numFmt w:val="lowerRoman"/>
      <w:lvlText w:val="%3."/>
      <w:lvlJc w:val="right"/>
      <w:pPr>
        <w:tabs>
          <w:tab w:val="num" w:pos="1800"/>
        </w:tabs>
        <w:ind w:left="1800" w:hanging="180"/>
      </w:pPr>
    </w:lvl>
    <w:lvl w:ilvl="3" w:tplc="18524A9E" w:tentative="1">
      <w:start w:val="1"/>
      <w:numFmt w:val="decimal"/>
      <w:lvlText w:val="%4."/>
      <w:lvlJc w:val="left"/>
      <w:pPr>
        <w:tabs>
          <w:tab w:val="num" w:pos="2520"/>
        </w:tabs>
        <w:ind w:left="2520" w:hanging="360"/>
      </w:pPr>
    </w:lvl>
    <w:lvl w:ilvl="4" w:tplc="1FDA6700" w:tentative="1">
      <w:start w:val="1"/>
      <w:numFmt w:val="lowerLetter"/>
      <w:lvlText w:val="%5."/>
      <w:lvlJc w:val="left"/>
      <w:pPr>
        <w:tabs>
          <w:tab w:val="num" w:pos="3240"/>
        </w:tabs>
        <w:ind w:left="3240" w:hanging="360"/>
      </w:pPr>
    </w:lvl>
    <w:lvl w:ilvl="5" w:tplc="F5986ACC" w:tentative="1">
      <w:start w:val="1"/>
      <w:numFmt w:val="lowerRoman"/>
      <w:lvlText w:val="%6."/>
      <w:lvlJc w:val="right"/>
      <w:pPr>
        <w:tabs>
          <w:tab w:val="num" w:pos="3960"/>
        </w:tabs>
        <w:ind w:left="3960" w:hanging="180"/>
      </w:pPr>
    </w:lvl>
    <w:lvl w:ilvl="6" w:tplc="B63ED73A" w:tentative="1">
      <w:start w:val="1"/>
      <w:numFmt w:val="decimal"/>
      <w:lvlText w:val="%7."/>
      <w:lvlJc w:val="left"/>
      <w:pPr>
        <w:tabs>
          <w:tab w:val="num" w:pos="4680"/>
        </w:tabs>
        <w:ind w:left="4680" w:hanging="360"/>
      </w:pPr>
    </w:lvl>
    <w:lvl w:ilvl="7" w:tplc="8A7060F4" w:tentative="1">
      <w:start w:val="1"/>
      <w:numFmt w:val="lowerLetter"/>
      <w:lvlText w:val="%8."/>
      <w:lvlJc w:val="left"/>
      <w:pPr>
        <w:tabs>
          <w:tab w:val="num" w:pos="5400"/>
        </w:tabs>
        <w:ind w:left="5400" w:hanging="360"/>
      </w:pPr>
    </w:lvl>
    <w:lvl w:ilvl="8" w:tplc="D57CAF76" w:tentative="1">
      <w:start w:val="1"/>
      <w:numFmt w:val="lowerRoman"/>
      <w:lvlText w:val="%9."/>
      <w:lvlJc w:val="right"/>
      <w:pPr>
        <w:tabs>
          <w:tab w:val="num" w:pos="6120"/>
        </w:tabs>
        <w:ind w:left="6120" w:hanging="180"/>
      </w:pPr>
    </w:lvl>
  </w:abstractNum>
  <w:abstractNum w:abstractNumId="10" w15:restartNumberingAfterBreak="0">
    <w:nsid w:val="2DBD7998"/>
    <w:multiLevelType w:val="hybridMultilevel"/>
    <w:tmpl w:val="4CF4BC18"/>
    <w:lvl w:ilvl="0" w:tplc="66E863E2">
      <w:start w:val="1"/>
      <w:numFmt w:val="bullet"/>
      <w:lvlText w:val=""/>
      <w:lvlJc w:val="left"/>
      <w:pPr>
        <w:ind w:left="775" w:hanging="360"/>
      </w:pPr>
      <w:rPr>
        <w:rFonts w:ascii="Symbol" w:hAnsi="Symbol" w:hint="default"/>
        <w:color w:val="auto"/>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1" w15:restartNumberingAfterBreak="0">
    <w:nsid w:val="2DFA002A"/>
    <w:multiLevelType w:val="singleLevel"/>
    <w:tmpl w:val="FACE4A8A"/>
    <w:lvl w:ilvl="0">
      <w:start w:val="1"/>
      <w:numFmt w:val="decimal"/>
      <w:lvlText w:val="%1."/>
      <w:legacy w:legacy="1" w:legacySpace="0" w:legacyIndent="360"/>
      <w:lvlJc w:val="left"/>
      <w:pPr>
        <w:ind w:left="360" w:hanging="360"/>
      </w:pPr>
    </w:lvl>
  </w:abstractNum>
  <w:abstractNum w:abstractNumId="12" w15:restartNumberingAfterBreak="0">
    <w:nsid w:val="46A32C0C"/>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473D2845"/>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52500578"/>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5A1225AC"/>
    <w:multiLevelType w:val="hybridMultilevel"/>
    <w:tmpl w:val="F42CE3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A1236EA"/>
    <w:multiLevelType w:val="hybridMultilevel"/>
    <w:tmpl w:val="06FEA27C"/>
    <w:lvl w:ilvl="0" w:tplc="BB9CF7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2C052F"/>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8" w15:restartNumberingAfterBreak="0">
    <w:nsid w:val="6ECD7F75"/>
    <w:multiLevelType w:val="hybridMultilevel"/>
    <w:tmpl w:val="972869FA"/>
    <w:lvl w:ilvl="0" w:tplc="91782808">
      <w:start w:val="1"/>
      <w:numFmt w:val="decimal"/>
      <w:lvlText w:val="%1."/>
      <w:lvlJc w:val="left"/>
      <w:pPr>
        <w:tabs>
          <w:tab w:val="num" w:pos="720"/>
        </w:tabs>
        <w:ind w:left="720" w:hanging="720"/>
      </w:pPr>
      <w:rPr>
        <w:rFonts w:hint="default"/>
      </w:rPr>
    </w:lvl>
    <w:lvl w:ilvl="1" w:tplc="1EA4D95A" w:tentative="1">
      <w:start w:val="1"/>
      <w:numFmt w:val="lowerLetter"/>
      <w:lvlText w:val="%2."/>
      <w:lvlJc w:val="left"/>
      <w:pPr>
        <w:tabs>
          <w:tab w:val="num" w:pos="1080"/>
        </w:tabs>
        <w:ind w:left="1080" w:hanging="360"/>
      </w:pPr>
    </w:lvl>
    <w:lvl w:ilvl="2" w:tplc="DEFE77C8" w:tentative="1">
      <w:start w:val="1"/>
      <w:numFmt w:val="lowerRoman"/>
      <w:lvlText w:val="%3."/>
      <w:lvlJc w:val="right"/>
      <w:pPr>
        <w:tabs>
          <w:tab w:val="num" w:pos="1800"/>
        </w:tabs>
        <w:ind w:left="1800" w:hanging="180"/>
      </w:pPr>
    </w:lvl>
    <w:lvl w:ilvl="3" w:tplc="D4A457A2" w:tentative="1">
      <w:start w:val="1"/>
      <w:numFmt w:val="decimal"/>
      <w:lvlText w:val="%4."/>
      <w:lvlJc w:val="left"/>
      <w:pPr>
        <w:tabs>
          <w:tab w:val="num" w:pos="2520"/>
        </w:tabs>
        <w:ind w:left="2520" w:hanging="360"/>
      </w:pPr>
    </w:lvl>
    <w:lvl w:ilvl="4" w:tplc="5E58C7D4" w:tentative="1">
      <w:start w:val="1"/>
      <w:numFmt w:val="lowerLetter"/>
      <w:lvlText w:val="%5."/>
      <w:lvlJc w:val="left"/>
      <w:pPr>
        <w:tabs>
          <w:tab w:val="num" w:pos="3240"/>
        </w:tabs>
        <w:ind w:left="3240" w:hanging="360"/>
      </w:pPr>
    </w:lvl>
    <w:lvl w:ilvl="5" w:tplc="BD142538" w:tentative="1">
      <w:start w:val="1"/>
      <w:numFmt w:val="lowerRoman"/>
      <w:lvlText w:val="%6."/>
      <w:lvlJc w:val="right"/>
      <w:pPr>
        <w:tabs>
          <w:tab w:val="num" w:pos="3960"/>
        </w:tabs>
        <w:ind w:left="3960" w:hanging="180"/>
      </w:pPr>
    </w:lvl>
    <w:lvl w:ilvl="6" w:tplc="34BEBA0A" w:tentative="1">
      <w:start w:val="1"/>
      <w:numFmt w:val="decimal"/>
      <w:lvlText w:val="%7."/>
      <w:lvlJc w:val="left"/>
      <w:pPr>
        <w:tabs>
          <w:tab w:val="num" w:pos="4680"/>
        </w:tabs>
        <w:ind w:left="4680" w:hanging="360"/>
      </w:pPr>
    </w:lvl>
    <w:lvl w:ilvl="7" w:tplc="9E20BD02" w:tentative="1">
      <w:start w:val="1"/>
      <w:numFmt w:val="lowerLetter"/>
      <w:lvlText w:val="%8."/>
      <w:lvlJc w:val="left"/>
      <w:pPr>
        <w:tabs>
          <w:tab w:val="num" w:pos="5400"/>
        </w:tabs>
        <w:ind w:left="5400" w:hanging="360"/>
      </w:pPr>
    </w:lvl>
    <w:lvl w:ilvl="8" w:tplc="96522E04" w:tentative="1">
      <w:start w:val="1"/>
      <w:numFmt w:val="lowerRoman"/>
      <w:lvlText w:val="%9."/>
      <w:lvlJc w:val="right"/>
      <w:pPr>
        <w:tabs>
          <w:tab w:val="num" w:pos="6120"/>
        </w:tabs>
        <w:ind w:left="6120" w:hanging="180"/>
      </w:pPr>
    </w:lvl>
  </w:abstractNum>
  <w:abstractNum w:abstractNumId="19" w15:restartNumberingAfterBreak="0">
    <w:nsid w:val="75A57E84"/>
    <w:multiLevelType w:val="multilevel"/>
    <w:tmpl w:val="E5F0B92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77BF3E60"/>
    <w:multiLevelType w:val="singleLevel"/>
    <w:tmpl w:val="FACE4A8A"/>
    <w:lvl w:ilvl="0">
      <w:start w:val="1"/>
      <w:numFmt w:val="decimal"/>
      <w:lvlText w:val="%1."/>
      <w:legacy w:legacy="1" w:legacySpace="0" w:legacyIndent="360"/>
      <w:lvlJc w:val="left"/>
      <w:pPr>
        <w:ind w:left="360" w:hanging="360"/>
      </w:pPr>
    </w:lvl>
  </w:abstractNum>
  <w:abstractNum w:abstractNumId="21" w15:restartNumberingAfterBreak="0">
    <w:nsid w:val="7FAF2A25"/>
    <w:multiLevelType w:val="hybridMultilevel"/>
    <w:tmpl w:val="17D6D61E"/>
    <w:lvl w:ilvl="0" w:tplc="9CEC72E6">
      <w:start w:val="1"/>
      <w:numFmt w:val="bullet"/>
      <w:lvlText w:val=""/>
      <w:lvlJc w:val="left"/>
      <w:pPr>
        <w:tabs>
          <w:tab w:val="num" w:pos="720"/>
        </w:tabs>
        <w:ind w:left="720" w:hanging="360"/>
      </w:pPr>
      <w:rPr>
        <w:rFonts w:ascii="Symbol" w:hAnsi="Symbol" w:hint="default"/>
      </w:rPr>
    </w:lvl>
    <w:lvl w:ilvl="1" w:tplc="5CCA308A" w:tentative="1">
      <w:start w:val="1"/>
      <w:numFmt w:val="bullet"/>
      <w:lvlText w:val="o"/>
      <w:lvlJc w:val="left"/>
      <w:pPr>
        <w:tabs>
          <w:tab w:val="num" w:pos="1440"/>
        </w:tabs>
        <w:ind w:left="1440" w:hanging="360"/>
      </w:pPr>
      <w:rPr>
        <w:rFonts w:ascii="Courier New" w:hAnsi="Courier New" w:cs="Courier New" w:hint="default"/>
      </w:rPr>
    </w:lvl>
    <w:lvl w:ilvl="2" w:tplc="68529E7A" w:tentative="1">
      <w:start w:val="1"/>
      <w:numFmt w:val="bullet"/>
      <w:lvlText w:val=""/>
      <w:lvlJc w:val="left"/>
      <w:pPr>
        <w:tabs>
          <w:tab w:val="num" w:pos="2160"/>
        </w:tabs>
        <w:ind w:left="2160" w:hanging="360"/>
      </w:pPr>
      <w:rPr>
        <w:rFonts w:ascii="Wingdings" w:hAnsi="Wingdings" w:hint="default"/>
      </w:rPr>
    </w:lvl>
    <w:lvl w:ilvl="3" w:tplc="57F4C610" w:tentative="1">
      <w:start w:val="1"/>
      <w:numFmt w:val="bullet"/>
      <w:lvlText w:val=""/>
      <w:lvlJc w:val="left"/>
      <w:pPr>
        <w:tabs>
          <w:tab w:val="num" w:pos="2880"/>
        </w:tabs>
        <w:ind w:left="2880" w:hanging="360"/>
      </w:pPr>
      <w:rPr>
        <w:rFonts w:ascii="Symbol" w:hAnsi="Symbol" w:hint="default"/>
      </w:rPr>
    </w:lvl>
    <w:lvl w:ilvl="4" w:tplc="FA16E0C0" w:tentative="1">
      <w:start w:val="1"/>
      <w:numFmt w:val="bullet"/>
      <w:lvlText w:val="o"/>
      <w:lvlJc w:val="left"/>
      <w:pPr>
        <w:tabs>
          <w:tab w:val="num" w:pos="3600"/>
        </w:tabs>
        <w:ind w:left="3600" w:hanging="360"/>
      </w:pPr>
      <w:rPr>
        <w:rFonts w:ascii="Courier New" w:hAnsi="Courier New" w:cs="Courier New" w:hint="default"/>
      </w:rPr>
    </w:lvl>
    <w:lvl w:ilvl="5" w:tplc="CD9C6E78" w:tentative="1">
      <w:start w:val="1"/>
      <w:numFmt w:val="bullet"/>
      <w:lvlText w:val=""/>
      <w:lvlJc w:val="left"/>
      <w:pPr>
        <w:tabs>
          <w:tab w:val="num" w:pos="4320"/>
        </w:tabs>
        <w:ind w:left="4320" w:hanging="360"/>
      </w:pPr>
      <w:rPr>
        <w:rFonts w:ascii="Wingdings" w:hAnsi="Wingdings" w:hint="default"/>
      </w:rPr>
    </w:lvl>
    <w:lvl w:ilvl="6" w:tplc="6264F308" w:tentative="1">
      <w:start w:val="1"/>
      <w:numFmt w:val="bullet"/>
      <w:lvlText w:val=""/>
      <w:lvlJc w:val="left"/>
      <w:pPr>
        <w:tabs>
          <w:tab w:val="num" w:pos="5040"/>
        </w:tabs>
        <w:ind w:left="5040" w:hanging="360"/>
      </w:pPr>
      <w:rPr>
        <w:rFonts w:ascii="Symbol" w:hAnsi="Symbol" w:hint="default"/>
      </w:rPr>
    </w:lvl>
    <w:lvl w:ilvl="7" w:tplc="FA287DB0" w:tentative="1">
      <w:start w:val="1"/>
      <w:numFmt w:val="bullet"/>
      <w:lvlText w:val="o"/>
      <w:lvlJc w:val="left"/>
      <w:pPr>
        <w:tabs>
          <w:tab w:val="num" w:pos="5760"/>
        </w:tabs>
        <w:ind w:left="5760" w:hanging="360"/>
      </w:pPr>
      <w:rPr>
        <w:rFonts w:ascii="Courier New" w:hAnsi="Courier New" w:cs="Courier New" w:hint="default"/>
      </w:rPr>
    </w:lvl>
    <w:lvl w:ilvl="8" w:tplc="432A2FA8"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0"/>
  </w:num>
  <w:num w:numId="3">
    <w:abstractNumId w:val="2"/>
  </w:num>
  <w:num w:numId="4">
    <w:abstractNumId w:val="17"/>
  </w:num>
  <w:num w:numId="5">
    <w:abstractNumId w:val="8"/>
  </w:num>
  <w:num w:numId="6">
    <w:abstractNumId w:val="13"/>
  </w:num>
  <w:num w:numId="7">
    <w:abstractNumId w:val="6"/>
  </w:num>
  <w:num w:numId="8">
    <w:abstractNumId w:val="14"/>
  </w:num>
  <w:num w:numId="9">
    <w:abstractNumId w:val="19"/>
  </w:num>
  <w:num w:numId="10">
    <w:abstractNumId w:val="3"/>
  </w:num>
  <w:num w:numId="11">
    <w:abstractNumId w:val="12"/>
  </w:num>
  <w:num w:numId="12">
    <w:abstractNumId w:val="21"/>
  </w:num>
  <w:num w:numId="13">
    <w:abstractNumId w:val="9"/>
  </w:num>
  <w:num w:numId="14">
    <w:abstractNumId w:val="18"/>
  </w:num>
  <w:num w:numId="15">
    <w:abstractNumId w:val="5"/>
  </w:num>
  <w:num w:numId="16">
    <w:abstractNumId w:val="4"/>
  </w:num>
  <w:num w:numId="17">
    <w:abstractNumId w:val="15"/>
  </w:num>
  <w:num w:numId="18">
    <w:abstractNumId w:val="7"/>
  </w:num>
  <w:num w:numId="19">
    <w:abstractNumId w:val="16"/>
  </w:num>
  <w:num w:numId="20">
    <w:abstractNumId w:val="1"/>
  </w:num>
  <w:num w:numId="21">
    <w:abstractNumId w:val="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CF5"/>
    <w:rsid w:val="000105FF"/>
    <w:rsid w:val="00013A5A"/>
    <w:rsid w:val="0003029F"/>
    <w:rsid w:val="00041079"/>
    <w:rsid w:val="0004426A"/>
    <w:rsid w:val="0005513A"/>
    <w:rsid w:val="00055C8F"/>
    <w:rsid w:val="0005662B"/>
    <w:rsid w:val="00060D1F"/>
    <w:rsid w:val="00077FBF"/>
    <w:rsid w:val="00082D1A"/>
    <w:rsid w:val="00083697"/>
    <w:rsid w:val="0009587A"/>
    <w:rsid w:val="000A02F0"/>
    <w:rsid w:val="000A1E1D"/>
    <w:rsid w:val="000C39C0"/>
    <w:rsid w:val="000E14B5"/>
    <w:rsid w:val="000F0268"/>
    <w:rsid w:val="00133059"/>
    <w:rsid w:val="00147926"/>
    <w:rsid w:val="00151A66"/>
    <w:rsid w:val="001573A0"/>
    <w:rsid w:val="00163F21"/>
    <w:rsid w:val="001737EE"/>
    <w:rsid w:val="0017533A"/>
    <w:rsid w:val="001840FF"/>
    <w:rsid w:val="00196BBE"/>
    <w:rsid w:val="001A1D66"/>
    <w:rsid w:val="001A723B"/>
    <w:rsid w:val="001C568A"/>
    <w:rsid w:val="001C7CF5"/>
    <w:rsid w:val="001D25D8"/>
    <w:rsid w:val="001D4F98"/>
    <w:rsid w:val="001F25A1"/>
    <w:rsid w:val="002013FD"/>
    <w:rsid w:val="002044F3"/>
    <w:rsid w:val="00204763"/>
    <w:rsid w:val="002050C3"/>
    <w:rsid w:val="0021543C"/>
    <w:rsid w:val="00215FD2"/>
    <w:rsid w:val="00247CE3"/>
    <w:rsid w:val="00261CA3"/>
    <w:rsid w:val="00265613"/>
    <w:rsid w:val="00266948"/>
    <w:rsid w:val="00280F68"/>
    <w:rsid w:val="002831F5"/>
    <w:rsid w:val="002A0B63"/>
    <w:rsid w:val="002A5BDB"/>
    <w:rsid w:val="002C2A0C"/>
    <w:rsid w:val="002C3F08"/>
    <w:rsid w:val="002E5A80"/>
    <w:rsid w:val="00304529"/>
    <w:rsid w:val="0031658A"/>
    <w:rsid w:val="003219FC"/>
    <w:rsid w:val="00324837"/>
    <w:rsid w:val="00324B24"/>
    <w:rsid w:val="003351C0"/>
    <w:rsid w:val="0034562B"/>
    <w:rsid w:val="00347CFC"/>
    <w:rsid w:val="00372876"/>
    <w:rsid w:val="00377C82"/>
    <w:rsid w:val="00383126"/>
    <w:rsid w:val="00383566"/>
    <w:rsid w:val="00385770"/>
    <w:rsid w:val="003B4CD2"/>
    <w:rsid w:val="003C06E4"/>
    <w:rsid w:val="003E313E"/>
    <w:rsid w:val="003E428A"/>
    <w:rsid w:val="003E5CA5"/>
    <w:rsid w:val="003E7F4F"/>
    <w:rsid w:val="003F0BB9"/>
    <w:rsid w:val="003F3249"/>
    <w:rsid w:val="003F5B9A"/>
    <w:rsid w:val="004011ED"/>
    <w:rsid w:val="004038D7"/>
    <w:rsid w:val="00404085"/>
    <w:rsid w:val="0041334A"/>
    <w:rsid w:val="0042041E"/>
    <w:rsid w:val="00432FC3"/>
    <w:rsid w:val="004409C1"/>
    <w:rsid w:val="004409D7"/>
    <w:rsid w:val="004546AD"/>
    <w:rsid w:val="00456C60"/>
    <w:rsid w:val="0046461B"/>
    <w:rsid w:val="004A0A3A"/>
    <w:rsid w:val="004A4FA1"/>
    <w:rsid w:val="004B0E51"/>
    <w:rsid w:val="004B7584"/>
    <w:rsid w:val="004C2E87"/>
    <w:rsid w:val="004F3630"/>
    <w:rsid w:val="00510F43"/>
    <w:rsid w:val="00555B71"/>
    <w:rsid w:val="005571AA"/>
    <w:rsid w:val="0056527C"/>
    <w:rsid w:val="005976A6"/>
    <w:rsid w:val="005A029D"/>
    <w:rsid w:val="005A6FE3"/>
    <w:rsid w:val="005B486D"/>
    <w:rsid w:val="005C5ABF"/>
    <w:rsid w:val="005D1AB9"/>
    <w:rsid w:val="005E4D33"/>
    <w:rsid w:val="005E662B"/>
    <w:rsid w:val="005F0375"/>
    <w:rsid w:val="00603C33"/>
    <w:rsid w:val="006108E1"/>
    <w:rsid w:val="006225E9"/>
    <w:rsid w:val="0063243F"/>
    <w:rsid w:val="00637961"/>
    <w:rsid w:val="00640D7B"/>
    <w:rsid w:val="006576D6"/>
    <w:rsid w:val="00662CE2"/>
    <w:rsid w:val="00663599"/>
    <w:rsid w:val="00667A57"/>
    <w:rsid w:val="00681F4D"/>
    <w:rsid w:val="006972D6"/>
    <w:rsid w:val="006B50A6"/>
    <w:rsid w:val="006D0B21"/>
    <w:rsid w:val="006D0E18"/>
    <w:rsid w:val="006D1311"/>
    <w:rsid w:val="006E45F7"/>
    <w:rsid w:val="006F4AA0"/>
    <w:rsid w:val="006F4F0B"/>
    <w:rsid w:val="00701C6A"/>
    <w:rsid w:val="007243CF"/>
    <w:rsid w:val="007249E5"/>
    <w:rsid w:val="0073272F"/>
    <w:rsid w:val="00732F6C"/>
    <w:rsid w:val="00733205"/>
    <w:rsid w:val="00743FE1"/>
    <w:rsid w:val="007563DE"/>
    <w:rsid w:val="00756BB1"/>
    <w:rsid w:val="00766E26"/>
    <w:rsid w:val="007778AB"/>
    <w:rsid w:val="007D47DD"/>
    <w:rsid w:val="007E4399"/>
    <w:rsid w:val="007E5D2A"/>
    <w:rsid w:val="007F2019"/>
    <w:rsid w:val="00806B98"/>
    <w:rsid w:val="00813CC2"/>
    <w:rsid w:val="008141D8"/>
    <w:rsid w:val="00814A77"/>
    <w:rsid w:val="0081679C"/>
    <w:rsid w:val="008202C9"/>
    <w:rsid w:val="008205A7"/>
    <w:rsid w:val="008366C2"/>
    <w:rsid w:val="00836801"/>
    <w:rsid w:val="0084102C"/>
    <w:rsid w:val="00864FEE"/>
    <w:rsid w:val="008776F4"/>
    <w:rsid w:val="008867D0"/>
    <w:rsid w:val="00892941"/>
    <w:rsid w:val="008A4F5E"/>
    <w:rsid w:val="008B59A5"/>
    <w:rsid w:val="008C6D74"/>
    <w:rsid w:val="008C7988"/>
    <w:rsid w:val="008F7BA9"/>
    <w:rsid w:val="00916839"/>
    <w:rsid w:val="009219E4"/>
    <w:rsid w:val="0092746B"/>
    <w:rsid w:val="00927E1C"/>
    <w:rsid w:val="009509AE"/>
    <w:rsid w:val="009556D8"/>
    <w:rsid w:val="00966F5E"/>
    <w:rsid w:val="00976F90"/>
    <w:rsid w:val="00997489"/>
    <w:rsid w:val="009A76EA"/>
    <w:rsid w:val="009F1F69"/>
    <w:rsid w:val="009F3168"/>
    <w:rsid w:val="00A069E9"/>
    <w:rsid w:val="00A07936"/>
    <w:rsid w:val="00A25B20"/>
    <w:rsid w:val="00A27C00"/>
    <w:rsid w:val="00A304D4"/>
    <w:rsid w:val="00A439B9"/>
    <w:rsid w:val="00A51E5C"/>
    <w:rsid w:val="00A56D5A"/>
    <w:rsid w:val="00A63B6B"/>
    <w:rsid w:val="00A744FA"/>
    <w:rsid w:val="00A80959"/>
    <w:rsid w:val="00A90CC4"/>
    <w:rsid w:val="00A9423D"/>
    <w:rsid w:val="00AA3B3C"/>
    <w:rsid w:val="00AA6159"/>
    <w:rsid w:val="00AB46D3"/>
    <w:rsid w:val="00AB52D5"/>
    <w:rsid w:val="00AB5876"/>
    <w:rsid w:val="00AB6ACB"/>
    <w:rsid w:val="00AD4783"/>
    <w:rsid w:val="00AD505A"/>
    <w:rsid w:val="00AD7357"/>
    <w:rsid w:val="00AE6A77"/>
    <w:rsid w:val="00AF0C72"/>
    <w:rsid w:val="00AF6877"/>
    <w:rsid w:val="00AF7203"/>
    <w:rsid w:val="00B1043B"/>
    <w:rsid w:val="00B35280"/>
    <w:rsid w:val="00B35C85"/>
    <w:rsid w:val="00B40EBB"/>
    <w:rsid w:val="00B7061B"/>
    <w:rsid w:val="00B87705"/>
    <w:rsid w:val="00B95EAA"/>
    <w:rsid w:val="00B976B5"/>
    <w:rsid w:val="00BA1BEC"/>
    <w:rsid w:val="00BA49E0"/>
    <w:rsid w:val="00BB17AD"/>
    <w:rsid w:val="00BB3AAC"/>
    <w:rsid w:val="00BB5225"/>
    <w:rsid w:val="00BC49BF"/>
    <w:rsid w:val="00BC5131"/>
    <w:rsid w:val="00BC763E"/>
    <w:rsid w:val="00C14BD3"/>
    <w:rsid w:val="00C21DC2"/>
    <w:rsid w:val="00C239EF"/>
    <w:rsid w:val="00C269CC"/>
    <w:rsid w:val="00C31BF0"/>
    <w:rsid w:val="00C33BCD"/>
    <w:rsid w:val="00C3459C"/>
    <w:rsid w:val="00C42A12"/>
    <w:rsid w:val="00C447F1"/>
    <w:rsid w:val="00C451BC"/>
    <w:rsid w:val="00C45E86"/>
    <w:rsid w:val="00C50220"/>
    <w:rsid w:val="00C540BA"/>
    <w:rsid w:val="00C918A7"/>
    <w:rsid w:val="00CA3ECA"/>
    <w:rsid w:val="00CB6ED7"/>
    <w:rsid w:val="00CD4BFF"/>
    <w:rsid w:val="00CF7BC1"/>
    <w:rsid w:val="00D05FF5"/>
    <w:rsid w:val="00D25C62"/>
    <w:rsid w:val="00D32BD6"/>
    <w:rsid w:val="00D406E1"/>
    <w:rsid w:val="00D41395"/>
    <w:rsid w:val="00D44A18"/>
    <w:rsid w:val="00D51CA3"/>
    <w:rsid w:val="00D5356C"/>
    <w:rsid w:val="00D67683"/>
    <w:rsid w:val="00D83906"/>
    <w:rsid w:val="00D86FAA"/>
    <w:rsid w:val="00D91881"/>
    <w:rsid w:val="00DC7B49"/>
    <w:rsid w:val="00DD6AF2"/>
    <w:rsid w:val="00DE21DF"/>
    <w:rsid w:val="00DF352C"/>
    <w:rsid w:val="00E04610"/>
    <w:rsid w:val="00E06B0D"/>
    <w:rsid w:val="00E13BFA"/>
    <w:rsid w:val="00E16DB4"/>
    <w:rsid w:val="00E205DF"/>
    <w:rsid w:val="00E31660"/>
    <w:rsid w:val="00E528D5"/>
    <w:rsid w:val="00E71099"/>
    <w:rsid w:val="00E77A9C"/>
    <w:rsid w:val="00E84C4D"/>
    <w:rsid w:val="00E86FF0"/>
    <w:rsid w:val="00EA40DB"/>
    <w:rsid w:val="00EC49F6"/>
    <w:rsid w:val="00ED7B69"/>
    <w:rsid w:val="00EE275D"/>
    <w:rsid w:val="00EE278B"/>
    <w:rsid w:val="00F01234"/>
    <w:rsid w:val="00F223AE"/>
    <w:rsid w:val="00F225A6"/>
    <w:rsid w:val="00F34672"/>
    <w:rsid w:val="00F36C56"/>
    <w:rsid w:val="00F87826"/>
    <w:rsid w:val="00F90BAA"/>
    <w:rsid w:val="00FA2F04"/>
    <w:rsid w:val="00FA7C57"/>
    <w:rsid w:val="00FB0280"/>
    <w:rsid w:val="00FD4519"/>
    <w:rsid w:val="00FF4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319CEF76-60C2-47AA-8C8F-C291EDBE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left="360" w:hanging="360"/>
    </w:pPr>
    <w:rPr>
      <w:rFonts w:ascii="Arial" w:hAnsi="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PlainText">
    <w:name w:val="Plain Text"/>
    <w:basedOn w:val="Normal"/>
    <w:rPr>
      <w:rFonts w:ascii="Courier New" w:hAnsi="Courier New"/>
    </w:rPr>
  </w:style>
  <w:style w:type="paragraph" w:styleId="BodyText">
    <w:name w:val="Body Text"/>
    <w:basedOn w:val="Normal"/>
    <w:rPr>
      <w:rFonts w:ascii="Arial" w:hAnsi="Arial"/>
      <w:color w:val="FF0000"/>
    </w:rPr>
  </w:style>
  <w:style w:type="paragraph" w:styleId="Title">
    <w:name w:val="Title"/>
    <w:basedOn w:val="Normal"/>
    <w:qFormat/>
    <w:pPr>
      <w:jc w:val="center"/>
    </w:pPr>
    <w:rPr>
      <w:rFonts w:ascii="Arial" w:hAnsi="Arial"/>
      <w:b/>
      <w:sz w:val="28"/>
    </w:rPr>
  </w:style>
  <w:style w:type="paragraph" w:styleId="BodyText3">
    <w:name w:val="Body Text 3"/>
    <w:basedOn w:val="Normal"/>
    <w:rPr>
      <w:rFonts w:ascii="Courier New" w:hAnsi="Courier New"/>
      <w:snapToGrid w:val="0"/>
      <w:sz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ind w:left="720" w:hanging="720"/>
    </w:pPr>
    <w:rPr>
      <w:rFonts w:ascii="Arial" w:hAnsi="Arial"/>
    </w:rPr>
  </w:style>
  <w:style w:type="paragraph" w:styleId="BodyTextIndent2">
    <w:name w:val="Body Text Indent 2"/>
    <w:basedOn w:val="Normal"/>
    <w:pPr>
      <w:ind w:left="360" w:hanging="360"/>
    </w:pPr>
    <w:rPr>
      <w:rFonts w:ascii="Arial" w:hAnsi="Arial"/>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paragraph" w:styleId="BalloonText">
    <w:name w:val="Balloon Text"/>
    <w:basedOn w:val="Normal"/>
    <w:semiHidden/>
    <w:rsid w:val="001C7CF5"/>
    <w:rPr>
      <w:rFonts w:ascii="Tahoma" w:hAnsi="Tahoma" w:cs="Tahoma"/>
      <w:sz w:val="16"/>
      <w:szCs w:val="16"/>
    </w:rPr>
  </w:style>
  <w:style w:type="paragraph" w:customStyle="1" w:styleId="InsideAddress">
    <w:name w:val="Inside Address"/>
    <w:basedOn w:val="Normal"/>
    <w:rsid w:val="00814A77"/>
    <w:pPr>
      <w:spacing w:line="220" w:lineRule="atLeast"/>
      <w:jc w:val="both"/>
    </w:pPr>
    <w:rPr>
      <w:rFonts w:ascii="Arial" w:hAnsi="Arial"/>
      <w:spacing w:val="-5"/>
    </w:rPr>
  </w:style>
  <w:style w:type="character" w:styleId="Hyperlink">
    <w:name w:val="Hyperlink"/>
    <w:basedOn w:val="DefaultParagraphFont"/>
    <w:rsid w:val="00A27C00"/>
    <w:rPr>
      <w:color w:val="0000FF"/>
      <w:u w:val="single"/>
    </w:rPr>
  </w:style>
  <w:style w:type="table" w:styleId="TableGrid">
    <w:name w:val="Table Grid"/>
    <w:basedOn w:val="TableNormal"/>
    <w:rsid w:val="00440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147926"/>
    <w:rPr>
      <w:sz w:val="16"/>
      <w:szCs w:val="16"/>
    </w:rPr>
  </w:style>
  <w:style w:type="paragraph" w:styleId="CommentText">
    <w:name w:val="annotation text"/>
    <w:basedOn w:val="Normal"/>
    <w:semiHidden/>
    <w:rsid w:val="00147926"/>
  </w:style>
  <w:style w:type="paragraph" w:styleId="CommentSubject">
    <w:name w:val="annotation subject"/>
    <w:basedOn w:val="CommentText"/>
    <w:next w:val="CommentText"/>
    <w:semiHidden/>
    <w:rsid w:val="00147926"/>
    <w:rPr>
      <w:b/>
      <w:bCs/>
    </w:rPr>
  </w:style>
  <w:style w:type="character" w:styleId="FollowedHyperlink">
    <w:name w:val="FollowedHyperlink"/>
    <w:basedOn w:val="DefaultParagraphFont"/>
    <w:rsid w:val="00215FD2"/>
    <w:rPr>
      <w:color w:val="800080"/>
      <w:u w:val="single"/>
    </w:rPr>
  </w:style>
  <w:style w:type="paragraph" w:styleId="ListParagraph">
    <w:name w:val="List Paragraph"/>
    <w:basedOn w:val="Normal"/>
    <w:uiPriority w:val="99"/>
    <w:qFormat/>
    <w:rsid w:val="005A029D"/>
    <w:pPr>
      <w:ind w:left="720"/>
      <w:contextualSpacing/>
    </w:pPr>
  </w:style>
  <w:style w:type="paragraph" w:styleId="NormalWeb">
    <w:name w:val="Normal (Web)"/>
    <w:basedOn w:val="Normal"/>
    <w:uiPriority w:val="99"/>
    <w:unhideWhenUsed/>
    <w:rsid w:val="00D25C62"/>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025877">
      <w:bodyDiv w:val="1"/>
      <w:marLeft w:val="0"/>
      <w:marRight w:val="0"/>
      <w:marTop w:val="0"/>
      <w:marBottom w:val="0"/>
      <w:divBdr>
        <w:top w:val="none" w:sz="0" w:space="0" w:color="auto"/>
        <w:left w:val="none" w:sz="0" w:space="0" w:color="auto"/>
        <w:bottom w:val="none" w:sz="0" w:space="0" w:color="auto"/>
        <w:right w:val="none" w:sz="0" w:space="0" w:color="auto"/>
      </w:divBdr>
      <w:divsChild>
        <w:div w:id="513612300">
          <w:marLeft w:val="734"/>
          <w:marRight w:val="0"/>
          <w:marTop w:val="115"/>
          <w:marBottom w:val="0"/>
          <w:divBdr>
            <w:top w:val="none" w:sz="0" w:space="0" w:color="auto"/>
            <w:left w:val="none" w:sz="0" w:space="0" w:color="auto"/>
            <w:bottom w:val="none" w:sz="0" w:space="0" w:color="auto"/>
            <w:right w:val="none" w:sz="0" w:space="0" w:color="auto"/>
          </w:divBdr>
        </w:div>
      </w:divsChild>
    </w:div>
    <w:div w:id="1683892775">
      <w:bodyDiv w:val="1"/>
      <w:marLeft w:val="0"/>
      <w:marRight w:val="0"/>
      <w:marTop w:val="0"/>
      <w:marBottom w:val="0"/>
      <w:divBdr>
        <w:top w:val="none" w:sz="0" w:space="0" w:color="auto"/>
        <w:left w:val="none" w:sz="0" w:space="0" w:color="auto"/>
        <w:bottom w:val="none" w:sz="0" w:space="0" w:color="auto"/>
        <w:right w:val="none" w:sz="0" w:space="0" w:color="auto"/>
      </w:divBdr>
    </w:div>
    <w:div w:id="1798521496">
      <w:bodyDiv w:val="1"/>
      <w:marLeft w:val="0"/>
      <w:marRight w:val="0"/>
      <w:marTop w:val="0"/>
      <w:marBottom w:val="0"/>
      <w:divBdr>
        <w:top w:val="none" w:sz="0" w:space="0" w:color="auto"/>
        <w:left w:val="none" w:sz="0" w:space="0" w:color="auto"/>
        <w:bottom w:val="none" w:sz="0" w:space="0" w:color="auto"/>
        <w:right w:val="none" w:sz="0" w:space="0" w:color="auto"/>
      </w:divBdr>
      <w:divsChild>
        <w:div w:id="9961481">
          <w:marLeft w:val="126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atioasis.com/BHB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wes.wingen@blackhillscorp.com" TargetMode="External"/><Relationship Id="rId4" Type="http://schemas.openxmlformats.org/officeDocument/2006/relationships/webSettings" Target="webSettings.xml"/><Relationship Id="rId9" Type="http://schemas.openxmlformats.org/officeDocument/2006/relationships/hyperlink" Target="http://www.westconnect.com/filestorage/ccpg_request_form.x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Local Transmission Plan Study Scope</vt:lpstr>
    </vt:vector>
  </TitlesOfParts>
  <Company>b6300</Company>
  <LinksUpToDate>false</LinksUpToDate>
  <CharactersWithSpaces>5455</CharactersWithSpaces>
  <SharedDoc>false</SharedDoc>
  <HLinks>
    <vt:vector size="6" baseType="variant">
      <vt:variant>
        <vt:i4>5242966</vt:i4>
      </vt:variant>
      <vt:variant>
        <vt:i4>0</vt:i4>
      </vt:variant>
      <vt:variant>
        <vt:i4>0</vt:i4>
      </vt:variant>
      <vt:variant>
        <vt:i4>5</vt:i4>
      </vt:variant>
      <vt:variant>
        <vt:lpwstr>http://www.oatioasis.com/BHCT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Transmission Plan Study Scope</dc:title>
  <dc:creator>SoftWindows</dc:creator>
  <cp:lastModifiedBy>Lundy, Michael</cp:lastModifiedBy>
  <cp:revision>15</cp:revision>
  <cp:lastPrinted>2011-03-03T23:14:00Z</cp:lastPrinted>
  <dcterms:created xsi:type="dcterms:W3CDTF">2015-03-25T19:37:00Z</dcterms:created>
  <dcterms:modified xsi:type="dcterms:W3CDTF">2016-03-12T00:00:00Z</dcterms:modified>
</cp:coreProperties>
</file>