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82" w:rsidRDefault="00C81382"/>
    <w:p w:rsidR="00C81382" w:rsidRDefault="00C81382"/>
    <w:p w:rsidR="00C81382" w:rsidRDefault="0080060A" w:rsidP="00C81382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0A48759C" wp14:editId="18D4947A">
            <wp:extent cx="2628900" cy="1019175"/>
            <wp:effectExtent l="0" t="0" r="0" b="0"/>
            <wp:docPr id="1" name="Picture 1" descr="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82" w:rsidRDefault="00C81382" w:rsidP="00C81382">
      <w:pPr>
        <w:jc w:val="center"/>
        <w:rPr>
          <w:b/>
          <w:sz w:val="52"/>
          <w:szCs w:val="52"/>
        </w:rPr>
      </w:pPr>
    </w:p>
    <w:p w:rsidR="003875A0" w:rsidRDefault="003875A0" w:rsidP="00C81382">
      <w:pPr>
        <w:jc w:val="center"/>
        <w:rPr>
          <w:b/>
          <w:sz w:val="44"/>
          <w:szCs w:val="44"/>
        </w:rPr>
      </w:pPr>
    </w:p>
    <w:p w:rsidR="00511A59" w:rsidRDefault="00511A59" w:rsidP="00511A59">
      <w:pPr>
        <w:jc w:val="center"/>
        <w:rPr>
          <w:b/>
          <w:sz w:val="44"/>
          <w:szCs w:val="44"/>
        </w:rPr>
      </w:pPr>
      <w:r w:rsidRPr="00511A59">
        <w:rPr>
          <w:b/>
          <w:sz w:val="44"/>
          <w:szCs w:val="44"/>
        </w:rPr>
        <w:t xml:space="preserve">Payment Policy for </w:t>
      </w:r>
      <w:r>
        <w:rPr>
          <w:b/>
          <w:sz w:val="44"/>
          <w:szCs w:val="44"/>
        </w:rPr>
        <w:t xml:space="preserve">Transmission </w:t>
      </w:r>
      <w:r w:rsidR="00FC4300">
        <w:rPr>
          <w:b/>
          <w:sz w:val="44"/>
          <w:szCs w:val="44"/>
        </w:rPr>
        <w:t xml:space="preserve">Facility Upgrades Requested to Serve </w:t>
      </w:r>
      <w:r w:rsidR="00FC4300" w:rsidRPr="00511A59">
        <w:rPr>
          <w:b/>
          <w:sz w:val="44"/>
          <w:szCs w:val="44"/>
        </w:rPr>
        <w:t xml:space="preserve">Wholesale Customer </w:t>
      </w:r>
      <w:r w:rsidR="00FC4300">
        <w:rPr>
          <w:b/>
          <w:sz w:val="44"/>
          <w:szCs w:val="44"/>
        </w:rPr>
        <w:t>Load</w:t>
      </w:r>
    </w:p>
    <w:p w:rsidR="00DF736C" w:rsidRPr="00A2280C" w:rsidRDefault="00DF736C" w:rsidP="00DF736C">
      <w:pPr>
        <w:rPr>
          <w:b/>
          <w:sz w:val="44"/>
          <w:szCs w:val="44"/>
        </w:rPr>
      </w:pPr>
    </w:p>
    <w:p w:rsidR="003F2CD7" w:rsidRPr="00A2280C" w:rsidRDefault="003F2CD7" w:rsidP="00C81382">
      <w:pPr>
        <w:jc w:val="center"/>
        <w:rPr>
          <w:b/>
          <w:sz w:val="44"/>
          <w:szCs w:val="44"/>
        </w:rPr>
      </w:pPr>
    </w:p>
    <w:p w:rsidR="00F9362E" w:rsidRDefault="00F9362E" w:rsidP="00C81382">
      <w:pPr>
        <w:jc w:val="center"/>
      </w:pPr>
    </w:p>
    <w:p w:rsidR="00696F97" w:rsidRPr="00DE16C3" w:rsidRDefault="00696F97" w:rsidP="00C81382">
      <w:pPr>
        <w:jc w:val="center"/>
      </w:pPr>
    </w:p>
    <w:tbl>
      <w:tblPr>
        <w:tblW w:w="6048" w:type="dxa"/>
        <w:tblInd w:w="1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260"/>
        <w:gridCol w:w="3780"/>
      </w:tblGrid>
      <w:tr w:rsidR="00F9362E" w:rsidTr="005F676E">
        <w:tc>
          <w:tcPr>
            <w:tcW w:w="1008" w:type="dxa"/>
          </w:tcPr>
          <w:p w:rsidR="00F9362E" w:rsidRDefault="00F9362E" w:rsidP="00F9362E">
            <w:pPr>
              <w:tabs>
                <w:tab w:val="center" w:pos="5040"/>
                <w:tab w:val="right" w:pos="9216"/>
              </w:tabs>
              <w:jc w:val="center"/>
            </w:pPr>
            <w:r>
              <w:t>Rev No.</w:t>
            </w:r>
          </w:p>
        </w:tc>
        <w:tc>
          <w:tcPr>
            <w:tcW w:w="1260" w:type="dxa"/>
          </w:tcPr>
          <w:p w:rsidR="00F9362E" w:rsidRDefault="00F9362E" w:rsidP="00F9362E">
            <w:pPr>
              <w:tabs>
                <w:tab w:val="center" w:pos="5040"/>
                <w:tab w:val="right" w:pos="9216"/>
              </w:tabs>
              <w:jc w:val="center"/>
            </w:pPr>
          </w:p>
          <w:p w:rsidR="00F9362E" w:rsidRDefault="00F9362E" w:rsidP="00F9362E">
            <w:pPr>
              <w:tabs>
                <w:tab w:val="center" w:pos="5040"/>
                <w:tab w:val="right" w:pos="9216"/>
              </w:tabs>
              <w:jc w:val="center"/>
            </w:pPr>
            <w:r>
              <w:t>Date</w:t>
            </w:r>
          </w:p>
        </w:tc>
        <w:tc>
          <w:tcPr>
            <w:tcW w:w="3780" w:type="dxa"/>
          </w:tcPr>
          <w:p w:rsidR="00F9362E" w:rsidRDefault="00F9362E" w:rsidP="00F9362E">
            <w:pPr>
              <w:tabs>
                <w:tab w:val="center" w:pos="5040"/>
                <w:tab w:val="right" w:pos="9216"/>
              </w:tabs>
              <w:jc w:val="center"/>
            </w:pPr>
          </w:p>
          <w:p w:rsidR="00F9362E" w:rsidRDefault="00F9362E" w:rsidP="00F9362E">
            <w:pPr>
              <w:tabs>
                <w:tab w:val="center" w:pos="5040"/>
                <w:tab w:val="right" w:pos="9216"/>
              </w:tabs>
              <w:jc w:val="center"/>
            </w:pPr>
            <w:r>
              <w:t>Revisions</w:t>
            </w:r>
          </w:p>
        </w:tc>
      </w:tr>
      <w:tr w:rsidR="00F9362E" w:rsidTr="00526229">
        <w:trPr>
          <w:trHeight w:val="432"/>
        </w:trPr>
        <w:tc>
          <w:tcPr>
            <w:tcW w:w="1008" w:type="dxa"/>
            <w:vAlign w:val="center"/>
          </w:tcPr>
          <w:p w:rsidR="00F9362E" w:rsidRDefault="00511A59" w:rsidP="00323265">
            <w:pPr>
              <w:tabs>
                <w:tab w:val="center" w:pos="5040"/>
                <w:tab w:val="right" w:pos="9216"/>
              </w:tabs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F9362E" w:rsidRDefault="00C61740" w:rsidP="00323265">
            <w:pPr>
              <w:tabs>
                <w:tab w:val="center" w:pos="5040"/>
                <w:tab w:val="right" w:pos="9216"/>
              </w:tabs>
              <w:jc w:val="center"/>
            </w:pPr>
            <w:r>
              <w:t>7</w:t>
            </w:r>
            <w:r w:rsidR="00511A59">
              <w:t>/1/2013</w:t>
            </w:r>
          </w:p>
        </w:tc>
        <w:tc>
          <w:tcPr>
            <w:tcW w:w="3780" w:type="dxa"/>
            <w:vAlign w:val="center"/>
          </w:tcPr>
          <w:p w:rsidR="00F9362E" w:rsidRDefault="00511A59" w:rsidP="00511A59">
            <w:pPr>
              <w:pStyle w:val="Header"/>
              <w:tabs>
                <w:tab w:val="clear" w:pos="4320"/>
                <w:tab w:val="clear" w:pos="8640"/>
                <w:tab w:val="center" w:pos="5040"/>
                <w:tab w:val="right" w:pos="9216"/>
              </w:tabs>
              <w:jc w:val="center"/>
            </w:pPr>
            <w:r>
              <w:t>Original Issue</w:t>
            </w:r>
          </w:p>
        </w:tc>
      </w:tr>
      <w:tr w:rsidR="00FC4300" w:rsidTr="00526229">
        <w:trPr>
          <w:trHeight w:val="432"/>
        </w:trPr>
        <w:tc>
          <w:tcPr>
            <w:tcW w:w="1008" w:type="dxa"/>
            <w:vAlign w:val="center"/>
          </w:tcPr>
          <w:p w:rsidR="00FC4300" w:rsidRDefault="00FC4300" w:rsidP="00323265">
            <w:pPr>
              <w:tabs>
                <w:tab w:val="center" w:pos="5040"/>
                <w:tab w:val="right" w:pos="9216"/>
              </w:tabs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FC4300" w:rsidRDefault="00FC4300" w:rsidP="00323265">
            <w:pPr>
              <w:tabs>
                <w:tab w:val="center" w:pos="5040"/>
                <w:tab w:val="right" w:pos="9216"/>
              </w:tabs>
              <w:jc w:val="center"/>
            </w:pPr>
            <w:r>
              <w:t>4/30/2014</w:t>
            </w:r>
          </w:p>
        </w:tc>
        <w:tc>
          <w:tcPr>
            <w:tcW w:w="3780" w:type="dxa"/>
            <w:vAlign w:val="center"/>
          </w:tcPr>
          <w:p w:rsidR="00FC4300" w:rsidRDefault="00FC4300" w:rsidP="00511A59">
            <w:pPr>
              <w:pStyle w:val="Header"/>
              <w:tabs>
                <w:tab w:val="clear" w:pos="4320"/>
                <w:tab w:val="clear" w:pos="8640"/>
                <w:tab w:val="center" w:pos="5040"/>
                <w:tab w:val="right" w:pos="9216"/>
              </w:tabs>
              <w:jc w:val="center"/>
            </w:pPr>
            <w:r>
              <w:t>Clarification and Payment Method</w:t>
            </w:r>
          </w:p>
        </w:tc>
      </w:tr>
    </w:tbl>
    <w:p w:rsidR="005F676E" w:rsidRDefault="005F676E" w:rsidP="00C81382">
      <w:pPr>
        <w:jc w:val="center"/>
        <w:rPr>
          <w:sz w:val="44"/>
          <w:szCs w:val="44"/>
        </w:rPr>
      </w:pPr>
    </w:p>
    <w:p w:rsidR="005F676E" w:rsidRDefault="005F676E" w:rsidP="00C81382">
      <w:pPr>
        <w:jc w:val="center"/>
        <w:rPr>
          <w:sz w:val="44"/>
          <w:szCs w:val="44"/>
        </w:rPr>
      </w:pPr>
    </w:p>
    <w:p w:rsidR="005F676E" w:rsidRPr="005F676E" w:rsidRDefault="005F676E" w:rsidP="00C81382">
      <w:pPr>
        <w:jc w:val="center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00"/>
        <w:gridCol w:w="1620"/>
      </w:tblGrid>
      <w:tr w:rsidR="005F676E" w:rsidRPr="00C6477A" w:rsidTr="00C6477A">
        <w:trPr>
          <w:trHeight w:val="432"/>
        </w:trPr>
        <w:tc>
          <w:tcPr>
            <w:tcW w:w="2700" w:type="dxa"/>
            <w:shd w:val="clear" w:color="auto" w:fill="auto"/>
            <w:vAlign w:val="center"/>
          </w:tcPr>
          <w:p w:rsidR="005F676E" w:rsidRPr="005F676E" w:rsidRDefault="005F676E" w:rsidP="00323265">
            <w:r w:rsidRPr="005F676E">
              <w:t>Approved By: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676E" w:rsidRPr="005F676E" w:rsidRDefault="005F676E" w:rsidP="00C6477A">
            <w:pPr>
              <w:jc w:val="center"/>
            </w:pPr>
            <w:r w:rsidRPr="005F676E">
              <w:t>Initial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76E" w:rsidRPr="005F676E" w:rsidRDefault="005F676E" w:rsidP="00C6477A">
            <w:pPr>
              <w:jc w:val="center"/>
            </w:pPr>
            <w:r w:rsidRPr="005F676E">
              <w:t>Date</w:t>
            </w:r>
          </w:p>
        </w:tc>
      </w:tr>
      <w:tr w:rsidR="005F676E" w:rsidRPr="00C6477A" w:rsidTr="00C6477A">
        <w:trPr>
          <w:trHeight w:val="432"/>
        </w:trPr>
        <w:tc>
          <w:tcPr>
            <w:tcW w:w="2700" w:type="dxa"/>
            <w:shd w:val="clear" w:color="auto" w:fill="auto"/>
            <w:vAlign w:val="center"/>
          </w:tcPr>
          <w:p w:rsidR="005F676E" w:rsidRPr="005F676E" w:rsidRDefault="00FC4300" w:rsidP="00323265">
            <w:r>
              <w:t>G.M. Gudeman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F676E" w:rsidRPr="00F90CB9" w:rsidRDefault="00F90CB9" w:rsidP="00323265">
            <w:pPr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G.M.G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76E" w:rsidRPr="005F676E" w:rsidRDefault="002329E3" w:rsidP="00323265">
            <w:r>
              <w:t>5</w:t>
            </w:r>
            <w:bookmarkStart w:id="0" w:name="_GoBack"/>
            <w:bookmarkEnd w:id="0"/>
            <w:r w:rsidR="00F90CB9">
              <w:t>.2014</w:t>
            </w:r>
          </w:p>
        </w:tc>
      </w:tr>
    </w:tbl>
    <w:p w:rsidR="00511A59" w:rsidRDefault="009E1FC0" w:rsidP="00F95E99">
      <w:r>
        <w:rPr>
          <w:sz w:val="44"/>
          <w:szCs w:val="44"/>
        </w:rPr>
        <w:br w:type="page"/>
      </w:r>
    </w:p>
    <w:p w:rsidR="0080060A" w:rsidRDefault="0096069D" w:rsidP="00C61740">
      <w:pPr>
        <w:ind w:left="720"/>
      </w:pPr>
      <w:r>
        <w:lastRenderedPageBreak/>
        <w:t>Ameren’s policy</w:t>
      </w:r>
      <w:r w:rsidR="005B24DE">
        <w:t xml:space="preserve"> (“Policy”)</w:t>
      </w:r>
      <w:r>
        <w:t xml:space="preserve"> </w:t>
      </w:r>
      <w:r w:rsidR="005B24DE">
        <w:t xml:space="preserve">regarding </w:t>
      </w:r>
      <w:r>
        <w:t>recover</w:t>
      </w:r>
      <w:r w:rsidR="005B24DE">
        <w:t xml:space="preserve">y of </w:t>
      </w:r>
      <w:r>
        <w:t xml:space="preserve"> costs</w:t>
      </w:r>
      <w:r w:rsidR="005B24DE">
        <w:t xml:space="preserve"> from wholesale customers for transmission upgrades</w:t>
      </w:r>
      <w:r w:rsidR="00FC4300">
        <w:t xml:space="preserve"> associated with a wholesale customer  request</w:t>
      </w:r>
      <w:r w:rsidR="005B24DE">
        <w:t xml:space="preserve"> on Ameren’s transmission system</w:t>
      </w:r>
      <w:r w:rsidR="00B51BA4">
        <w:t xml:space="preserve"> (“Transmission”)</w:t>
      </w:r>
      <w:r w:rsidR="00FC4300">
        <w:t xml:space="preserve">, built and owned by Ameren, </w:t>
      </w:r>
      <w:r w:rsidR="005B24DE">
        <w:t xml:space="preserve">is summarized below. </w:t>
      </w:r>
    </w:p>
    <w:p w:rsidR="0080060A" w:rsidRDefault="0080060A" w:rsidP="00C61740">
      <w:pPr>
        <w:ind w:left="720" w:hanging="720"/>
      </w:pPr>
    </w:p>
    <w:p w:rsidR="00F95E99" w:rsidRPr="00F95E99" w:rsidRDefault="00511A59" w:rsidP="00F95E99">
      <w:pPr>
        <w:numPr>
          <w:ilvl w:val="0"/>
          <w:numId w:val="10"/>
        </w:numPr>
      </w:pPr>
      <w:r w:rsidRPr="00F95E99">
        <w:t xml:space="preserve">Projects will be classified as Transmission or </w:t>
      </w:r>
      <w:r w:rsidR="00B51BA4">
        <w:t>distribution system (“</w:t>
      </w:r>
      <w:r w:rsidRPr="00F95E99">
        <w:t>Distribution</w:t>
      </w:r>
      <w:r w:rsidR="00B51BA4">
        <w:t>”) projects,</w:t>
      </w:r>
      <w:r w:rsidRPr="00F95E99">
        <w:t xml:space="preserve"> based on </w:t>
      </w:r>
      <w:r w:rsidR="009C701A">
        <w:t xml:space="preserve">established FERC policy and precedent (i.e. </w:t>
      </w:r>
      <w:r w:rsidRPr="00F95E99">
        <w:t>the 7-factor test</w:t>
      </w:r>
      <w:r w:rsidR="009C701A">
        <w:t>)</w:t>
      </w:r>
      <w:r w:rsidRPr="00F95E99">
        <w:t xml:space="preserve">, </w:t>
      </w:r>
      <w:r w:rsidR="0007391E">
        <w:t xml:space="preserve">and </w:t>
      </w:r>
      <w:r w:rsidRPr="00F95E99">
        <w:t>not by voltage level</w:t>
      </w:r>
      <w:r w:rsidR="005B24DE">
        <w:t xml:space="preserve"> alone</w:t>
      </w:r>
      <w:r w:rsidRPr="00F95E99">
        <w:t xml:space="preserve">. </w:t>
      </w:r>
      <w:r w:rsidR="005B24DE">
        <w:t>This Policy relates only to those facilit</w:t>
      </w:r>
      <w:r w:rsidR="00796DD8">
        <w:t>ies classified as Transmission. Ameren will be responsible for determining whether the facilities for any given project are Transmission or Distribution.</w:t>
      </w:r>
    </w:p>
    <w:p w:rsidR="00F95E99" w:rsidRDefault="00F95E99" w:rsidP="00F95E99">
      <w:pPr>
        <w:ind w:left="720"/>
      </w:pPr>
    </w:p>
    <w:p w:rsidR="00511A59" w:rsidRPr="00F95E99" w:rsidRDefault="00796DD8" w:rsidP="00F95E99">
      <w:pPr>
        <w:numPr>
          <w:ilvl w:val="0"/>
          <w:numId w:val="10"/>
        </w:numPr>
      </w:pPr>
      <w:r>
        <w:t xml:space="preserve">When </w:t>
      </w:r>
      <w:r w:rsidR="006539EC">
        <w:t xml:space="preserve">a </w:t>
      </w:r>
      <w:r>
        <w:t>wholesale customer</w:t>
      </w:r>
      <w:r w:rsidR="008522BD">
        <w:t xml:space="preserve"> requests</w:t>
      </w:r>
      <w:r w:rsidR="006539EC">
        <w:t xml:space="preserve"> new or upgraded Ameren owned </w:t>
      </w:r>
      <w:r w:rsidR="00C8343B">
        <w:t>Transmission</w:t>
      </w:r>
      <w:r w:rsidR="00FC4300">
        <w:t xml:space="preserve"> </w:t>
      </w:r>
      <w:r w:rsidR="006539EC">
        <w:t>facilities, and Ameren determines that the facilities</w:t>
      </w:r>
      <w:r w:rsidR="00511A59" w:rsidRPr="00F95E99">
        <w:t xml:space="preserve"> </w:t>
      </w:r>
      <w:r w:rsidR="006539EC">
        <w:t xml:space="preserve">ARE </w:t>
      </w:r>
      <w:r w:rsidR="00511A59" w:rsidRPr="00F95E99">
        <w:t xml:space="preserve">necessary </w:t>
      </w:r>
      <w:r w:rsidR="006539EC">
        <w:t>for Transmission reliability purposes,</w:t>
      </w:r>
      <w:r w:rsidR="00453B27">
        <w:t xml:space="preserve"> the associated revenue requirement</w:t>
      </w:r>
      <w:r w:rsidR="006539EC">
        <w:t xml:space="preserve"> will be</w:t>
      </w:r>
      <w:r w:rsidR="00511A59" w:rsidRPr="00F95E99">
        <w:t xml:space="preserve"> </w:t>
      </w:r>
      <w:r w:rsidR="00453B27">
        <w:t xml:space="preserve">included in </w:t>
      </w:r>
      <w:r w:rsidR="00511A59" w:rsidRPr="00F95E99">
        <w:t xml:space="preserve">the Schedule 9 </w:t>
      </w:r>
      <w:r w:rsidR="00453B27">
        <w:t xml:space="preserve">NITS </w:t>
      </w:r>
      <w:r w:rsidR="00511A59" w:rsidRPr="00F95E99">
        <w:t>rate</w:t>
      </w:r>
      <w:r w:rsidR="006539EC">
        <w:t xml:space="preserve">, and </w:t>
      </w:r>
      <w:proofErr w:type="gramStart"/>
      <w:r w:rsidR="006539EC">
        <w:t xml:space="preserve">the </w:t>
      </w:r>
      <w:r w:rsidR="00453B27">
        <w:t xml:space="preserve"> </w:t>
      </w:r>
      <w:r w:rsidR="00352AF9">
        <w:t>cost</w:t>
      </w:r>
      <w:r w:rsidR="006539EC">
        <w:t>s</w:t>
      </w:r>
      <w:proofErr w:type="gramEnd"/>
      <w:r w:rsidR="006539EC">
        <w:t xml:space="preserve"> will not be</w:t>
      </w:r>
      <w:r w:rsidR="00352AF9">
        <w:t xml:space="preserve"> </w:t>
      </w:r>
      <w:r w:rsidR="00511A59" w:rsidRPr="00F95E99">
        <w:t>direct</w:t>
      </w:r>
      <w:r w:rsidR="00352AF9">
        <w:t>ly</w:t>
      </w:r>
      <w:r w:rsidR="00511A59" w:rsidRPr="00F95E99">
        <w:t xml:space="preserve"> assigned to</w:t>
      </w:r>
      <w:r w:rsidR="00673A4B">
        <w:t xml:space="preserve"> the</w:t>
      </w:r>
      <w:r w:rsidR="00511A59" w:rsidRPr="00F95E99">
        <w:t xml:space="preserve"> </w:t>
      </w:r>
      <w:r w:rsidR="00352AF9">
        <w:t xml:space="preserve">individual </w:t>
      </w:r>
      <w:r w:rsidR="00673A4B">
        <w:t xml:space="preserve">wholesale </w:t>
      </w:r>
      <w:r w:rsidR="00511A59" w:rsidRPr="00F95E99">
        <w:t>customer.</w:t>
      </w:r>
    </w:p>
    <w:p w:rsidR="00F95E99" w:rsidRDefault="00F95E99" w:rsidP="00F95E99">
      <w:pPr>
        <w:ind w:left="720"/>
      </w:pPr>
    </w:p>
    <w:p w:rsidR="00511A59" w:rsidRDefault="006539EC" w:rsidP="006539EC">
      <w:pPr>
        <w:numPr>
          <w:ilvl w:val="0"/>
          <w:numId w:val="10"/>
        </w:numPr>
      </w:pPr>
      <w:r w:rsidRPr="006539EC">
        <w:t>When a wholesale customer</w:t>
      </w:r>
      <w:r w:rsidR="008522BD">
        <w:t xml:space="preserve"> requests</w:t>
      </w:r>
      <w:r w:rsidRPr="006539EC">
        <w:t xml:space="preserve"> new or upgraded Ameren owned Transmission </w:t>
      </w:r>
      <w:r>
        <w:t>f</w:t>
      </w:r>
      <w:r w:rsidRPr="006539EC">
        <w:t xml:space="preserve">acilities, </w:t>
      </w:r>
      <w:r>
        <w:t xml:space="preserve">and </w:t>
      </w:r>
      <w:r w:rsidRPr="006539EC">
        <w:t xml:space="preserve">Ameren determines that the facilities </w:t>
      </w:r>
      <w:r>
        <w:t>ARE</w:t>
      </w:r>
      <w:r w:rsidRPr="006539EC">
        <w:t xml:space="preserve"> </w:t>
      </w:r>
      <w:r>
        <w:t xml:space="preserve">NOT </w:t>
      </w:r>
      <w:r w:rsidRPr="006539EC">
        <w:t>necessary for Transmission reliability purposes</w:t>
      </w:r>
      <w:r>
        <w:t xml:space="preserve"> such facilities will be classified a</w:t>
      </w:r>
      <w:r w:rsidR="00673A4B">
        <w:t>s</w:t>
      </w:r>
      <w:r>
        <w:t xml:space="preserve"> </w:t>
      </w:r>
      <w:r w:rsidR="00352AF9">
        <w:t>“Excess Facilities”</w:t>
      </w:r>
      <w:r w:rsidR="009B5EC2">
        <w:t xml:space="preserve">.  </w:t>
      </w:r>
      <w:r>
        <w:t xml:space="preserve">When this classifications applies, </w:t>
      </w:r>
      <w:r w:rsidR="009B5EC2">
        <w:t xml:space="preserve"> Ameren will agree to build </w:t>
      </w:r>
      <w:r>
        <w:t xml:space="preserve">such facilities </w:t>
      </w:r>
      <w:r w:rsidR="009B5EC2">
        <w:t xml:space="preserve">under the following conditions and pursuant to a  </w:t>
      </w:r>
      <w:r w:rsidR="00673A4B">
        <w:t>c</w:t>
      </w:r>
      <w:r w:rsidR="009B5EC2">
        <w:t xml:space="preserve">onstruction </w:t>
      </w:r>
      <w:r w:rsidR="00673A4B">
        <w:t>a</w:t>
      </w:r>
      <w:r w:rsidR="009B5EC2">
        <w:t>greement to be filed at FERC</w:t>
      </w:r>
      <w:r w:rsidR="00B51BA4">
        <w:t>:</w:t>
      </w:r>
    </w:p>
    <w:p w:rsidR="00352AF9" w:rsidRPr="00F95E99" w:rsidRDefault="00352AF9" w:rsidP="00F76418">
      <w:pPr>
        <w:ind w:left="1440" w:hanging="360"/>
      </w:pPr>
    </w:p>
    <w:p w:rsidR="00F90CB9" w:rsidRDefault="00511A59" w:rsidP="00F76418">
      <w:pPr>
        <w:ind w:left="720"/>
      </w:pPr>
      <w:r w:rsidRPr="00F95E99">
        <w:t>The customer agrees</w:t>
      </w:r>
      <w:r w:rsidR="008522BD">
        <w:t xml:space="preserve"> by execution of a</w:t>
      </w:r>
      <w:r w:rsidR="00611738">
        <w:t xml:space="preserve"> </w:t>
      </w:r>
      <w:r w:rsidR="00673A4B">
        <w:t>c</w:t>
      </w:r>
      <w:r w:rsidR="00611738">
        <w:t xml:space="preserve">onstruction </w:t>
      </w:r>
      <w:r w:rsidR="00673A4B">
        <w:t>a</w:t>
      </w:r>
      <w:r w:rsidR="00611738">
        <w:t>greement</w:t>
      </w:r>
      <w:r w:rsidRPr="00F95E99">
        <w:t xml:space="preserve"> that the </w:t>
      </w:r>
      <w:r w:rsidR="008522BD">
        <w:t xml:space="preserve">requested </w:t>
      </w:r>
      <w:r w:rsidRPr="00F95E99">
        <w:t xml:space="preserve">project is to be treated as </w:t>
      </w:r>
      <w:r w:rsidR="00F76418">
        <w:t>E</w:t>
      </w:r>
      <w:r w:rsidRPr="00F95E99">
        <w:t xml:space="preserve">xcess </w:t>
      </w:r>
      <w:r w:rsidR="00F76418">
        <w:t>F</w:t>
      </w:r>
      <w:r w:rsidRPr="00F95E99">
        <w:t>acilities</w:t>
      </w:r>
      <w:r w:rsidR="008522BD">
        <w:t xml:space="preserve">, the costs of which are to be directly assigned to the requesting customer.   The construction agreement will provide for recovery of Excess Facilities costs through a fixed monthly charge that recovers the capital costs of the Excess Facilities, a return, </w:t>
      </w:r>
      <w:r w:rsidR="00F32297">
        <w:t xml:space="preserve">income taxes, </w:t>
      </w:r>
      <w:r w:rsidR="008522BD">
        <w:t xml:space="preserve">and the related expenses. </w:t>
      </w:r>
    </w:p>
    <w:p w:rsidR="00F76418" w:rsidRDefault="008522BD" w:rsidP="00F76418">
      <w:pPr>
        <w:ind w:left="720"/>
      </w:pPr>
      <w:r>
        <w:t xml:space="preserve"> </w:t>
      </w:r>
    </w:p>
    <w:p w:rsidR="00511A59" w:rsidRPr="00F95E99" w:rsidRDefault="00511A59" w:rsidP="00F95E99">
      <w:pPr>
        <w:numPr>
          <w:ilvl w:val="0"/>
          <w:numId w:val="10"/>
        </w:numPr>
      </w:pPr>
      <w:r w:rsidRPr="00F95E99">
        <w:t xml:space="preserve">In cases where </w:t>
      </w:r>
      <w:r w:rsidR="00FD2101">
        <w:t xml:space="preserve">Ameren </w:t>
      </w:r>
      <w:r w:rsidR="00B51BA4">
        <w:t xml:space="preserve">determines </w:t>
      </w:r>
      <w:r w:rsidR="00FD2101">
        <w:t xml:space="preserve">that a </w:t>
      </w:r>
      <w:r w:rsidR="00B51BA4">
        <w:t xml:space="preserve">Transmission </w:t>
      </w:r>
      <w:r w:rsidR="00FD2101">
        <w:t>project is necessary</w:t>
      </w:r>
      <w:r w:rsidR="00B51BA4">
        <w:t xml:space="preserve"> for system reliability purposes </w:t>
      </w:r>
      <w:r w:rsidR="00FD2101">
        <w:t xml:space="preserve"> but </w:t>
      </w:r>
      <w:r w:rsidRPr="00F95E99">
        <w:t xml:space="preserve">the customer is asking for something beyond what </w:t>
      </w:r>
      <w:r w:rsidR="00B51BA4">
        <w:t xml:space="preserve">is determined </w:t>
      </w:r>
      <w:r w:rsidR="005D1407">
        <w:t xml:space="preserve">by Ameren </w:t>
      </w:r>
      <w:r w:rsidR="00B51BA4">
        <w:t xml:space="preserve">to be </w:t>
      </w:r>
      <w:r w:rsidRPr="00F95E99">
        <w:t xml:space="preserve"> necessary</w:t>
      </w:r>
      <w:r w:rsidR="00FD2101">
        <w:t xml:space="preserve">, that </w:t>
      </w:r>
      <w:r w:rsidRPr="00F95E99">
        <w:t>portion of the project</w:t>
      </w:r>
      <w:r w:rsidR="0045761C">
        <w:t xml:space="preserve"> </w:t>
      </w:r>
      <w:r w:rsidR="00B51BA4">
        <w:t xml:space="preserve">which is </w:t>
      </w:r>
      <w:r w:rsidR="0045761C" w:rsidRPr="00F95E99">
        <w:t xml:space="preserve">beyond what is </w:t>
      </w:r>
      <w:r w:rsidR="005E1A9D">
        <w:t xml:space="preserve">considered </w:t>
      </w:r>
      <w:r w:rsidR="00B51BA4">
        <w:t>necessary</w:t>
      </w:r>
      <w:r w:rsidR="005E1A9D">
        <w:t xml:space="preserve"> </w:t>
      </w:r>
      <w:r w:rsidRPr="00F95E99">
        <w:t xml:space="preserve">will be treated as </w:t>
      </w:r>
      <w:r w:rsidR="0045761C">
        <w:t xml:space="preserve">Excess Facilities and will be charged to the customer as specified in </w:t>
      </w:r>
      <w:r w:rsidR="007A47C3">
        <w:t xml:space="preserve">Section </w:t>
      </w:r>
      <w:r w:rsidR="0045761C">
        <w:t>3</w:t>
      </w:r>
      <w:r w:rsidRPr="00F95E99">
        <w:t>.</w:t>
      </w:r>
    </w:p>
    <w:p w:rsidR="00F76418" w:rsidRDefault="00F76418" w:rsidP="00F76418">
      <w:pPr>
        <w:ind w:left="720"/>
      </w:pPr>
    </w:p>
    <w:p w:rsidR="00511A59" w:rsidRPr="00F95E99" w:rsidRDefault="00511A59" w:rsidP="00F76418">
      <w:pPr>
        <w:numPr>
          <w:ilvl w:val="0"/>
          <w:numId w:val="10"/>
        </w:numPr>
      </w:pPr>
      <w:r w:rsidRPr="00F95E99">
        <w:t xml:space="preserve">There may be cases that fall outside the </w:t>
      </w:r>
      <w:r w:rsidR="00092322">
        <w:t>above</w:t>
      </w:r>
      <w:r w:rsidR="00092322" w:rsidRPr="00F95E99">
        <w:t xml:space="preserve"> </w:t>
      </w:r>
      <w:r w:rsidRPr="00F95E99">
        <w:t xml:space="preserve">stated criteria and </w:t>
      </w:r>
      <w:r w:rsidR="00B51BA4">
        <w:t xml:space="preserve">Ameren will deal with such </w:t>
      </w:r>
      <w:r w:rsidRPr="00F95E99">
        <w:t xml:space="preserve">situations on a case-by-case basis.  </w:t>
      </w:r>
    </w:p>
    <w:sectPr w:rsidR="00511A59" w:rsidRPr="00F95E99" w:rsidSect="009E1FC0">
      <w:footerReference w:type="even" r:id="rId10"/>
      <w:footerReference w:type="default" r:id="rId11"/>
      <w:pgSz w:w="12240" w:h="15840"/>
      <w:pgMar w:top="108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96" w:rsidRDefault="00885B96">
      <w:r>
        <w:separator/>
      </w:r>
    </w:p>
  </w:endnote>
  <w:endnote w:type="continuationSeparator" w:id="0">
    <w:p w:rsidR="00885B96" w:rsidRDefault="008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C3" w:rsidRDefault="007A47C3" w:rsidP="00826F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7C3" w:rsidRDefault="007A4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C3" w:rsidRDefault="007A47C3" w:rsidP="00826F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811">
      <w:rPr>
        <w:rStyle w:val="PageNumber"/>
        <w:noProof/>
      </w:rPr>
      <w:t>2</w:t>
    </w:r>
    <w:r>
      <w:rPr>
        <w:rStyle w:val="PageNumber"/>
      </w:rPr>
      <w:fldChar w:fldCharType="end"/>
    </w:r>
  </w:p>
  <w:p w:rsidR="007A47C3" w:rsidRDefault="007A4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96" w:rsidRDefault="00885B96">
      <w:r>
        <w:separator/>
      </w:r>
    </w:p>
  </w:footnote>
  <w:footnote w:type="continuationSeparator" w:id="0">
    <w:p w:rsidR="00885B96" w:rsidRDefault="008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3A2"/>
    <w:multiLevelType w:val="hybridMultilevel"/>
    <w:tmpl w:val="06E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A07EE2">
      <w:start w:val="1"/>
      <w:numFmt w:val="lowerLetter"/>
      <w:lvlText w:val="%2."/>
      <w:lvlJc w:val="left"/>
      <w:pPr>
        <w:ind w:left="1965" w:hanging="8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8F3"/>
    <w:multiLevelType w:val="hybridMultilevel"/>
    <w:tmpl w:val="EA2C3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B15E3"/>
    <w:multiLevelType w:val="hybridMultilevel"/>
    <w:tmpl w:val="DA3E05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FF3541"/>
    <w:multiLevelType w:val="hybridMultilevel"/>
    <w:tmpl w:val="8FD6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965" w:hanging="885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0E84"/>
    <w:multiLevelType w:val="hybridMultilevel"/>
    <w:tmpl w:val="2E003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B5F5A"/>
    <w:multiLevelType w:val="hybridMultilevel"/>
    <w:tmpl w:val="82A0D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C623D"/>
    <w:multiLevelType w:val="hybridMultilevel"/>
    <w:tmpl w:val="F9783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AE682B"/>
    <w:multiLevelType w:val="hybridMultilevel"/>
    <w:tmpl w:val="34DE99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222502"/>
    <w:multiLevelType w:val="hybridMultilevel"/>
    <w:tmpl w:val="591E3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6585B"/>
    <w:multiLevelType w:val="multilevel"/>
    <w:tmpl w:val="49ACC8A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55904FB2"/>
    <w:multiLevelType w:val="hybridMultilevel"/>
    <w:tmpl w:val="628052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AD32BC6"/>
    <w:multiLevelType w:val="hybridMultilevel"/>
    <w:tmpl w:val="E7FEA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17434"/>
    <w:multiLevelType w:val="hybridMultilevel"/>
    <w:tmpl w:val="9CCA8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C4555F1"/>
    <w:multiLevelType w:val="hybridMultilevel"/>
    <w:tmpl w:val="88163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B7A47"/>
    <w:multiLevelType w:val="hybridMultilevel"/>
    <w:tmpl w:val="6B74DB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871A98"/>
    <w:multiLevelType w:val="hybridMultilevel"/>
    <w:tmpl w:val="D848B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2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92"/>
    <w:rsid w:val="000035D3"/>
    <w:rsid w:val="0000442A"/>
    <w:rsid w:val="000640B6"/>
    <w:rsid w:val="000735E5"/>
    <w:rsid w:val="0007391E"/>
    <w:rsid w:val="00074279"/>
    <w:rsid w:val="000754B5"/>
    <w:rsid w:val="00076194"/>
    <w:rsid w:val="000803F1"/>
    <w:rsid w:val="00081C5E"/>
    <w:rsid w:val="00085C0D"/>
    <w:rsid w:val="00092322"/>
    <w:rsid w:val="00092EDF"/>
    <w:rsid w:val="000936AE"/>
    <w:rsid w:val="000A4622"/>
    <w:rsid w:val="000A79B4"/>
    <w:rsid w:val="000B2B90"/>
    <w:rsid w:val="000B6566"/>
    <w:rsid w:val="000E03CB"/>
    <w:rsid w:val="000E3CB1"/>
    <w:rsid w:val="000F449C"/>
    <w:rsid w:val="00120209"/>
    <w:rsid w:val="00122938"/>
    <w:rsid w:val="0014056A"/>
    <w:rsid w:val="00174BBC"/>
    <w:rsid w:val="00181FAB"/>
    <w:rsid w:val="001831D4"/>
    <w:rsid w:val="00183DE2"/>
    <w:rsid w:val="00186A86"/>
    <w:rsid w:val="001C430A"/>
    <w:rsid w:val="001C61C6"/>
    <w:rsid w:val="001D6F6A"/>
    <w:rsid w:val="001F6B6F"/>
    <w:rsid w:val="001F7B1C"/>
    <w:rsid w:val="00211690"/>
    <w:rsid w:val="00230E54"/>
    <w:rsid w:val="00231E67"/>
    <w:rsid w:val="00231E83"/>
    <w:rsid w:val="002329E3"/>
    <w:rsid w:val="00244A90"/>
    <w:rsid w:val="00250BC3"/>
    <w:rsid w:val="00253B7D"/>
    <w:rsid w:val="002646B2"/>
    <w:rsid w:val="00264AEB"/>
    <w:rsid w:val="00285B40"/>
    <w:rsid w:val="0029255A"/>
    <w:rsid w:val="002A2B36"/>
    <w:rsid w:val="002B2727"/>
    <w:rsid w:val="002D1A44"/>
    <w:rsid w:val="002D3B8A"/>
    <w:rsid w:val="002D7162"/>
    <w:rsid w:val="002E2F53"/>
    <w:rsid w:val="002E70CA"/>
    <w:rsid w:val="00306BA6"/>
    <w:rsid w:val="00313A93"/>
    <w:rsid w:val="00322FBA"/>
    <w:rsid w:val="00323265"/>
    <w:rsid w:val="00332D5E"/>
    <w:rsid w:val="00333ABF"/>
    <w:rsid w:val="003367B4"/>
    <w:rsid w:val="00352AF9"/>
    <w:rsid w:val="0036359C"/>
    <w:rsid w:val="00383292"/>
    <w:rsid w:val="00383B1E"/>
    <w:rsid w:val="003875A0"/>
    <w:rsid w:val="003936D4"/>
    <w:rsid w:val="003A3DD6"/>
    <w:rsid w:val="003A4148"/>
    <w:rsid w:val="003B093B"/>
    <w:rsid w:val="003C0655"/>
    <w:rsid w:val="003C4A71"/>
    <w:rsid w:val="003C5CAA"/>
    <w:rsid w:val="003F10AF"/>
    <w:rsid w:val="003F2CD7"/>
    <w:rsid w:val="00431D0D"/>
    <w:rsid w:val="00435531"/>
    <w:rsid w:val="00453B27"/>
    <w:rsid w:val="0045761C"/>
    <w:rsid w:val="00462346"/>
    <w:rsid w:val="00490D4F"/>
    <w:rsid w:val="00497E76"/>
    <w:rsid w:val="004A3623"/>
    <w:rsid w:val="004A3EBC"/>
    <w:rsid w:val="004B3815"/>
    <w:rsid w:val="004C0125"/>
    <w:rsid w:val="004C6565"/>
    <w:rsid w:val="004C6C01"/>
    <w:rsid w:val="004C74FB"/>
    <w:rsid w:val="004D09D8"/>
    <w:rsid w:val="004D0E3E"/>
    <w:rsid w:val="004E33C6"/>
    <w:rsid w:val="004E56CE"/>
    <w:rsid w:val="004E6592"/>
    <w:rsid w:val="004F09CB"/>
    <w:rsid w:val="004F4B29"/>
    <w:rsid w:val="00510C1D"/>
    <w:rsid w:val="00511A59"/>
    <w:rsid w:val="00511F17"/>
    <w:rsid w:val="00513711"/>
    <w:rsid w:val="00523EA6"/>
    <w:rsid w:val="00526229"/>
    <w:rsid w:val="0053190D"/>
    <w:rsid w:val="005420C6"/>
    <w:rsid w:val="00555F44"/>
    <w:rsid w:val="005602C5"/>
    <w:rsid w:val="00565713"/>
    <w:rsid w:val="00573559"/>
    <w:rsid w:val="005826DC"/>
    <w:rsid w:val="005900B2"/>
    <w:rsid w:val="005A4E69"/>
    <w:rsid w:val="005B24DE"/>
    <w:rsid w:val="005B44FD"/>
    <w:rsid w:val="005B5DDA"/>
    <w:rsid w:val="005C4123"/>
    <w:rsid w:val="005C5B88"/>
    <w:rsid w:val="005D1407"/>
    <w:rsid w:val="005E1A9D"/>
    <w:rsid w:val="005E2637"/>
    <w:rsid w:val="005E40CA"/>
    <w:rsid w:val="005F676E"/>
    <w:rsid w:val="00604897"/>
    <w:rsid w:val="00611738"/>
    <w:rsid w:val="00620811"/>
    <w:rsid w:val="00621693"/>
    <w:rsid w:val="00622D5B"/>
    <w:rsid w:val="00627868"/>
    <w:rsid w:val="006366A6"/>
    <w:rsid w:val="0063727F"/>
    <w:rsid w:val="006404CE"/>
    <w:rsid w:val="00642C3C"/>
    <w:rsid w:val="00650D1D"/>
    <w:rsid w:val="006520D5"/>
    <w:rsid w:val="006539EC"/>
    <w:rsid w:val="00673A4B"/>
    <w:rsid w:val="0067686B"/>
    <w:rsid w:val="0067767C"/>
    <w:rsid w:val="006842C2"/>
    <w:rsid w:val="00695B17"/>
    <w:rsid w:val="00696EA0"/>
    <w:rsid w:val="00696F04"/>
    <w:rsid w:val="00696F97"/>
    <w:rsid w:val="006A5E6B"/>
    <w:rsid w:val="006B6811"/>
    <w:rsid w:val="006C4B9B"/>
    <w:rsid w:val="006E7853"/>
    <w:rsid w:val="006E7E83"/>
    <w:rsid w:val="006F47C0"/>
    <w:rsid w:val="006F4E55"/>
    <w:rsid w:val="007010E1"/>
    <w:rsid w:val="00703412"/>
    <w:rsid w:val="0070699E"/>
    <w:rsid w:val="00713A71"/>
    <w:rsid w:val="00713BD1"/>
    <w:rsid w:val="007179D7"/>
    <w:rsid w:val="00734220"/>
    <w:rsid w:val="00735E4D"/>
    <w:rsid w:val="00780963"/>
    <w:rsid w:val="00782742"/>
    <w:rsid w:val="007909DE"/>
    <w:rsid w:val="00792CBB"/>
    <w:rsid w:val="00793D76"/>
    <w:rsid w:val="00796DD8"/>
    <w:rsid w:val="007A053F"/>
    <w:rsid w:val="007A23A9"/>
    <w:rsid w:val="007A47C3"/>
    <w:rsid w:val="007C0F86"/>
    <w:rsid w:val="007E55DB"/>
    <w:rsid w:val="007F7079"/>
    <w:rsid w:val="0080060A"/>
    <w:rsid w:val="008016BC"/>
    <w:rsid w:val="00801997"/>
    <w:rsid w:val="00807E65"/>
    <w:rsid w:val="00814EC9"/>
    <w:rsid w:val="008206F6"/>
    <w:rsid w:val="00822553"/>
    <w:rsid w:val="00826F7E"/>
    <w:rsid w:val="00840360"/>
    <w:rsid w:val="00844618"/>
    <w:rsid w:val="00846985"/>
    <w:rsid w:val="008522BD"/>
    <w:rsid w:val="0086105F"/>
    <w:rsid w:val="00885B96"/>
    <w:rsid w:val="00892BE2"/>
    <w:rsid w:val="008C3544"/>
    <w:rsid w:val="008C495E"/>
    <w:rsid w:val="008C61B5"/>
    <w:rsid w:val="008D366A"/>
    <w:rsid w:val="008D7EB9"/>
    <w:rsid w:val="008E6FC8"/>
    <w:rsid w:val="008F1768"/>
    <w:rsid w:val="0091525A"/>
    <w:rsid w:val="009449EC"/>
    <w:rsid w:val="00946C0D"/>
    <w:rsid w:val="00952285"/>
    <w:rsid w:val="009554AA"/>
    <w:rsid w:val="00955573"/>
    <w:rsid w:val="0096069D"/>
    <w:rsid w:val="009625BE"/>
    <w:rsid w:val="00972374"/>
    <w:rsid w:val="00972FA6"/>
    <w:rsid w:val="00987A0A"/>
    <w:rsid w:val="00996007"/>
    <w:rsid w:val="009A3A59"/>
    <w:rsid w:val="009B41E5"/>
    <w:rsid w:val="009B5EC2"/>
    <w:rsid w:val="009C016C"/>
    <w:rsid w:val="009C6E7C"/>
    <w:rsid w:val="009C701A"/>
    <w:rsid w:val="009D2E08"/>
    <w:rsid w:val="009E1FC0"/>
    <w:rsid w:val="00A02F38"/>
    <w:rsid w:val="00A06F59"/>
    <w:rsid w:val="00A2280C"/>
    <w:rsid w:val="00A2550A"/>
    <w:rsid w:val="00A4426F"/>
    <w:rsid w:val="00A644AB"/>
    <w:rsid w:val="00A90F95"/>
    <w:rsid w:val="00A93B9B"/>
    <w:rsid w:val="00AB0E37"/>
    <w:rsid w:val="00B07C84"/>
    <w:rsid w:val="00B35539"/>
    <w:rsid w:val="00B509F8"/>
    <w:rsid w:val="00B51BA4"/>
    <w:rsid w:val="00B5547A"/>
    <w:rsid w:val="00B57E22"/>
    <w:rsid w:val="00B80A58"/>
    <w:rsid w:val="00B82DD4"/>
    <w:rsid w:val="00B9052D"/>
    <w:rsid w:val="00B958CF"/>
    <w:rsid w:val="00BA3284"/>
    <w:rsid w:val="00BA7F7C"/>
    <w:rsid w:val="00BB2F99"/>
    <w:rsid w:val="00BB4260"/>
    <w:rsid w:val="00BB4FB2"/>
    <w:rsid w:val="00BC0CDA"/>
    <w:rsid w:val="00BC575E"/>
    <w:rsid w:val="00BF31DC"/>
    <w:rsid w:val="00BF7623"/>
    <w:rsid w:val="00BF79ED"/>
    <w:rsid w:val="00C012DA"/>
    <w:rsid w:val="00C12CC8"/>
    <w:rsid w:val="00C15FDA"/>
    <w:rsid w:val="00C22899"/>
    <w:rsid w:val="00C43F9A"/>
    <w:rsid w:val="00C61740"/>
    <w:rsid w:val="00C6477A"/>
    <w:rsid w:val="00C677A6"/>
    <w:rsid w:val="00C7328B"/>
    <w:rsid w:val="00C752D1"/>
    <w:rsid w:val="00C81382"/>
    <w:rsid w:val="00C8343B"/>
    <w:rsid w:val="00C866F7"/>
    <w:rsid w:val="00C87EA3"/>
    <w:rsid w:val="00C9169D"/>
    <w:rsid w:val="00CA7208"/>
    <w:rsid w:val="00CB0E8D"/>
    <w:rsid w:val="00CB6297"/>
    <w:rsid w:val="00CD43FF"/>
    <w:rsid w:val="00CD63B7"/>
    <w:rsid w:val="00D03056"/>
    <w:rsid w:val="00D17491"/>
    <w:rsid w:val="00D249B8"/>
    <w:rsid w:val="00D30726"/>
    <w:rsid w:val="00D4192B"/>
    <w:rsid w:val="00D678D4"/>
    <w:rsid w:val="00D70A6A"/>
    <w:rsid w:val="00D7265F"/>
    <w:rsid w:val="00D80265"/>
    <w:rsid w:val="00D91384"/>
    <w:rsid w:val="00DA0317"/>
    <w:rsid w:val="00DD0039"/>
    <w:rsid w:val="00DD1FDF"/>
    <w:rsid w:val="00DE16C3"/>
    <w:rsid w:val="00DF6A8A"/>
    <w:rsid w:val="00DF736C"/>
    <w:rsid w:val="00DF7872"/>
    <w:rsid w:val="00E1196A"/>
    <w:rsid w:val="00E25BC6"/>
    <w:rsid w:val="00E43AF9"/>
    <w:rsid w:val="00E60DE5"/>
    <w:rsid w:val="00E61682"/>
    <w:rsid w:val="00E65437"/>
    <w:rsid w:val="00E76D63"/>
    <w:rsid w:val="00E774DD"/>
    <w:rsid w:val="00E86BA6"/>
    <w:rsid w:val="00E9164D"/>
    <w:rsid w:val="00EB0E6F"/>
    <w:rsid w:val="00EC09E2"/>
    <w:rsid w:val="00ED3E21"/>
    <w:rsid w:val="00ED74EF"/>
    <w:rsid w:val="00EE77C7"/>
    <w:rsid w:val="00F03732"/>
    <w:rsid w:val="00F0385E"/>
    <w:rsid w:val="00F06D35"/>
    <w:rsid w:val="00F07DDE"/>
    <w:rsid w:val="00F16BD2"/>
    <w:rsid w:val="00F20CCB"/>
    <w:rsid w:val="00F32297"/>
    <w:rsid w:val="00F4549F"/>
    <w:rsid w:val="00F6232B"/>
    <w:rsid w:val="00F701CB"/>
    <w:rsid w:val="00F73671"/>
    <w:rsid w:val="00F73AC8"/>
    <w:rsid w:val="00F74B07"/>
    <w:rsid w:val="00F76418"/>
    <w:rsid w:val="00F77401"/>
    <w:rsid w:val="00F819D4"/>
    <w:rsid w:val="00F90CB9"/>
    <w:rsid w:val="00F9362E"/>
    <w:rsid w:val="00F95E99"/>
    <w:rsid w:val="00F95F47"/>
    <w:rsid w:val="00FC0765"/>
    <w:rsid w:val="00FC41DF"/>
    <w:rsid w:val="00FC4300"/>
    <w:rsid w:val="00FC6E44"/>
    <w:rsid w:val="00FD2101"/>
    <w:rsid w:val="00FE0575"/>
    <w:rsid w:val="00FE1353"/>
    <w:rsid w:val="00FF42C0"/>
    <w:rsid w:val="00FF5A2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0D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9362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62E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62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362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362E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362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362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9362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9362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373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3292"/>
    <w:rPr>
      <w:sz w:val="16"/>
      <w:szCs w:val="16"/>
    </w:rPr>
  </w:style>
  <w:style w:type="paragraph" w:styleId="CommentText">
    <w:name w:val="annotation text"/>
    <w:basedOn w:val="Normal"/>
    <w:semiHidden/>
    <w:rsid w:val="003832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3292"/>
    <w:rPr>
      <w:b/>
      <w:bCs/>
    </w:rPr>
  </w:style>
  <w:style w:type="paragraph" w:styleId="Footer">
    <w:name w:val="footer"/>
    <w:basedOn w:val="Normal"/>
    <w:rsid w:val="009E1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1FC0"/>
  </w:style>
  <w:style w:type="paragraph" w:styleId="Header">
    <w:name w:val="header"/>
    <w:basedOn w:val="Normal"/>
    <w:rsid w:val="00F9362E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5F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8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AF9"/>
    <w:pPr>
      <w:ind w:left="720"/>
    </w:pPr>
  </w:style>
  <w:style w:type="paragraph" w:styleId="FootnoteText">
    <w:name w:val="footnote text"/>
    <w:basedOn w:val="Normal"/>
    <w:link w:val="FootnoteTextChar"/>
    <w:rsid w:val="004C6C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6C01"/>
    <w:rPr>
      <w:rFonts w:ascii="Times" w:hAnsi="Times"/>
    </w:rPr>
  </w:style>
  <w:style w:type="character" w:styleId="FootnoteReference">
    <w:name w:val="footnote reference"/>
    <w:basedOn w:val="DefaultParagraphFont"/>
    <w:rsid w:val="004C6C01"/>
    <w:rPr>
      <w:vertAlign w:val="superscript"/>
    </w:rPr>
  </w:style>
  <w:style w:type="paragraph" w:styleId="EndnoteText">
    <w:name w:val="endnote text"/>
    <w:basedOn w:val="Normal"/>
    <w:link w:val="EndnoteTextChar"/>
    <w:rsid w:val="005E1A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1A9D"/>
    <w:rPr>
      <w:rFonts w:ascii="Times" w:hAnsi="Times"/>
    </w:rPr>
  </w:style>
  <w:style w:type="character" w:styleId="EndnoteReference">
    <w:name w:val="endnote reference"/>
    <w:basedOn w:val="DefaultParagraphFont"/>
    <w:rsid w:val="005E1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0D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9362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62E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62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362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362E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362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362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9362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9362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373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3292"/>
    <w:rPr>
      <w:sz w:val="16"/>
      <w:szCs w:val="16"/>
    </w:rPr>
  </w:style>
  <w:style w:type="paragraph" w:styleId="CommentText">
    <w:name w:val="annotation text"/>
    <w:basedOn w:val="Normal"/>
    <w:semiHidden/>
    <w:rsid w:val="003832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3292"/>
    <w:rPr>
      <w:b/>
      <w:bCs/>
    </w:rPr>
  </w:style>
  <w:style w:type="paragraph" w:styleId="Footer">
    <w:name w:val="footer"/>
    <w:basedOn w:val="Normal"/>
    <w:rsid w:val="009E1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1FC0"/>
  </w:style>
  <w:style w:type="paragraph" w:styleId="Header">
    <w:name w:val="header"/>
    <w:basedOn w:val="Normal"/>
    <w:rsid w:val="00F9362E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5F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8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AF9"/>
    <w:pPr>
      <w:ind w:left="720"/>
    </w:pPr>
  </w:style>
  <w:style w:type="paragraph" w:styleId="FootnoteText">
    <w:name w:val="footnote text"/>
    <w:basedOn w:val="Normal"/>
    <w:link w:val="FootnoteTextChar"/>
    <w:rsid w:val="004C6C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6C01"/>
    <w:rPr>
      <w:rFonts w:ascii="Times" w:hAnsi="Times"/>
    </w:rPr>
  </w:style>
  <w:style w:type="character" w:styleId="FootnoteReference">
    <w:name w:val="footnote reference"/>
    <w:basedOn w:val="DefaultParagraphFont"/>
    <w:rsid w:val="004C6C01"/>
    <w:rPr>
      <w:vertAlign w:val="superscript"/>
    </w:rPr>
  </w:style>
  <w:style w:type="paragraph" w:styleId="EndnoteText">
    <w:name w:val="endnote text"/>
    <w:basedOn w:val="Normal"/>
    <w:link w:val="EndnoteTextChar"/>
    <w:rsid w:val="005E1A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1A9D"/>
    <w:rPr>
      <w:rFonts w:ascii="Times" w:hAnsi="Times"/>
    </w:rPr>
  </w:style>
  <w:style w:type="character" w:styleId="EndnoteReference">
    <w:name w:val="endnote reference"/>
    <w:basedOn w:val="DefaultParagraphFont"/>
    <w:rsid w:val="005E1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1AF0-F251-408A-B967-1728CC2C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Ameren(logo)</vt:lpstr>
    </vt:vector>
  </TitlesOfParts>
  <Company>Ameren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Ameren(logo)</dc:title>
  <dc:creator>E34776</dc:creator>
  <cp:lastModifiedBy>Tapscott, Kay J</cp:lastModifiedBy>
  <cp:revision>4</cp:revision>
  <cp:lastPrinted>2014-02-13T21:52:00Z</cp:lastPrinted>
  <dcterms:created xsi:type="dcterms:W3CDTF">2014-05-07T17:37:00Z</dcterms:created>
  <dcterms:modified xsi:type="dcterms:W3CDTF">2014-05-07T17:38:00Z</dcterms:modified>
</cp:coreProperties>
</file>